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Incident response plan</w:t>
      </w:r>
    </w:p>
    <w:p>
      <w:r>
        <w:rPr>
          <w:b/>
        </w:rPr>
        <w:t xml:space="preserve">Prepares the response to incidents affecting an AI system: what is considered an incident, how its severity is classified, who acts, how it is contained and which reports must be checked.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P26 · Incident response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prepared in phase 5 (prerequisite for the P23 sign-off) and approved at the start of phase 6. It is reviewed after each S1 or S2 incident and at each R6.</w:t>
            </w:r>
          </w:p>
        </w:tc>
      </w:tr>
      <w:tr>
        <w:tc>
          <w:tcPr>
            <w:tcW w:w="4819" w:type="dxa"/>
          </w:tcPr>
          <w:p>
            <w:pPr>
              <w:pStyle w:val="Celda"/>
            </w:pPr>
            <w:r>
              <w:rPr>
                <w:b/>
              </w:rPr>
              <w:t xml:space="preserve">Who completes it</w:t>
            </w:r>
          </w:p>
        </w:tc>
        <w:tc>
          <w:tcPr>
            <w:tcW w:w="4819" w:type="dxa"/>
          </w:tcPr>
          <w:p>
            <w:pPr>
              <w:pStyle w:val="Celda"/>
            </w:pPr>
            <w:r>
              <w:t xml:space="preserve">AI Operations Owner, with information security, data protection and the AI Risk Owner.</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G5 (existence and adequacy) and R6 (currency and results of drills).</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check of regulatory reports (block 8) is never omitted.</w:t>
            </w:r>
          </w:p>
        </w:tc>
      </w:tr>
      <w:tr>
        <w:tc>
          <w:tcPr>
            <w:tcW w:w="4819" w:type="dxa"/>
          </w:tcPr>
          <w:p>
            <w:pPr>
              <w:pStyle w:val="Celda"/>
            </w:pPr>
            <w:r>
              <w:rPr>
                <w:b/>
              </w:rPr>
              <w:t xml:space="preserve">Tool</w:t>
            </w:r>
          </w:p>
        </w:tc>
        <w:tc>
          <w:tcPr>
            <w:tcW w:w="4819" w:type="dxa"/>
          </w:tcPr>
          <w:p>
            <w:pPr>
              <w:pStyle w:val="Celda"/>
            </w:pPr>
            <w:r>
              <w:t xml:space="preserve">T08 Nonconformity and incident register.</w:t>
            </w:r>
          </w:p>
        </w:tc>
      </w:tr>
      <w:tr>
        <w:tc>
          <w:tcPr>
            <w:tcW w:w="4819" w:type="dxa"/>
          </w:tcPr>
          <w:p>
            <w:pPr>
              <w:pStyle w:val="Celda"/>
            </w:pPr>
            <w:r>
              <w:rPr>
                <w:b/>
              </w:rPr>
              <w:t xml:space="preserve">Relationship</w:t>
            </w:r>
          </w:p>
        </w:tc>
        <w:tc>
          <w:tcPr>
            <w:tcW w:w="4819" w:type="dxa"/>
          </w:tcPr>
          <w:p>
            <w:pPr>
              <w:pStyle w:val="Celda"/>
            </w:pPr>
            <w:r>
              <w:t xml:space="preserve">P17 Human oversight · P18 Security and kill switch · P19 Rollback · P24 Operations manual · P25 Alerts · P27 Incident and change log · documents 35, 37 (Nonconformities and incidents) and 52.</w:t>
            </w:r>
          </w:p>
        </w:tc>
      </w:tr>
    </w:tbl>
    <w:p>
      <w:pPr>
        <w:pStyle w:val="Espacio"/>
      </w:pPr>
    </w:p>
    <w:p>
      <w:r>
        <w:t xml:space="preserve">Rules:</w:t>
      </w:r>
    </w:p>
    <w:p>
      <w:pPr>
        <w:pStyle w:val="Lista"/>
      </w:pPr>
      <w:r>
        <w:t xml:space="preserve">• The </w:t>
      </w:r>
      <w:r>
        <w:rPr>
          <w:b/>
        </w:rPr>
        <w:t xml:space="preserve">severity criteria, reporting time limits and the full process</w:t>
      </w:r>
      <w:r>
        <w:t xml:space="preserve"> are set out in document 37. This plan applies them to the specific system; it does not set its own regulatory time limits.</w:t>
      </w:r>
    </w:p>
    <w:p>
      <w:pPr>
        <w:pStyle w:val="Lista"/>
      </w:pPr>
      <w:r>
        <w:t xml:space="preserve">• This plan is integrated into the company's general incident management process (security, continuity, data protection); it does not create a parallel circuit.</w:t>
      </w:r>
    </w:p>
    <w:p>
      <w:pPr>
        <w:pStyle w:val="Lista"/>
      </w:pPr>
      <w:r>
        <w:t xml:space="preserve">• A serious incident not reported when reporting was required is a </w:t>
      </w:r>
      <w:r>
        <w:rPr>
          <w:b/>
        </w:rPr>
        <w:t xml:space="preserve">critical</w:t>
      </w:r>
      <w:r>
        <w:t xml:space="preserve"> nonconformity (01 §12).</w:t>
      </w:r>
    </w:p>
    <w:p>
      <w:pPr>
        <w:pStyle w:val="Lista"/>
      </w:pPr>
      <w:r>
        <w:t xml:space="preserve">• In case of doubt about severity, the incident is classified at the higher level and reviewed afterwards.</w:t>
      </w:r>
    </w:p>
    <w:p>
      <w:r>
        <w:t xml:space="preserve">This template does not constitute legal advice. Reporting obligations and their time limits must be verified with legal counsel at the time of the incident (reference consultation date for the framework: September 2026).</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w:t>
            </w:r>
          </w:p>
        </w:tc>
      </w:tr>
      <w:tr>
        <w:tc>
          <w:tcPr>
            <w:tcW w:w="3213" w:type="dxa"/>
          </w:tcPr>
          <w:p>
            <w:pPr>
              <w:pStyle w:val="Celda"/>
            </w:pPr>
            <w:r>
              <w:t xml:space="preserve">Role of the company in relation to the system</w:t>
            </w:r>
          </w:p>
        </w:tc>
        <w:tc>
          <w:tcPr>
            <w:tcW w:w="3213" w:type="dxa"/>
          </w:tcPr>
          <w:p>
            <w:pPr>
              <w:pStyle w:val="Celda"/>
            </w:pPr>
          </w:p>
        </w:tc>
        <w:tc>
          <w:tcPr>
            <w:tcW w:w="3213" w:type="dxa"/>
          </w:tcPr>
          <w:p>
            <w:pPr>
              <w:pStyle w:val="Celda"/>
            </w:pPr>
            <w:r>
              <w:t xml:space="preserve">Provider · Deployer · Both · To be determined. It determines the reporting obligations (document 34).</w:t>
            </w:r>
          </w:p>
        </w:tc>
      </w:tr>
      <w:tr>
        <w:tc>
          <w:tcPr>
            <w:tcW w:w="3213" w:type="dxa"/>
          </w:tcPr>
          <w:p>
            <w:pPr>
              <w:pStyle w:val="Celda"/>
            </w:pPr>
            <w:r>
              <w:t xml:space="preserve">Subject to DORA?</w:t>
            </w:r>
          </w:p>
        </w:tc>
        <w:tc>
          <w:tcPr>
            <w:tcW w:w="3213" w:type="dxa"/>
          </w:tcPr>
          <w:p>
            <w:pPr>
              <w:pStyle w:val="Celda"/>
            </w:pPr>
          </w:p>
        </w:tc>
        <w:tc>
          <w:tcPr>
            <w:tcW w:w="3213" w:type="dxa"/>
          </w:tcPr>
          <w:p>
            <w:pPr>
              <w:pStyle w:val="Celda"/>
            </w:pPr>
            <w:r>
              <w:t xml:space="preserve">Yes · No · To be determined.</w:t>
            </w:r>
          </w:p>
        </w:tc>
      </w:tr>
      <w:tr>
        <w:tc>
          <w:tcPr>
            <w:tcW w:w="3213" w:type="dxa"/>
          </w:tcPr>
          <w:p>
            <w:pPr>
              <w:pStyle w:val="Celda"/>
            </w:pPr>
            <w:r>
              <w:t xml:space="preserve">Subject to NIS2 (according to national transposition)?</w:t>
            </w:r>
          </w:p>
        </w:tc>
        <w:tc>
          <w:tcPr>
            <w:tcW w:w="3213" w:type="dxa"/>
          </w:tcPr>
          <w:p>
            <w:pPr>
              <w:pStyle w:val="Celda"/>
            </w:pPr>
          </w:p>
        </w:tc>
        <w:tc>
          <w:tcPr>
            <w:tcW w:w="3213" w:type="dxa"/>
          </w:tcPr>
          <w:p>
            <w:pPr>
              <w:pStyle w:val="Celda"/>
            </w:pPr>
            <w:r>
              <w:t xml:space="preserve">Yes · No · To be determined.</w:t>
            </w:r>
          </w:p>
        </w:tc>
      </w:tr>
      <w:tr>
        <w:tc>
          <w:tcPr>
            <w:tcW w:w="3213" w:type="dxa"/>
          </w:tcPr>
          <w:p>
            <w:pPr>
              <w:pStyle w:val="Celda"/>
            </w:pPr>
            <w:r>
              <w:t xml:space="preserve">Does it process personal data?</w:t>
            </w:r>
          </w:p>
        </w:tc>
        <w:tc>
          <w:tcPr>
            <w:tcW w:w="3213" w:type="dxa"/>
          </w:tcPr>
          <w:p>
            <w:pPr>
              <w:pStyle w:val="Celda"/>
            </w:pPr>
          </w:p>
        </w:tc>
        <w:tc>
          <w:tcPr>
            <w:tcW w:w="3213" w:type="dxa"/>
          </w:tcPr>
          <w:p>
            <w:pPr>
              <w:pStyle w:val="Celda"/>
            </w:pPr>
            <w:r>
              <w:t xml:space="preserve">Yes · No.</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What is considered an incident for this system</w:t>
      </w:r>
    </w:p>
    <w:p>
      <w:r>
        <w:rPr>
          <w:b/>
        </w:rPr>
        <w:t xml:space="preserve">Type of incident:</w:t>
      </w:r>
      <w:r>
        <w:t xml:space="preserve"> Performance degradation · Erroneous output with impact · Discriminatory or biased output · Information leakage · Unauthorised action by an agent · Prompt injection or manipulation · Unavailability · Regulatory breach · Misuse of the system · Supplier incident.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Type</w:t>
            </w:r>
          </w:p>
        </w:tc>
        <w:tc>
          <w:tcPr>
            <w:tcW w:w="2410" w:type="dxa"/>
            <w:shd w:val="clear" w:color="auto" w:fill="F2DFCE"/>
          </w:tcPr>
          <w:p>
            <w:pPr>
              <w:pStyle w:val="Celda"/>
            </w:pPr>
            <w:r>
              <w:rPr>
                <w:b/>
              </w:rPr>
              <w:t xml:space="preserve">Does it apply to this system? (Yes · No)</w:t>
            </w:r>
          </w:p>
        </w:tc>
        <w:tc>
          <w:tcPr>
            <w:tcW w:w="2410" w:type="dxa"/>
            <w:shd w:val="clear" w:color="auto" w:fill="F2DFCE"/>
          </w:tcPr>
          <w:p>
            <w:pPr>
              <w:pStyle w:val="Celda"/>
            </w:pPr>
            <w:r>
              <w:rPr>
                <w:b/>
              </w:rPr>
              <w:t xml:space="preserve">Specific example for this system</w:t>
            </w:r>
          </w:p>
        </w:tc>
        <w:tc>
          <w:tcPr>
            <w:tcW w:w="2410" w:type="dxa"/>
            <w:shd w:val="clear" w:color="auto" w:fill="F2DFCE"/>
          </w:tcPr>
          <w:p>
            <w:pPr>
              <w:pStyle w:val="Celda"/>
            </w:pPr>
            <w:r>
              <w:rPr>
                <w:b/>
              </w:rPr>
              <w:t xml:space="preserve">Planned detection (P25 alert or other route)</w:t>
            </w:r>
          </w:p>
        </w:tc>
      </w:tr>
      <w:tr>
        <w:tc>
          <w:tcPr>
            <w:tcW w:w="2410" w:type="dxa"/>
          </w:tcPr>
          <w:p>
            <w:pPr>
              <w:pStyle w:val="Celda"/>
            </w:pPr>
            <w:r>
              <w:t xml:space="preserve">Unauthorised action by an agent </w:t>
            </w:r>
            <w:r>
              <w:rPr>
                <w:i/>
              </w:rPr>
              <w:t xml:space="preserve">(illustrative example)</w:t>
            </w:r>
          </w:p>
        </w:tc>
        <w:tc>
          <w:tcPr>
            <w:tcW w:w="2410" w:type="dxa"/>
          </w:tcPr>
          <w:p>
            <w:pPr>
              <w:pStyle w:val="Celda"/>
            </w:pPr>
            <w:r>
              <w:t xml:space="preserve">Yes</w:t>
            </w:r>
          </w:p>
        </w:tc>
        <w:tc>
          <w:tcPr>
            <w:tcW w:w="2410" w:type="dxa"/>
          </w:tcPr>
          <w:p>
            <w:pPr>
              <w:pStyle w:val="Celda"/>
            </w:pPr>
            <w:r>
              <w:t xml:space="preserve">The agent issues a refund above the limit</w:t>
            </w:r>
          </w:p>
        </w:tc>
        <w:tc>
          <w:tcPr>
            <w:tcW w:w="2410" w:type="dxa"/>
          </w:tcPr>
          <w:p>
            <w:pPr>
              <w:pStyle w:val="Celda"/>
            </w:pPr>
            <w:r>
              <w:t xml:space="preserve">AL-02</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4. Severity</w:t>
      </w:r>
    </w:p>
    <w:p>
      <w:r>
        <w:t xml:space="preserve">Common framework scale: </w:t>
      </w:r>
      <w:r>
        <w:rPr>
          <w:b/>
        </w:rPr>
        <w:t xml:space="preserve">S1 Critical · S2 High · S3 Medium · S4 Low</w:t>
      </w:r>
      <w:r>
        <w:t xml:space="preserve">. The full criteria are set out in document 37 and prevail over this guidance.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Severity</w:t>
            </w:r>
          </w:p>
        </w:tc>
        <w:tc>
          <w:tcPr>
            <w:tcW w:w="3213" w:type="dxa"/>
            <w:shd w:val="clear" w:color="auto" w:fill="F2DFCE"/>
          </w:tcPr>
          <w:p>
            <w:pPr>
              <w:pStyle w:val="Celda"/>
            </w:pPr>
            <w:r>
              <w:rPr>
                <w:b/>
              </w:rPr>
              <w:t xml:space="preserve">Guidance</w:t>
            </w:r>
          </w:p>
        </w:tc>
        <w:tc>
          <w:tcPr>
            <w:tcW w:w="3213" w:type="dxa"/>
            <w:shd w:val="clear" w:color="auto" w:fill="F2DFCE"/>
          </w:tcPr>
          <w:p>
            <w:pPr>
              <w:pStyle w:val="Celda"/>
            </w:pPr>
            <w:r>
              <w:rPr>
                <w:b/>
              </w:rPr>
              <w:t xml:space="preserve">Example for this system</w:t>
            </w:r>
          </w:p>
        </w:tc>
      </w:tr>
      <w:tr>
        <w:tc>
          <w:tcPr>
            <w:tcW w:w="3213" w:type="dxa"/>
          </w:tcPr>
          <w:p>
            <w:pPr>
              <w:pStyle w:val="Celda"/>
            </w:pPr>
            <w:r>
              <w:rPr>
                <w:b/>
              </w:rPr>
              <w:t xml:space="preserve">S1 Critical</w:t>
            </w:r>
          </w:p>
        </w:tc>
        <w:tc>
          <w:tcPr>
            <w:tcW w:w="3213" w:type="dxa"/>
          </w:tcPr>
          <w:p>
            <w:pPr>
              <w:pStyle w:val="Celda"/>
            </w:pPr>
            <w:r>
              <w:t xml:space="preserve">Includes any possible serious incident under the EU AI Act and major incidents under DORA or NIS2 where applicable.</w:t>
            </w:r>
          </w:p>
        </w:tc>
        <w:tc>
          <w:tcPr>
            <w:tcW w:w="3213" w:type="dxa"/>
          </w:tcPr>
          <w:p>
            <w:pPr>
              <w:pStyle w:val="Celda"/>
            </w:pPr>
          </w:p>
        </w:tc>
      </w:tr>
      <w:tr>
        <w:tc>
          <w:tcPr>
            <w:tcW w:w="3213" w:type="dxa"/>
          </w:tcPr>
          <w:p>
            <w:pPr>
              <w:pStyle w:val="Celda"/>
            </w:pPr>
            <w:r>
              <w:rPr>
                <w:b/>
              </w:rPr>
              <w:t xml:space="preserve">S2 High</w:t>
            </w:r>
          </w:p>
        </w:tc>
        <w:tc>
          <w:tcPr>
            <w:tcW w:w="3213" w:type="dxa"/>
          </w:tcPr>
          <w:p>
            <w:pPr>
              <w:pStyle w:val="Celda"/>
            </w:pPr>
            <w:r>
              <w:t xml:space="preserve">Relevant impact on people, customers, operations or compliance, contained or limited.</w:t>
            </w:r>
          </w:p>
        </w:tc>
        <w:tc>
          <w:tcPr>
            <w:tcW w:w="3213" w:type="dxa"/>
          </w:tcPr>
          <w:p>
            <w:pPr>
              <w:pStyle w:val="Celda"/>
            </w:pPr>
          </w:p>
        </w:tc>
      </w:tr>
      <w:tr>
        <w:tc>
          <w:tcPr>
            <w:tcW w:w="3213" w:type="dxa"/>
          </w:tcPr>
          <w:p>
            <w:pPr>
              <w:pStyle w:val="Celda"/>
            </w:pPr>
            <w:r>
              <w:rPr>
                <w:b/>
              </w:rPr>
              <w:t xml:space="preserve">S3 Medium</w:t>
            </w:r>
          </w:p>
        </w:tc>
        <w:tc>
          <w:tcPr>
            <w:tcW w:w="3213" w:type="dxa"/>
          </w:tcPr>
          <w:p>
            <w:pPr>
              <w:pStyle w:val="Celda"/>
            </w:pPr>
            <w:r>
              <w:t xml:space="preserve">Limited impact, with no relevant effect on people or on reporting obligations.</w:t>
            </w:r>
          </w:p>
        </w:tc>
        <w:tc>
          <w:tcPr>
            <w:tcW w:w="3213" w:type="dxa"/>
          </w:tcPr>
          <w:p>
            <w:pPr>
              <w:pStyle w:val="Celda"/>
            </w:pPr>
          </w:p>
        </w:tc>
      </w:tr>
      <w:tr>
        <w:tc>
          <w:tcPr>
            <w:tcW w:w="3213" w:type="dxa"/>
          </w:tcPr>
          <w:p>
            <w:pPr>
              <w:pStyle w:val="Celda"/>
            </w:pPr>
            <w:r>
              <w:rPr>
                <w:b/>
              </w:rPr>
              <w:t xml:space="preserve">S4 Low</w:t>
            </w:r>
          </w:p>
        </w:tc>
        <w:tc>
          <w:tcPr>
            <w:tcW w:w="3213" w:type="dxa"/>
          </w:tcPr>
          <w:p>
            <w:pPr>
              <w:pStyle w:val="Celda"/>
            </w:pPr>
            <w:r>
              <w:t xml:space="preserve">No appreciable impact; an anomaly that should be recorded.</w:t>
            </w:r>
          </w:p>
        </w:tc>
        <w:tc>
          <w:tcPr>
            <w:tcW w:w="3213" w:type="dxa"/>
          </w:tcPr>
          <w:p>
            <w:pPr>
              <w:pStyle w:val="Celda"/>
            </w:pPr>
          </w:p>
        </w:tc>
      </w:tr>
    </w:tbl>
    <w:p>
      <w:pPr>
        <w:pStyle w:val="Espacio"/>
      </w:pPr>
    </w:p>
    <w:p>
      <w:pPr>
        <w:pStyle w:val="Separador"/>
      </w:pPr>
    </w:p>
    <w:p>
      <w:pPr>
        <w:pStyle w:val="Heading1"/>
      </w:pPr>
      <w:r>
        <w:t xml:space="preserve">5. Roles during the incident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Holder</w:t>
            </w:r>
          </w:p>
        </w:tc>
        <w:tc>
          <w:tcPr>
            <w:tcW w:w="1928" w:type="dxa"/>
            <w:shd w:val="clear" w:color="auto" w:fill="F2DFCE"/>
          </w:tcPr>
          <w:p>
            <w:pPr>
              <w:pStyle w:val="Celda"/>
            </w:pPr>
            <w:r>
              <w:rPr>
                <w:b/>
              </w:rPr>
              <w:t xml:space="preserve">Deputy</w:t>
            </w:r>
          </w:p>
        </w:tc>
        <w:tc>
          <w:tcPr>
            <w:tcW w:w="1928" w:type="dxa"/>
            <w:shd w:val="clear" w:color="auto" w:fill="F2DFCE"/>
          </w:tcPr>
          <w:p>
            <w:pPr>
              <w:pStyle w:val="Celda"/>
            </w:pPr>
            <w:r>
              <w:rPr>
                <w:b/>
              </w:rPr>
              <w:t xml:space="preserve">Activated in</w:t>
            </w:r>
          </w:p>
        </w:tc>
        <w:tc>
          <w:tcPr>
            <w:tcW w:w="1928" w:type="dxa"/>
            <w:shd w:val="clear" w:color="auto" w:fill="F2DFCE"/>
          </w:tcPr>
          <w:p>
            <w:pPr>
              <w:pStyle w:val="Celda"/>
            </w:pPr>
            <w:r>
              <w:rPr>
                <w:b/>
              </w:rPr>
              <w:t xml:space="preserve">Responsibility</w:t>
            </w:r>
          </w:p>
        </w:tc>
      </w:tr>
      <w:tr>
        <w:tc>
          <w:tcPr>
            <w:tcW w:w="1928" w:type="dxa"/>
          </w:tcPr>
          <w:p>
            <w:pPr>
              <w:pStyle w:val="Celda"/>
            </w:pPr>
            <w:r>
              <w:t xml:space="preserve">Incident coordinator</w:t>
            </w:r>
          </w:p>
        </w:tc>
        <w:tc>
          <w:tcPr>
            <w:tcW w:w="1928" w:type="dxa"/>
          </w:tcPr>
          <w:p>
            <w:pPr>
              <w:pStyle w:val="Celda"/>
            </w:pPr>
          </w:p>
        </w:tc>
        <w:tc>
          <w:tcPr>
            <w:tcW w:w="1928" w:type="dxa"/>
          </w:tcPr>
          <w:p>
            <w:pPr>
              <w:pStyle w:val="Celda"/>
            </w:pPr>
          </w:p>
        </w:tc>
        <w:tc>
          <w:tcPr>
            <w:tcW w:w="1928" w:type="dxa"/>
          </w:tcPr>
          <w:p>
            <w:pPr>
              <w:pStyle w:val="Celda"/>
            </w:pPr>
            <w:r>
              <w:t xml:space="preserve">S1–S4</w:t>
            </w:r>
          </w:p>
        </w:tc>
        <w:tc>
          <w:tcPr>
            <w:tcW w:w="1928" w:type="dxa"/>
          </w:tcPr>
          <w:p>
            <w:pPr>
              <w:pStyle w:val="Celda"/>
            </w:pPr>
            <w:r>
              <w:t xml:space="preserve">Leads the response and decides on containment. Normally the AI Operations Owner.</w:t>
            </w:r>
          </w:p>
        </w:tc>
      </w:tr>
      <w:tr>
        <w:tc>
          <w:tcPr>
            <w:tcW w:w="1928" w:type="dxa"/>
          </w:tcPr>
          <w:p>
            <w:pPr>
              <w:pStyle w:val="Celda"/>
            </w:pPr>
            <w:r>
              <w:t xml:space="preserve">Technical lead</w:t>
            </w:r>
          </w:p>
        </w:tc>
        <w:tc>
          <w:tcPr>
            <w:tcW w:w="1928" w:type="dxa"/>
          </w:tcPr>
          <w:p>
            <w:pPr>
              <w:pStyle w:val="Celda"/>
            </w:pPr>
          </w:p>
        </w:tc>
        <w:tc>
          <w:tcPr>
            <w:tcW w:w="1928" w:type="dxa"/>
          </w:tcPr>
          <w:p>
            <w:pPr>
              <w:pStyle w:val="Celda"/>
            </w:pPr>
          </w:p>
        </w:tc>
        <w:tc>
          <w:tcPr>
            <w:tcW w:w="1928" w:type="dxa"/>
          </w:tcPr>
          <w:p>
            <w:pPr>
              <w:pStyle w:val="Celda"/>
            </w:pPr>
            <w:r>
              <w:t xml:space="preserve">S1–S3</w:t>
            </w:r>
          </w:p>
        </w:tc>
        <w:tc>
          <w:tcPr>
            <w:tcW w:w="1928" w:type="dxa"/>
          </w:tcPr>
          <w:p>
            <w:pPr>
              <w:pStyle w:val="Celda"/>
            </w:pPr>
            <w:r>
              <w:t xml:space="preserve">Diagnosis, technical containment and rollback.</w:t>
            </w:r>
          </w:p>
        </w:tc>
      </w:tr>
      <w:tr>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r>
              <w:t xml:space="preserve">Security and agent incidents</w:t>
            </w:r>
          </w:p>
        </w:tc>
        <w:tc>
          <w:tcPr>
            <w:tcW w:w="1928" w:type="dxa"/>
          </w:tcPr>
          <w:p>
            <w:pPr>
              <w:pStyle w:val="Celda"/>
            </w:pPr>
            <w:r>
              <w:t xml:space="preserve">Attack analysis and preservation of evidence.</w:t>
            </w:r>
          </w:p>
        </w:tc>
      </w:tr>
      <w:tr>
        <w:tc>
          <w:tcPr>
            <w:tcW w:w="1928" w:type="dxa"/>
          </w:tcPr>
          <w:p>
            <w:pPr>
              <w:pStyle w:val="Celda"/>
            </w:pPr>
            <w:r>
              <w:t xml:space="preserve">Data protection</w:t>
            </w:r>
          </w:p>
        </w:tc>
        <w:tc>
          <w:tcPr>
            <w:tcW w:w="1928" w:type="dxa"/>
          </w:tcPr>
          <w:p>
            <w:pPr>
              <w:pStyle w:val="Celda"/>
            </w:pPr>
          </w:p>
        </w:tc>
        <w:tc>
          <w:tcPr>
            <w:tcW w:w="1928" w:type="dxa"/>
          </w:tcPr>
          <w:p>
            <w:pPr>
              <w:pStyle w:val="Celda"/>
            </w:pPr>
          </w:p>
        </w:tc>
        <w:tc>
          <w:tcPr>
            <w:tcW w:w="1928" w:type="dxa"/>
          </w:tcPr>
          <w:p>
            <w:pPr>
              <w:pStyle w:val="Celda"/>
            </w:pPr>
            <w:r>
              <w:t xml:space="preserve">If personal data are involved</w:t>
            </w:r>
          </w:p>
        </w:tc>
        <w:tc>
          <w:tcPr>
            <w:tcW w:w="1928" w:type="dxa"/>
          </w:tcPr>
          <w:p>
            <w:pPr>
              <w:pStyle w:val="Celda"/>
            </w:pPr>
            <w:r>
              <w:t xml:space="preserve">Assess personal data breach and the rights of affected individuals.</w:t>
            </w:r>
          </w:p>
        </w:tc>
      </w:tr>
      <w:tr>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Assess regulatory obligations and the effect on the risk register.</w:t>
            </w:r>
          </w:p>
        </w:tc>
      </w:tr>
      <w:tr>
        <w:tc>
          <w:tcPr>
            <w:tcW w:w="1928" w:type="dxa"/>
          </w:tcPr>
          <w:p>
            <w:pPr>
              <w:pStyle w:val="Celda"/>
            </w:pPr>
            <w:r>
              <w:t xml:space="preserve">Communication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Coordinated internal and external messages.</w:t>
            </w:r>
          </w:p>
        </w:tc>
      </w:tr>
      <w:tr>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Business decisions and escalation to governing bodies.</w:t>
            </w:r>
          </w:p>
        </w:tc>
      </w:tr>
      <w:tr>
        <w:tc>
          <w:tcPr>
            <w:tcW w:w="1928" w:type="dxa"/>
          </w:tcPr>
          <w:p>
            <w:pPr>
              <w:pStyle w:val="Celda"/>
            </w:pPr>
            <w:r>
              <w:t xml:space="preserve">Incident recording</w:t>
            </w:r>
          </w:p>
        </w:tc>
        <w:tc>
          <w:tcPr>
            <w:tcW w:w="1928" w:type="dxa"/>
          </w:tcPr>
          <w:p>
            <w:pPr>
              <w:pStyle w:val="Celda"/>
            </w:pPr>
          </w:p>
        </w:tc>
        <w:tc>
          <w:tcPr>
            <w:tcW w:w="1928" w:type="dxa"/>
          </w:tcPr>
          <w:p>
            <w:pPr>
              <w:pStyle w:val="Celda"/>
            </w:pPr>
          </w:p>
        </w:tc>
        <w:tc>
          <w:tcPr>
            <w:tcW w:w="1928" w:type="dxa"/>
          </w:tcPr>
          <w:p>
            <w:pPr>
              <w:pStyle w:val="Celda"/>
            </w:pPr>
            <w:r>
              <w:t xml:space="preserve">S1–S4</w:t>
            </w:r>
          </w:p>
        </w:tc>
        <w:tc>
          <w:tcPr>
            <w:tcW w:w="1928" w:type="dxa"/>
          </w:tcPr>
          <w:p>
            <w:pPr>
              <w:pStyle w:val="Celda"/>
            </w:pPr>
            <w:r>
              <w:t xml:space="preserve">Timeline, decisions and evidence in P27.</w:t>
            </w:r>
          </w:p>
        </w:tc>
      </w:tr>
    </w:tbl>
    <w:p>
      <w:pPr>
        <w:pStyle w:val="Espacio"/>
      </w:pPr>
    </w:p>
    <w:p>
      <w:pPr>
        <w:pStyle w:val="Separador"/>
      </w:pPr>
    </w:p>
    <w:p>
      <w:pPr>
        <w:pStyle w:val="Heading1"/>
      </w:pPr>
      <w:r>
        <w:t xml:space="preserve">6. Response phases</w:t>
      </w:r>
    </w:p>
    <w:p>
      <w:r>
        <w:t xml:space="preserve">Internal target times are set by the company; they do not replace the regulatory time limits in document 37.</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Phase</w:t>
            </w:r>
          </w:p>
        </w:tc>
        <w:tc>
          <w:tcPr>
            <w:tcW w:w="1606" w:type="dxa"/>
            <w:shd w:val="clear" w:color="auto" w:fill="F2DFCE"/>
          </w:tcPr>
          <w:p>
            <w:pPr>
              <w:pStyle w:val="Celda"/>
            </w:pPr>
            <w:r>
              <w:rPr>
                <w:b/>
              </w:rPr>
              <w:t xml:space="preserve">What is done</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Internal target time S1</w:t>
            </w:r>
          </w:p>
        </w:tc>
        <w:tc>
          <w:tcPr>
            <w:tcW w:w="1606" w:type="dxa"/>
            <w:shd w:val="clear" w:color="auto" w:fill="F2DFCE"/>
          </w:tcPr>
          <w:p>
            <w:pPr>
              <w:pStyle w:val="Celda"/>
            </w:pPr>
            <w:r>
              <w:rPr>
                <w:b/>
              </w:rPr>
              <w:t xml:space="preserve">Internal target time S2</w:t>
            </w:r>
          </w:p>
        </w:tc>
        <w:tc>
          <w:tcPr>
            <w:tcW w:w="1606" w:type="dxa"/>
            <w:shd w:val="clear" w:color="auto" w:fill="F2DFCE"/>
          </w:tcPr>
          <w:p>
            <w:pPr>
              <w:pStyle w:val="Celda"/>
            </w:pPr>
            <w:r>
              <w:rPr>
                <w:b/>
              </w:rPr>
              <w:t xml:space="preserve">Record</w:t>
            </w:r>
          </w:p>
        </w:tc>
      </w:tr>
      <w:tr>
        <w:tc>
          <w:tcPr>
            <w:tcW w:w="1606" w:type="dxa"/>
          </w:tcPr>
          <w:p>
            <w:pPr>
              <w:pStyle w:val="Celda"/>
            </w:pPr>
            <w:r>
              <w:t xml:space="preserve">Detection</w:t>
            </w:r>
          </w:p>
        </w:tc>
        <w:tc>
          <w:tcPr>
            <w:tcW w:w="1606" w:type="dxa"/>
          </w:tcPr>
          <w:p>
            <w:pPr>
              <w:pStyle w:val="Celda"/>
            </w:pPr>
            <w:r>
              <w:t xml:space="preserve">Receive alert or notification; open incident</w:t>
            </w:r>
          </w:p>
        </w:tc>
        <w:tc>
          <w:tcPr>
            <w:tcW w:w="1606" w:type="dxa"/>
          </w:tcPr>
          <w:p>
            <w:pPr>
              <w:pStyle w:val="Celda"/>
            </w:pPr>
            <w:r>
              <w:t xml:space="preserve">On-call</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Classification</w:t>
            </w:r>
          </w:p>
        </w:tc>
        <w:tc>
          <w:tcPr>
            <w:tcW w:w="1606" w:type="dxa"/>
          </w:tcPr>
          <w:p>
            <w:pPr>
              <w:pStyle w:val="Celda"/>
            </w:pPr>
            <w:r>
              <w:t xml:space="preserve">Type and initial severity</w:t>
            </w:r>
          </w:p>
        </w:tc>
        <w:tc>
          <w:tcPr>
            <w:tcW w:w="1606" w:type="dxa"/>
          </w:tcPr>
          <w:p>
            <w:pPr>
              <w:pStyle w:val="Celda"/>
            </w:pPr>
            <w:r>
              <w:t xml:space="preserve">Coordinator</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Containment</w:t>
            </w:r>
          </w:p>
        </w:tc>
        <w:tc>
          <w:tcPr>
            <w:tcW w:w="1606" w:type="dxa"/>
          </w:tcPr>
          <w:p>
            <w:pPr>
              <w:pStyle w:val="Celda"/>
            </w:pPr>
            <w:r>
              <w:t xml:space="preserve">Apply the actions in block 7</w:t>
            </w:r>
          </w:p>
        </w:tc>
        <w:tc>
          <w:tcPr>
            <w:tcW w:w="1606" w:type="dxa"/>
          </w:tcPr>
          <w:p>
            <w:pPr>
              <w:pStyle w:val="Celda"/>
            </w:pPr>
            <w:r>
              <w:t xml:space="preserve">Coordinator and technical lead</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Reporting check</w:t>
            </w:r>
          </w:p>
        </w:tc>
        <w:tc>
          <w:tcPr>
            <w:tcW w:w="1606" w:type="dxa"/>
          </w:tcPr>
          <w:p>
            <w:pPr>
              <w:pStyle w:val="Celda"/>
            </w:pPr>
            <w:r>
              <w:t xml:space="preserve">Review block 8</w:t>
            </w:r>
          </w:p>
        </w:tc>
        <w:tc>
          <w:tcPr>
            <w:tcW w:w="1606" w:type="dxa"/>
          </w:tcPr>
          <w:p>
            <w:pPr>
              <w:pStyle w:val="Celda"/>
            </w:pPr>
            <w:r>
              <w:t xml:space="preserve">Risk and data protection</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Resolution</w:t>
            </w:r>
          </w:p>
        </w:tc>
        <w:tc>
          <w:tcPr>
            <w:tcW w:w="1606" w:type="dxa"/>
          </w:tcPr>
          <w:p>
            <w:pPr>
              <w:pStyle w:val="Celda"/>
            </w:pPr>
            <w:r>
              <w:t xml:space="preserve">Correct the immediate cause</w:t>
            </w:r>
          </w:p>
        </w:tc>
        <w:tc>
          <w:tcPr>
            <w:tcW w:w="1606" w:type="dxa"/>
          </w:tcPr>
          <w:p>
            <w:pPr>
              <w:pStyle w:val="Celda"/>
            </w:pPr>
            <w:r>
              <w:t xml:space="preserve">Technical lead</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Recovery</w:t>
            </w:r>
          </w:p>
        </w:tc>
        <w:tc>
          <w:tcPr>
            <w:tcW w:w="1606" w:type="dxa"/>
          </w:tcPr>
          <w:p>
            <w:pPr>
              <w:pStyle w:val="Celda"/>
            </w:pPr>
            <w:r>
              <w:t xml:space="preserve">Return to normal operation with authorisation</w:t>
            </w:r>
          </w:p>
        </w:tc>
        <w:tc>
          <w:tcPr>
            <w:tcW w:w="1606" w:type="dxa"/>
          </w:tcPr>
          <w:p>
            <w:pPr>
              <w:pStyle w:val="Celda"/>
            </w:pPr>
            <w:r>
              <w:t xml:space="preserve">Coordinator</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Closure and lessons</w:t>
            </w:r>
          </w:p>
        </w:tc>
        <w:tc>
          <w:tcPr>
            <w:tcW w:w="1606" w:type="dxa"/>
          </w:tcPr>
          <w:p>
            <w:pPr>
              <w:pStyle w:val="Celda"/>
            </w:pPr>
            <w:r>
              <w:t xml:space="preserve">Root cause, corrective actions, lessons</w:t>
            </w:r>
          </w:p>
        </w:tc>
        <w:tc>
          <w:tcPr>
            <w:tcW w:w="1606" w:type="dxa"/>
          </w:tcPr>
          <w:p>
            <w:pPr>
              <w:pStyle w:val="Celda"/>
            </w:pPr>
            <w:r>
              <w:t xml:space="preserve">Coordinator and risk</w:t>
            </w:r>
          </w:p>
        </w:tc>
        <w:tc>
          <w:tcPr>
            <w:tcW w:w="1606" w:type="dxa"/>
          </w:tcPr>
          <w:p>
            <w:pPr>
              <w:pStyle w:val="Celda"/>
            </w:pPr>
          </w:p>
        </w:tc>
        <w:tc>
          <w:tcPr>
            <w:tcW w:w="1606" w:type="dxa"/>
          </w:tcPr>
          <w:p>
            <w:pPr>
              <w:pStyle w:val="Celda"/>
            </w:pPr>
          </w:p>
        </w:tc>
        <w:tc>
          <w:tcPr>
            <w:tcW w:w="1606" w:type="dxa"/>
          </w:tcPr>
          <w:p>
            <w:pPr>
              <w:pStyle w:val="Celda"/>
            </w:pPr>
            <w:r>
              <w:t xml:space="preserve">P27 · P12</w:t>
            </w:r>
          </w:p>
        </w:tc>
      </w:tr>
    </w:tbl>
    <w:p>
      <w:pPr>
        <w:pStyle w:val="Espacio"/>
      </w:pPr>
    </w:p>
    <w:p>
      <w:pPr>
        <w:pStyle w:val="Separador"/>
      </w:pPr>
    </w:p>
    <w:p>
      <w:pPr>
        <w:pStyle w:val="Heading1"/>
      </w:pPr>
      <w:r>
        <w:t xml:space="preserve">7. Prepared containment actions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Action</w:t>
            </w:r>
          </w:p>
        </w:tc>
        <w:tc>
          <w:tcPr>
            <w:tcW w:w="2410" w:type="dxa"/>
            <w:shd w:val="clear" w:color="auto" w:fill="F2DFCE"/>
          </w:tcPr>
          <w:p>
            <w:pPr>
              <w:pStyle w:val="Celda"/>
            </w:pPr>
            <w:r>
              <w:rPr>
                <w:b/>
              </w:rPr>
              <w:t xml:space="preserve">When it is applied</w:t>
            </w:r>
          </w:p>
        </w:tc>
        <w:tc>
          <w:tcPr>
            <w:tcW w:w="2410" w:type="dxa"/>
            <w:shd w:val="clear" w:color="auto" w:fill="F2DFCE"/>
          </w:tcPr>
          <w:p>
            <w:pPr>
              <w:pStyle w:val="Celda"/>
            </w:pPr>
            <w:r>
              <w:rPr>
                <w:b/>
              </w:rPr>
              <w:t xml:space="preserve">Who can execute it</w:t>
            </w:r>
          </w:p>
        </w:tc>
        <w:tc>
          <w:tcPr>
            <w:tcW w:w="2410" w:type="dxa"/>
            <w:shd w:val="clear" w:color="auto" w:fill="F2DFCE"/>
          </w:tcPr>
          <w:p>
            <w:pPr>
              <w:pStyle w:val="Celda"/>
            </w:pPr>
            <w:r>
              <w:rPr>
                <w:b/>
              </w:rPr>
              <w:t xml:space="preserve">Procedure</w:t>
            </w:r>
          </w:p>
        </w:tc>
      </w:tr>
      <w:tr>
        <w:tc>
          <w:tcPr>
            <w:tcW w:w="2410" w:type="dxa"/>
          </w:tcPr>
          <w:p>
            <w:pPr>
              <w:pStyle w:val="Celda"/>
            </w:pPr>
            <w:r>
              <w:t xml:space="preserve">Kill switch</w:t>
            </w:r>
          </w:p>
        </w:tc>
        <w:tc>
          <w:tcPr>
            <w:tcW w:w="2410" w:type="dxa"/>
          </w:tcPr>
          <w:p>
            <w:pPr>
              <w:pStyle w:val="Celda"/>
            </w:pPr>
            <w:r>
              <w:t xml:space="preserve">Unauthorised action, injection with effect, leakage in progress</w:t>
            </w:r>
          </w:p>
        </w:tc>
        <w:tc>
          <w:tcPr>
            <w:tcW w:w="2410" w:type="dxa"/>
          </w:tcPr>
          <w:p>
            <w:pPr>
              <w:pStyle w:val="Celda"/>
            </w:pPr>
          </w:p>
        </w:tc>
        <w:tc>
          <w:tcPr>
            <w:tcW w:w="2410" w:type="dxa"/>
          </w:tcPr>
          <w:p>
            <w:pPr>
              <w:pStyle w:val="Celda"/>
            </w:pPr>
            <w:r>
              <w:t xml:space="preserve">P18 block 9</w:t>
            </w:r>
          </w:p>
        </w:tc>
      </w:tr>
      <w:tr>
        <w:tc>
          <w:tcPr>
            <w:tcW w:w="2410" w:type="dxa"/>
          </w:tcPr>
          <w:p>
            <w:pPr>
              <w:pStyle w:val="Celda"/>
            </w:pPr>
            <w:r>
              <w:t xml:space="preserve">Reduce the autonomy level</w:t>
            </w:r>
          </w:p>
        </w:tc>
        <w:tc>
          <w:tcPr>
            <w:tcW w:w="2410" w:type="dxa"/>
          </w:tcPr>
          <w:p>
            <w:pPr>
              <w:pStyle w:val="Celda"/>
            </w:pPr>
            <w:r>
              <w:t xml:space="preserve">Degradation with risk of impact</w:t>
            </w:r>
          </w:p>
        </w:tc>
        <w:tc>
          <w:tcPr>
            <w:tcW w:w="2410" w:type="dxa"/>
          </w:tcPr>
          <w:p>
            <w:pPr>
              <w:pStyle w:val="Celda"/>
            </w:pPr>
          </w:p>
        </w:tc>
        <w:tc>
          <w:tcPr>
            <w:tcW w:w="2410" w:type="dxa"/>
          </w:tcPr>
          <w:p>
            <w:pPr>
              <w:pStyle w:val="Celda"/>
            </w:pPr>
            <w:r>
              <w:t xml:space="preserve">P19</w:t>
            </w:r>
          </w:p>
        </w:tc>
      </w:tr>
      <w:tr>
        <w:tc>
          <w:tcPr>
            <w:tcW w:w="2410" w:type="dxa"/>
          </w:tcPr>
          <w:p>
            <w:pPr>
              <w:pStyle w:val="Celda"/>
            </w:pPr>
            <w:r>
              <w:t xml:space="preserve">Roll back to previous version</w:t>
            </w:r>
          </w:p>
        </w:tc>
        <w:tc>
          <w:tcPr>
            <w:tcW w:w="2410" w:type="dxa"/>
          </w:tcPr>
          <w:p>
            <w:pPr>
              <w:pStyle w:val="Celda"/>
            </w:pPr>
            <w:r>
              <w:t xml:space="preserve">Failure attributable to a recent change</w:t>
            </w:r>
          </w:p>
        </w:tc>
        <w:tc>
          <w:tcPr>
            <w:tcW w:w="2410" w:type="dxa"/>
          </w:tcPr>
          <w:p>
            <w:pPr>
              <w:pStyle w:val="Celda"/>
            </w:pPr>
          </w:p>
        </w:tc>
        <w:tc>
          <w:tcPr>
            <w:tcW w:w="2410" w:type="dxa"/>
          </w:tcPr>
          <w:p>
            <w:pPr>
              <w:pStyle w:val="Celda"/>
            </w:pPr>
            <w:r>
              <w:t xml:space="preserve">P19</w:t>
            </w:r>
          </w:p>
        </w:tc>
      </w:tr>
      <w:tr>
        <w:tc>
          <w:tcPr>
            <w:tcW w:w="2410" w:type="dxa"/>
          </w:tcPr>
          <w:p>
            <w:pPr>
              <w:pStyle w:val="Celda"/>
            </w:pPr>
            <w:r>
              <w:t xml:space="preserve">Disable an agent tool or permission</w:t>
            </w:r>
          </w:p>
        </w:tc>
        <w:tc>
          <w:tcPr>
            <w:tcW w:w="2410" w:type="dxa"/>
          </w:tcPr>
          <w:p>
            <w:pPr>
              <w:pStyle w:val="Celda"/>
            </w:pPr>
            <w:r>
              <w:t xml:space="preserve">Abuse of a specific tool</w:t>
            </w:r>
          </w:p>
        </w:tc>
        <w:tc>
          <w:tcPr>
            <w:tcW w:w="2410" w:type="dxa"/>
          </w:tcPr>
          <w:p>
            <w:pPr>
              <w:pStyle w:val="Celda"/>
            </w:pPr>
          </w:p>
        </w:tc>
        <w:tc>
          <w:tcPr>
            <w:tcW w:w="2410" w:type="dxa"/>
          </w:tcPr>
          <w:p>
            <w:pPr>
              <w:pStyle w:val="Celda"/>
            </w:pPr>
            <w:r>
              <w:t xml:space="preserve">P18 block 5</w:t>
            </w:r>
          </w:p>
        </w:tc>
      </w:tr>
      <w:tr>
        <w:tc>
          <w:tcPr>
            <w:tcW w:w="2410" w:type="dxa"/>
          </w:tcPr>
          <w:p>
            <w:pPr>
              <w:pStyle w:val="Celda"/>
            </w:pPr>
            <w:r>
              <w:t xml:space="preserve">Revoke credentials</w:t>
            </w:r>
          </w:p>
        </w:tc>
        <w:tc>
          <w:tcPr>
            <w:tcW w:w="2410" w:type="dxa"/>
          </w:tcPr>
          <w:p>
            <w:pPr>
              <w:pStyle w:val="Celda"/>
            </w:pPr>
            <w:r>
              <w:t xml:space="preserve">Identity compromise</w:t>
            </w:r>
          </w:p>
        </w:tc>
        <w:tc>
          <w:tcPr>
            <w:tcW w:w="2410" w:type="dxa"/>
          </w:tcPr>
          <w:p>
            <w:pPr>
              <w:pStyle w:val="Celda"/>
            </w:pPr>
          </w:p>
        </w:tc>
        <w:tc>
          <w:tcPr>
            <w:tcW w:w="2410" w:type="dxa"/>
          </w:tcPr>
          <w:p>
            <w:pPr>
              <w:pStyle w:val="Celda"/>
            </w:pPr>
            <w:r>
              <w:t xml:space="preserve">P18 block 4</w:t>
            </w:r>
          </w:p>
        </w:tc>
      </w:tr>
      <w:tr>
        <w:tc>
          <w:tcPr>
            <w:tcW w:w="2410" w:type="dxa"/>
          </w:tcPr>
          <w:p>
            <w:pPr>
              <w:pStyle w:val="Celda"/>
            </w:pPr>
            <w:r>
              <w:t xml:space="preserve">Withdraw or correct published content</w:t>
            </w:r>
          </w:p>
        </w:tc>
        <w:tc>
          <w:tcPr>
            <w:tcW w:w="2410" w:type="dxa"/>
          </w:tcPr>
          <w:p>
            <w:pPr>
              <w:pStyle w:val="Celda"/>
            </w:pPr>
            <w:r>
              <w:t xml:space="preserve">Erroneous or inappropriate content visible to third parties</w:t>
            </w:r>
          </w:p>
        </w:tc>
        <w:tc>
          <w:tcPr>
            <w:tcW w:w="2410" w:type="dxa"/>
          </w:tcPr>
          <w:p>
            <w:pPr>
              <w:pStyle w:val="Celda"/>
            </w:pPr>
          </w:p>
        </w:tc>
        <w:tc>
          <w:tcPr>
            <w:tcW w:w="2410" w:type="dxa"/>
          </w:tcPr>
          <w:p>
            <w:pPr>
              <w:pStyle w:val="Celda"/>
            </w:pPr>
          </w:p>
        </w:tc>
      </w:tr>
      <w:tr>
        <w:tc>
          <w:tcPr>
            <w:tcW w:w="2410" w:type="dxa"/>
          </w:tcPr>
          <w:p>
            <w:pPr>
              <w:pStyle w:val="Celda"/>
            </w:pPr>
            <w:r>
              <w:t xml:space="preserve">Preserve logs and evidence</w:t>
            </w:r>
          </w:p>
        </w:tc>
        <w:tc>
          <w:tcPr>
            <w:tcW w:w="2410" w:type="dxa"/>
          </w:tcPr>
          <w:p>
            <w:pPr>
              <w:pStyle w:val="Celda"/>
            </w:pPr>
            <w:r>
              <w:t xml:space="preserve">Always in S1 and S2</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Regulatory and contractual reports to be verified</w:t>
      </w:r>
    </w:p>
    <w:p>
      <w:r>
        <w:t xml:space="preserve">Check boxes. For each incident, it is verified whether they apply; time limits are taken from document 37 and confirmed with legal counsel. This table does not assert time limits.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Report to be verified</w:t>
            </w:r>
          </w:p>
        </w:tc>
        <w:tc>
          <w:tcPr>
            <w:tcW w:w="1205" w:type="dxa"/>
            <w:shd w:val="clear" w:color="auto" w:fill="F2DFCE"/>
          </w:tcPr>
          <w:p>
            <w:pPr>
              <w:pStyle w:val="Celda"/>
            </w:pPr>
            <w:r>
              <w:rPr>
                <w:b/>
              </w:rPr>
              <w:t xml:space="preserve">Reference</w:t>
            </w:r>
          </w:p>
        </w:tc>
        <w:tc>
          <w:tcPr>
            <w:tcW w:w="1205" w:type="dxa"/>
            <w:shd w:val="clear" w:color="auto" w:fill="F2DFCE"/>
          </w:tcPr>
          <w:p>
            <w:pPr>
              <w:pStyle w:val="Celda"/>
            </w:pPr>
            <w:r>
              <w:rPr>
                <w:b/>
              </w:rPr>
              <w:t xml:space="preserve">Does it apply? (Yes · No · To be determined)</w:t>
            </w:r>
          </w:p>
        </w:tc>
        <w:tc>
          <w:tcPr>
            <w:tcW w:w="1205" w:type="dxa"/>
            <w:shd w:val="clear" w:color="auto" w:fill="F2DFCE"/>
          </w:tcPr>
          <w:p>
            <w:pPr>
              <w:pStyle w:val="Celda"/>
            </w:pPr>
            <w:r>
              <w:rPr>
                <w:b/>
              </w:rPr>
              <w:t xml:space="preserve">Who decides</w:t>
            </w:r>
          </w:p>
        </w:tc>
        <w:tc>
          <w:tcPr>
            <w:tcW w:w="1205" w:type="dxa"/>
            <w:shd w:val="clear" w:color="auto" w:fill="F2DFCE"/>
          </w:tcPr>
          <w:p>
            <w:pPr>
              <w:pStyle w:val="Celda"/>
            </w:pPr>
            <w:r>
              <w:rPr>
                <w:b/>
              </w:rPr>
              <w:t xml:space="preserve">Who reports</w:t>
            </w:r>
          </w:p>
        </w:tc>
        <w:tc>
          <w:tcPr>
            <w:tcW w:w="1205" w:type="dxa"/>
            <w:shd w:val="clear" w:color="auto" w:fill="F2DFCE"/>
          </w:tcPr>
          <w:p>
            <w:pPr>
              <w:pStyle w:val="Celda"/>
            </w:pPr>
            <w:r>
              <w:rPr>
                <w:b/>
              </w:rPr>
              <w:t xml:space="preserve">Time limit confirmed in document 37 and verification date</w:t>
            </w:r>
          </w:p>
        </w:tc>
        <w:tc>
          <w:tcPr>
            <w:tcW w:w="1205" w:type="dxa"/>
            <w:shd w:val="clear" w:color="auto" w:fill="F2DFCE"/>
          </w:tcPr>
          <w:p>
            <w:pPr>
              <w:pStyle w:val="Celda"/>
            </w:pPr>
            <w:r>
              <w:rPr>
                <w:b/>
              </w:rPr>
              <w:t xml:space="preserve">Evidence</w:t>
            </w:r>
          </w:p>
        </w:tc>
      </w:tr>
      <w:tr>
        <w:tc>
          <w:tcPr>
            <w:tcW w:w="1205" w:type="dxa"/>
          </w:tcPr>
          <w:p>
            <w:pPr>
              <w:pStyle w:val="Celda"/>
            </w:pPr>
            <w:r>
              <w:t xml:space="preserve">☐</w:t>
            </w:r>
          </w:p>
        </w:tc>
        <w:tc>
          <w:tcPr>
            <w:tcW w:w="1205" w:type="dxa"/>
          </w:tcPr>
          <w:p>
            <w:pPr>
              <w:pStyle w:val="Celda"/>
            </w:pPr>
            <w:r>
              <w:t xml:space="preserve">Serious incident involving a high-risk AI system</w:t>
            </w:r>
          </w:p>
        </w:tc>
        <w:tc>
          <w:tcPr>
            <w:tcW w:w="1205" w:type="dxa"/>
          </w:tcPr>
          <w:p>
            <w:pPr>
              <w:pStyle w:val="Celda"/>
            </w:pPr>
            <w:r>
              <w:t xml:space="preserve">EU AI Act (obligations of the provider and of the deployer; document 34)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Information to the provider of the AI system</w:t>
            </w:r>
          </w:p>
        </w:tc>
        <w:tc>
          <w:tcPr>
            <w:tcW w:w="1205" w:type="dxa"/>
          </w:tcPr>
          <w:p>
            <w:pPr>
              <w:pStyle w:val="Celda"/>
            </w:pPr>
            <w:r>
              <w:t xml:space="preserve">EU AI Act and contract (if the company is the deployer)</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Personal data breach to the supervisory authority</w:t>
            </w:r>
          </w:p>
        </w:tc>
        <w:tc>
          <w:tcPr>
            <w:tcW w:w="1205" w:type="dxa"/>
          </w:tcPr>
          <w:p>
            <w:pPr>
              <w:pStyle w:val="Celda"/>
            </w:pPr>
            <w:r>
              <w:t xml:space="preserve">GDPR, Article 33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Communication to data subjects</w:t>
            </w:r>
          </w:p>
        </w:tc>
        <w:tc>
          <w:tcPr>
            <w:tcW w:w="1205" w:type="dxa"/>
          </w:tcPr>
          <w:p>
            <w:pPr>
              <w:pStyle w:val="Celda"/>
            </w:pPr>
            <w:r>
              <w:t xml:space="preserve">GDPR, Article 34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Major ICT-related incident</w:t>
            </w:r>
          </w:p>
        </w:tc>
        <w:tc>
          <w:tcPr>
            <w:tcW w:w="1205" w:type="dxa"/>
          </w:tcPr>
          <w:p>
            <w:pPr>
              <w:pStyle w:val="Celda"/>
            </w:pPr>
            <w:r>
              <w:t xml:space="preserve">DORA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Significant incident</w:t>
            </w:r>
          </w:p>
        </w:tc>
        <w:tc>
          <w:tcPr>
            <w:tcW w:w="1205" w:type="dxa"/>
          </w:tcPr>
          <w:p>
            <w:pPr>
              <w:pStyle w:val="Celda"/>
            </w:pPr>
            <w:r>
              <w:t xml:space="preserve">NIS2 and national transposition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Sector-specific reports</w:t>
            </w:r>
          </w:p>
        </w:tc>
        <w:tc>
          <w:tcPr>
            <w:tcW w:w="1205" w:type="dxa"/>
          </w:tcPr>
          <w:p>
            <w:pPr>
              <w:pStyle w:val="Celda"/>
            </w:pPr>
            <w:r>
              <w:t xml:space="preserve">Company's sector regulation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Contractual obligations towards customers or suppliers</w:t>
            </w:r>
          </w:p>
        </w:tc>
        <w:tc>
          <w:tcPr>
            <w:tcW w:w="1205" w:type="dxa"/>
          </w:tcPr>
          <w:p>
            <w:pPr>
              <w:pStyle w:val="Celda"/>
            </w:pPr>
            <w:r>
              <w:t xml:space="preserve">Contracts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Communication to affected individuals not required by law but appropriate </w:t>
            </w:r>
            <w:r>
              <w:rPr>
                <w:b/>
              </w:rPr>
              <w:t xml:space="preserve">(Enterprise)</w:t>
            </w:r>
          </w:p>
        </w:tc>
        <w:tc>
          <w:tcPr>
            <w:tcW w:w="1205" w:type="dxa"/>
          </w:tcPr>
          <w:p>
            <w:pPr>
              <w:pStyle w:val="Celda"/>
            </w:pPr>
            <w:r>
              <w:t xml:space="preserve">Company policy</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The report models, the reasoned decision not to report and the communications are in P51.</w:t>
      </w:r>
    </w:p>
    <w:p>
      <w:pPr>
        <w:pStyle w:val="Separador"/>
      </w:pPr>
    </w:p>
    <w:p>
      <w:pPr>
        <w:pStyle w:val="Heading1"/>
      </w:pPr>
      <w:r>
        <w:t xml:space="preserve">9. Internal escalation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Severity</w:t>
            </w:r>
          </w:p>
        </w:tc>
        <w:tc>
          <w:tcPr>
            <w:tcW w:w="2410" w:type="dxa"/>
            <w:shd w:val="clear" w:color="auto" w:fill="F2DFCE"/>
          </w:tcPr>
          <w:p>
            <w:pPr>
              <w:pStyle w:val="Celda"/>
            </w:pPr>
            <w:r>
              <w:rPr>
                <w:b/>
              </w:rPr>
              <w:t xml:space="preserve">Who is informed</w:t>
            </w:r>
          </w:p>
        </w:tc>
        <w:tc>
          <w:tcPr>
            <w:tcW w:w="2410" w:type="dxa"/>
            <w:shd w:val="clear" w:color="auto" w:fill="F2DFCE"/>
          </w:tcPr>
          <w:p>
            <w:pPr>
              <w:pStyle w:val="Celda"/>
            </w:pPr>
            <w:r>
              <w:rPr>
                <w:b/>
              </w:rPr>
              <w:t xml:space="preserve">Internal time limit</w:t>
            </w:r>
          </w:p>
        </w:tc>
        <w:tc>
          <w:tcPr>
            <w:tcW w:w="2410" w:type="dxa"/>
            <w:shd w:val="clear" w:color="auto" w:fill="F2DFCE"/>
          </w:tcPr>
          <w:p>
            <w:pPr>
              <w:pStyle w:val="Celda"/>
            </w:pPr>
            <w:r>
              <w:rPr>
                <w:b/>
              </w:rPr>
              <w:t xml:space="preserve">Reference</w:t>
            </w:r>
          </w:p>
        </w:tc>
      </w:tr>
      <w:tr>
        <w:tc>
          <w:tcPr>
            <w:tcW w:w="2410" w:type="dxa"/>
          </w:tcPr>
          <w:p>
            <w:pPr>
              <w:pStyle w:val="Celda"/>
            </w:pPr>
            <w:r>
              <w:t xml:space="preserve">S1</w:t>
            </w:r>
          </w:p>
        </w:tc>
        <w:tc>
          <w:tcPr>
            <w:tcW w:w="2410" w:type="dxa"/>
          </w:tcPr>
          <w:p>
            <w:pPr>
              <w:pStyle w:val="Celda"/>
            </w:pPr>
            <w:r>
              <w:t xml:space="preserve">AI Committee and board committee, in addition to the roles in block 5</w:t>
            </w:r>
          </w:p>
        </w:tc>
        <w:tc>
          <w:tcPr>
            <w:tcW w:w="2410" w:type="dxa"/>
          </w:tcPr>
          <w:p>
            <w:pPr>
              <w:pStyle w:val="Celda"/>
            </w:pPr>
          </w:p>
        </w:tc>
        <w:tc>
          <w:tcPr>
            <w:tcW w:w="2410" w:type="dxa"/>
          </w:tcPr>
          <w:p>
            <w:pPr>
              <w:pStyle w:val="Celda"/>
            </w:pPr>
            <w:r>
              <w:t xml:space="preserve">Document 37</w:t>
            </w:r>
          </w:p>
        </w:tc>
      </w:tr>
      <w:tr>
        <w:tc>
          <w:tcPr>
            <w:tcW w:w="2410" w:type="dxa"/>
          </w:tcPr>
          <w:p>
            <w:pPr>
              <w:pStyle w:val="Celda"/>
            </w:pPr>
            <w:r>
              <w:t xml:space="preserve">S2</w:t>
            </w:r>
          </w:p>
        </w:tc>
        <w:tc>
          <w:tcPr>
            <w:tcW w:w="2410" w:type="dxa"/>
          </w:tcPr>
          <w:p>
            <w:pPr>
              <w:pStyle w:val="Celda"/>
            </w:pPr>
            <w:r>
              <w:t xml:space="preserve">AI Committee and sponsor</w:t>
            </w:r>
          </w:p>
        </w:tc>
        <w:tc>
          <w:tcPr>
            <w:tcW w:w="2410" w:type="dxa"/>
          </w:tcPr>
          <w:p>
            <w:pPr>
              <w:pStyle w:val="Celda"/>
            </w:pPr>
          </w:p>
        </w:tc>
        <w:tc>
          <w:tcPr>
            <w:tcW w:w="2410" w:type="dxa"/>
          </w:tcPr>
          <w:p>
            <w:pPr>
              <w:pStyle w:val="Celda"/>
            </w:pPr>
            <w:r>
              <w:t xml:space="preserve">Document 37</w:t>
            </w:r>
          </w:p>
        </w:tc>
      </w:tr>
      <w:tr>
        <w:tc>
          <w:tcPr>
            <w:tcW w:w="2410" w:type="dxa"/>
          </w:tcPr>
          <w:p>
            <w:pPr>
              <w:pStyle w:val="Celda"/>
            </w:pPr>
            <w:r>
              <w:t xml:space="preserve">S3</w:t>
            </w:r>
          </w:p>
        </w:tc>
        <w:tc>
          <w:tcPr>
            <w:tcW w:w="2410" w:type="dxa"/>
          </w:tcPr>
          <w:p>
            <w:pPr>
              <w:pStyle w:val="Celda"/>
            </w:pPr>
            <w:r>
              <w:t xml:space="preserve">AI Product Owner and AI Office</w:t>
            </w:r>
          </w:p>
        </w:tc>
        <w:tc>
          <w:tcPr>
            <w:tcW w:w="2410" w:type="dxa"/>
          </w:tcPr>
          <w:p>
            <w:pPr>
              <w:pStyle w:val="Celda"/>
            </w:pPr>
          </w:p>
        </w:tc>
        <w:tc>
          <w:tcPr>
            <w:tcW w:w="2410" w:type="dxa"/>
          </w:tcPr>
          <w:p>
            <w:pPr>
              <w:pStyle w:val="Celda"/>
            </w:pPr>
            <w:r>
              <w:t xml:space="preserve">Document 37</w:t>
            </w:r>
          </w:p>
        </w:tc>
      </w:tr>
      <w:tr>
        <w:tc>
          <w:tcPr>
            <w:tcW w:w="2410" w:type="dxa"/>
          </w:tcPr>
          <w:p>
            <w:pPr>
              <w:pStyle w:val="Celda"/>
            </w:pPr>
            <w:r>
              <w:t xml:space="preserve">S4</w:t>
            </w:r>
          </w:p>
        </w:tc>
        <w:tc>
          <w:tcPr>
            <w:tcW w:w="2410" w:type="dxa"/>
          </w:tcPr>
          <w:p>
            <w:pPr>
              <w:pStyle w:val="Celda"/>
            </w:pPr>
            <w:r>
              <w:t xml:space="preserve">Record in P27</w:t>
            </w:r>
          </w:p>
        </w:tc>
        <w:tc>
          <w:tcPr>
            <w:tcW w:w="2410" w:type="dxa"/>
          </w:tcPr>
          <w:p>
            <w:pPr>
              <w:pStyle w:val="Celda"/>
            </w:pPr>
          </w:p>
        </w:tc>
        <w:tc>
          <w:tcPr>
            <w:tcW w:w="2410" w:type="dxa"/>
          </w:tcPr>
          <w:p>
            <w:pPr>
              <w:pStyle w:val="Celda"/>
            </w:pPr>
            <w:r>
              <w:t xml:space="preserve">Document 37</w:t>
            </w:r>
          </w:p>
        </w:tc>
      </w:tr>
    </w:tbl>
    <w:p>
      <w:pPr>
        <w:pStyle w:val="Espacio"/>
      </w:pPr>
    </w:p>
    <w:p>
      <w:r>
        <w:t xml:space="preserve">If the incident reveals a breach of the framework (control disabled, unapproved change, gate skipped), a nonconformity with code NC-AAAA-NNN is also opened (P50, document 37).</w:t>
      </w:r>
    </w:p>
    <w:p>
      <w:pPr>
        <w:pStyle w:val="Separador"/>
      </w:pPr>
    </w:p>
    <w:p>
      <w:pPr>
        <w:pStyle w:val="Heading1"/>
      </w:pPr>
      <w:r>
        <w:t xml:space="preserve">10. Drills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Scenario</w:t>
            </w:r>
          </w:p>
        </w:tc>
        <w:tc>
          <w:tcPr>
            <w:tcW w:w="1606" w:type="dxa"/>
            <w:shd w:val="clear" w:color="auto" w:fill="F2DFCE"/>
          </w:tcPr>
          <w:p>
            <w:pPr>
              <w:pStyle w:val="Celda"/>
            </w:pPr>
            <w:r>
              <w:rPr>
                <w:b/>
              </w:rPr>
              <w:t xml:space="preserve">Participants (roles)</w:t>
            </w:r>
          </w:p>
        </w:tc>
        <w:tc>
          <w:tcPr>
            <w:tcW w:w="1606" w:type="dxa"/>
            <w:shd w:val="clear" w:color="auto" w:fill="F2DFCE"/>
          </w:tcPr>
          <w:p>
            <w:pPr>
              <w:pStyle w:val="Celda"/>
            </w:pPr>
            <w:r>
              <w:rPr>
                <w:b/>
              </w:rPr>
              <w:t xml:space="preserve">Time to containment</w:t>
            </w:r>
          </w:p>
        </w:tc>
        <w:tc>
          <w:tcPr>
            <w:tcW w:w="1606" w:type="dxa"/>
            <w:shd w:val="clear" w:color="auto" w:fill="F2DFCE"/>
          </w:tcPr>
          <w:p>
            <w:pPr>
              <w:pStyle w:val="Celda"/>
            </w:pPr>
            <w:r>
              <w:rPr>
                <w:b/>
              </w:rPr>
              <w:t xml:space="preserve">Result (Passed · Passed with observations · Not passed)</w:t>
            </w:r>
          </w:p>
        </w:tc>
        <w:tc>
          <w:tcPr>
            <w:tcW w:w="1606" w:type="dxa"/>
            <w:shd w:val="clear" w:color="auto" w:fill="F2DFCE"/>
          </w:tcPr>
          <w:p>
            <w:pPr>
              <w:pStyle w:val="Celda"/>
            </w:pPr>
            <w:r>
              <w:rPr>
                <w:b/>
              </w:rPr>
              <w:t xml:space="preserve">Improvement actions</w:t>
            </w:r>
          </w:p>
        </w:tc>
      </w:tr>
      <w:tr>
        <w:tc>
          <w:tcPr>
            <w:tcW w:w="1606" w:type="dxa"/>
          </w:tcPr>
          <w:p>
            <w:pPr>
              <w:pStyle w:val="Celda"/>
            </w:pPr>
            <w:r>
              <w:rPr>
                <w:i/>
              </w:rPr>
              <w:t xml:space="preserve">(illustrative example)</w:t>
            </w:r>
          </w:p>
        </w:tc>
        <w:tc>
          <w:tcPr>
            <w:tcW w:w="1606" w:type="dxa"/>
          </w:tcPr>
          <w:p>
            <w:pPr>
              <w:pStyle w:val="Celda"/>
            </w:pPr>
            <w:r>
              <w:t xml:space="preserve">A document with hidden instructions causes an unauthorised external transmission</w:t>
            </w:r>
          </w:p>
        </w:tc>
        <w:tc>
          <w:tcPr>
            <w:tcW w:w="1606" w:type="dxa"/>
          </w:tcPr>
          <w:p>
            <w:pPr>
              <w:pStyle w:val="Celda"/>
            </w:pPr>
            <w:r>
              <w:t xml:space="preserve">On-call, security, data protection, coordinator</w:t>
            </w:r>
          </w:p>
        </w:tc>
        <w:tc>
          <w:tcPr>
            <w:tcW w:w="1606" w:type="dxa"/>
          </w:tcPr>
          <w:p>
            <w:pPr>
              <w:pStyle w:val="Celda"/>
            </w:pPr>
            <w:r>
              <w:t xml:space="preserve">35 minutes</w:t>
            </w:r>
          </w:p>
        </w:tc>
        <w:tc>
          <w:tcPr>
            <w:tcW w:w="1606" w:type="dxa"/>
          </w:tcPr>
          <w:p>
            <w:pPr>
              <w:pStyle w:val="Celda"/>
            </w:pPr>
            <w:r>
              <w:t xml:space="preserve">Passed with observations</w:t>
            </w:r>
          </w:p>
        </w:tc>
        <w:tc>
          <w:tcPr>
            <w:tcW w:w="1606" w:type="dxa"/>
          </w:tcPr>
          <w:p>
            <w:pPr>
              <w:pStyle w:val="Celda"/>
            </w:pPr>
            <w:r>
              <w:t xml:space="preserve">Data protection had no reachable deputy; one is designated</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At Enterprise intensity, at least one drill should be carried out before G5 and repeated at the frequency set by the company.</w:t>
      </w:r>
    </w:p>
    <w:p>
      <w:pPr>
        <w:pStyle w:val="Separador"/>
      </w:pPr>
    </w:p>
    <w:p>
      <w:pPr>
        <w:pStyle w:val="Heading1"/>
      </w:pPr>
      <w:r>
        <w:t xml:space="preserve">11. Quality criteria</w:t>
      </w:r>
    </w:p>
    <w:p>
      <w:r>
        <w:t xml:space="preserve">Formal G5 and R6 criteria in document 21; incident process in document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applicable incident types have a specific example and a detection route.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Severity uses the S1–S4 scale and refers to the criteria in document 37.</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All roles have a holder and a deputy.</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Containment actions are prepared and linked to P18 and P19.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Regulatory reports are identified as boxes to be verified, without unconfirmed time limits.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Internal escalation reaches the AI Committee and the board committee in S1.</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At least one drill has been carried out (Enterprise).</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w:t>
            </w:r>
          </w:p>
        </w:tc>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w:t>
            </w:r>
          </w:p>
        </w:tc>
        <w:tc>
          <w:tcPr>
            <w:tcW w:w="1928" w:type="dxa"/>
          </w:tcPr>
          <w:p>
            <w:pPr>
              <w:pStyle w:val="Celda"/>
            </w:pPr>
            <w:r>
              <w:t xml:space="preserve">Data protection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 or operates the system.</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P26 · Incident response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P26 · Incident response plan</dc:title>
  <dc:creator>Fernando García Varela</dc:creator>
  <dc:language>en</dc:language>
  <dc:description>sha256:df30f1447746c8a14d4ba6f3d5f2843c88cab82495428ae7512e8672b222a872</dc:description>
  <cp:keywords>SEVEN-G</cp:keywords>
</cp:coreProperties>
</file>