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de adopción y capacidad</w:t>
      </w:r>
    </w:p>
    <w:p>
      <w:r>
        <w:rPr>
          <w:b/>
        </w:rPr>
        <w:t xml:space="preserve">Planifica cómo las personas adoptarán el sistema de IA, qué formación necesitan y qué destino tendrá la capacidad liberada, y permite seguirlo con indicadores.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P20 · Plan de adopción y capacidad</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elabora en la fase 4 (evidencia de G4), se ejecuta en la fase 5, se sigue en la fase 6 y se evalúa en la fase 7.</w:t>
            </w:r>
          </w:p>
        </w:tc>
      </w:tr>
      <w:tr>
        <w:tc>
          <w:tcPr>
            <w:tcW w:w="4819" w:type="dxa"/>
          </w:tcPr>
          <w:p>
            <w:pPr>
              <w:pStyle w:val="Celda"/>
            </w:pPr>
            <w:r>
              <w:rPr>
                <w:b/>
              </w:rPr>
              <w:t xml:space="preserve">Quién la rellena</w:t>
            </w:r>
          </w:p>
        </w:tc>
        <w:tc>
          <w:tcPr>
            <w:tcW w:w="4819" w:type="dxa"/>
          </w:tcPr>
          <w:p>
            <w:pPr>
              <w:pStyle w:val="Celda"/>
            </w:pPr>
            <w:r>
              <w:t xml:space="preserve">Responsable de producto de IA, con el área usuaria y la función de personas.</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G4 (plan), G5 (adopción en el piloto), R6 (seguimiento) y G7 (capacidad materializada o reasignada).</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Las iniciativas de Aumentar y Transformar deben tener plan de adopción y de personas (01 §3, principio 10).</w:t>
            </w:r>
          </w:p>
        </w:tc>
      </w:tr>
      <w:tr>
        <w:tc>
          <w:tcPr>
            <w:tcW w:w="4819" w:type="dxa"/>
          </w:tcPr>
          <w:p>
            <w:pPr>
              <w:pStyle w:val="Celda"/>
            </w:pPr>
            <w:r>
              <w:rPr>
                <w:b/>
              </w:rPr>
              <w:t xml:space="preserve">Herramienta</w:t>
            </w:r>
          </w:p>
        </w:tc>
        <w:tc>
          <w:tcPr>
            <w:tcW w:w="4819" w:type="dxa"/>
          </w:tcPr>
          <w:p>
            <w:pPr>
              <w:pStyle w:val="Celda"/>
            </w:pPr>
            <w:r>
              <w:t xml:space="preserve">T20 Plan de adopción y capacidad.</w:t>
            </w:r>
          </w:p>
        </w:tc>
      </w:tr>
      <w:tr>
        <w:tc>
          <w:tcPr>
            <w:tcW w:w="4819" w:type="dxa"/>
          </w:tcPr>
          <w:p>
            <w:pPr>
              <w:pStyle w:val="Celda"/>
            </w:pPr>
            <w:r>
              <w:rPr>
                <w:b/>
              </w:rPr>
              <w:t xml:space="preserve">Relación</w:t>
            </w:r>
          </w:p>
        </w:tc>
        <w:tc>
          <w:tcPr>
            <w:tcW w:w="4819" w:type="dxa"/>
          </w:tcPr>
          <w:p>
            <w:pPr>
              <w:pStyle w:val="Celda"/>
            </w:pPr>
            <w:r>
              <w:t xml:space="preserve">P17 Supervisión humana · P22 Resultados del piloto · P28 Seguimiento de realización de valor · P31 Ficha de caso de uso · documentos 23 (Adopción y cambio) y 50 (Personas y organización).</w:t>
            </w:r>
          </w:p>
        </w:tc>
      </w:tr>
    </w:tbl>
    <w:p>
      <w:pPr>
        <w:pStyle w:val="Espacio"/>
      </w:pPr>
    </w:p>
    <w:p>
      <w:r>
        <w:t xml:space="preserve">Reglas:</w:t>
      </w:r>
    </w:p>
    <w:p>
      <w:pPr>
        <w:pStyle w:val="Lista"/>
      </w:pPr>
      <w:r>
        <w:t xml:space="preserve">• </w:t>
      </w:r>
      <w:r>
        <w:rPr>
          <w:b/>
        </w:rPr>
        <w:t xml:space="preserve">La capacidad liberada no suma como ahorro</w:t>
      </w:r>
      <w:r>
        <w:t xml:space="preserve"> hasta que se materializa en menor coste real o se reasigna de forma explícita (regla 3 de medición, 00 §6). Este plan fija su destino; P28 registra lo que realmente ocurre.</w:t>
      </w:r>
    </w:p>
    <w:p>
      <w:pPr>
        <w:pStyle w:val="Lista"/>
      </w:pPr>
      <w:r>
        <w:t xml:space="preserve">• La formación de quienes operan o supervisan el sistema forma parte de la alfabetización en IA que la compañía debe garantizar (documento 34).</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Área o áreas usuarias</w:t>
            </w:r>
          </w:p>
        </w:tc>
        <w:tc>
          <w:tcPr>
            <w:tcW w:w="3213" w:type="dxa"/>
          </w:tcPr>
          <w:p>
            <w:pPr>
              <w:pStyle w:val="Celda"/>
            </w:pPr>
          </w:p>
        </w:tc>
        <w:tc>
          <w:tcPr>
            <w:tcW w:w="3213" w:type="dxa"/>
          </w:tcPr>
          <w:p>
            <w:pPr>
              <w:pStyle w:val="Celda"/>
            </w:pP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Personas afectadas y cambio en su trabajo</w:t>
      </w:r>
    </w:p>
    <w:p>
      <w:r>
        <w:rPr>
          <w:b/>
        </w:rPr>
        <w:t xml:space="preserve">Cambio en el trabajo:</w:t>
      </w:r>
      <w:r>
        <w:t xml:space="preserve"> Sin cambio · Tareas automatizadas · Tareas nuevas · Cambio de rol · Cambio de ubicación organizativa.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Colectivo</w:t>
            </w:r>
          </w:p>
        </w:tc>
        <w:tc>
          <w:tcPr>
            <w:tcW w:w="1606" w:type="dxa"/>
            <w:shd w:val="clear" w:color="auto" w:fill="F2DFCE"/>
          </w:tcPr>
          <w:p>
            <w:pPr>
              <w:pStyle w:val="Celda"/>
            </w:pPr>
            <w:r>
              <w:rPr>
                <w:b/>
              </w:rPr>
              <w:t xml:space="preserve">Nº de personas</w:t>
            </w:r>
          </w:p>
        </w:tc>
        <w:tc>
          <w:tcPr>
            <w:tcW w:w="1606" w:type="dxa"/>
            <w:shd w:val="clear" w:color="auto" w:fill="F2DFCE"/>
          </w:tcPr>
          <w:p>
            <w:pPr>
              <w:pStyle w:val="Celda"/>
            </w:pPr>
            <w:r>
              <w:rPr>
                <w:b/>
              </w:rPr>
              <w:t xml:space="preserve">Cambio en el trabajo</w:t>
            </w:r>
          </w:p>
        </w:tc>
        <w:tc>
          <w:tcPr>
            <w:tcW w:w="1606" w:type="dxa"/>
            <w:shd w:val="clear" w:color="auto" w:fill="F2DFCE"/>
          </w:tcPr>
          <w:p>
            <w:pPr>
              <w:pStyle w:val="Celda"/>
            </w:pPr>
            <w:r>
              <w:rPr>
                <w:b/>
              </w:rPr>
              <w:t xml:space="preserve">Descripción del cambio</w:t>
            </w:r>
          </w:p>
        </w:tc>
        <w:tc>
          <w:tcPr>
            <w:tcW w:w="1606" w:type="dxa"/>
            <w:shd w:val="clear" w:color="auto" w:fill="F2DFCE"/>
          </w:tcPr>
          <w:p>
            <w:pPr>
              <w:pStyle w:val="Celda"/>
            </w:pPr>
            <w:r>
              <w:rPr>
                <w:b/>
              </w:rPr>
              <w:t xml:space="preserve">Impacto previsto (Bajo · Medio · Alto)</w:t>
            </w:r>
          </w:p>
        </w:tc>
        <w:tc>
          <w:tcPr>
            <w:tcW w:w="1606" w:type="dxa"/>
            <w:shd w:val="clear" w:color="auto" w:fill="F2DFCE"/>
          </w:tcPr>
          <w:p>
            <w:pPr>
              <w:pStyle w:val="Celda"/>
            </w:pPr>
            <w:r>
              <w:rPr>
                <w:b/>
              </w:rPr>
              <w:t xml:space="preserve">Interlocutor</w:t>
            </w:r>
          </w:p>
        </w:tc>
      </w:tr>
      <w:tr>
        <w:tc>
          <w:tcPr>
            <w:tcW w:w="1606" w:type="dxa"/>
          </w:tcPr>
          <w:p>
            <w:pPr>
              <w:pStyle w:val="Celda"/>
            </w:pPr>
            <w:r>
              <w:t xml:space="preserve">Gestores de reclamaciones </w:t>
            </w:r>
            <w:r>
              <w:rPr>
                <w:i/>
              </w:rPr>
              <w:t xml:space="preserve">(ejemplo ilustrativo)</w:t>
            </w:r>
          </w:p>
        </w:tc>
        <w:tc>
          <w:tcPr>
            <w:tcW w:w="1606" w:type="dxa"/>
          </w:tcPr>
          <w:p>
            <w:pPr>
              <w:pStyle w:val="Celda"/>
            </w:pPr>
            <w:r>
              <w:t xml:space="preserve">40</w:t>
            </w:r>
          </w:p>
        </w:tc>
        <w:tc>
          <w:tcPr>
            <w:tcW w:w="1606" w:type="dxa"/>
          </w:tcPr>
          <w:p>
            <w:pPr>
              <w:pStyle w:val="Celda"/>
            </w:pPr>
            <w:r>
              <w:t xml:space="preserve">Tareas automatizadas y tareas nuevas</w:t>
            </w:r>
          </w:p>
        </w:tc>
        <w:tc>
          <w:tcPr>
            <w:tcW w:w="1606" w:type="dxa"/>
          </w:tcPr>
          <w:p>
            <w:pPr>
              <w:pStyle w:val="Celda"/>
            </w:pPr>
            <w:r>
              <w:t xml:space="preserve">Dejan de clasificar y redactar la primera respuesta; revisan propuestas y atienden casos complejos</w:t>
            </w:r>
          </w:p>
        </w:tc>
        <w:tc>
          <w:tcPr>
            <w:tcW w:w="1606" w:type="dxa"/>
          </w:tcPr>
          <w:p>
            <w:pPr>
              <w:pStyle w:val="Celda"/>
            </w:pPr>
            <w:r>
              <w:t xml:space="preserve">Medio</w:t>
            </w:r>
          </w:p>
        </w:tc>
        <w:tc>
          <w:tcPr>
            <w:tcW w:w="1606" w:type="dxa"/>
          </w:tcPr>
          <w:p>
            <w:pPr>
              <w:pStyle w:val="Celda"/>
            </w:pPr>
            <w:r>
              <w:t xml:space="preserve">Jefatura de reclamaciones</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Información a la representación de los trabajadores</w:t>
            </w:r>
          </w:p>
        </w:tc>
        <w:tc>
          <w:tcPr>
            <w:tcW w:w="3213" w:type="dxa"/>
          </w:tcPr>
          <w:p>
            <w:pPr>
              <w:pStyle w:val="Celda"/>
            </w:pPr>
          </w:p>
        </w:tc>
        <w:tc>
          <w:tcPr>
            <w:tcW w:w="3213" w:type="dxa"/>
          </w:tcPr>
          <w:p>
            <w:pPr>
              <w:pStyle w:val="Celda"/>
            </w:pPr>
            <w:r>
              <w:t xml:space="preserve">Sí · No · No aplica. Fecha, forma y referencia a P46. Obligatoria igual en Lite y Enterprise cuando proceda (23 §13.2). Cuando el sistema afecte a condiciones de trabajo, verifique con asesoría laboral las obligaciones de información y consulta aplicables (en el ámbito del Reglamento Europeo de IA y de la legislación laboral nacional).</w:t>
            </w:r>
          </w:p>
        </w:tc>
      </w:tr>
      <w:tr>
        <w:tc>
          <w:tcPr>
            <w:tcW w:w="3213" w:type="dxa"/>
          </w:tcPr>
          <w:p>
            <w:pPr>
              <w:pStyle w:val="Celda"/>
            </w:pPr>
            <w:r>
              <w:t xml:space="preserve">Riesgos organizativos identificados</w:t>
            </w:r>
          </w:p>
        </w:tc>
        <w:tc>
          <w:tcPr>
            <w:tcW w:w="3213" w:type="dxa"/>
          </w:tcPr>
          <w:p>
            <w:pPr>
              <w:pStyle w:val="Celda"/>
            </w:pPr>
          </w:p>
        </w:tc>
        <w:tc>
          <w:tcPr>
            <w:tcW w:w="3213" w:type="dxa"/>
          </w:tcPr>
          <w:p>
            <w:pPr>
              <w:pStyle w:val="Celda"/>
            </w:pPr>
            <w:r>
              <w:t xml:space="preserve">Referencia a los riesgos de categoría ORG en P12.</w:t>
            </w:r>
          </w:p>
        </w:tc>
      </w:tr>
    </w:tbl>
    <w:p>
      <w:pPr>
        <w:pStyle w:val="Espacio"/>
      </w:pPr>
    </w:p>
    <w:p>
      <w:pPr>
        <w:pStyle w:val="Separador"/>
      </w:pPr>
    </w:p>
    <w:p>
      <w:pPr>
        <w:pStyle w:val="Heading1"/>
      </w:pPr>
      <w:r>
        <w:t xml:space="preserve">4. Objetivos de adopción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Indicador</w:t>
            </w:r>
          </w:p>
        </w:tc>
        <w:tc>
          <w:tcPr>
            <w:tcW w:w="1606" w:type="dxa"/>
            <w:shd w:val="clear" w:color="auto" w:fill="F2DFCE"/>
          </w:tcPr>
          <w:p>
            <w:pPr>
              <w:pStyle w:val="Celda"/>
            </w:pPr>
            <w:r>
              <w:rPr>
                <w:b/>
              </w:rPr>
              <w:t xml:space="preserve">Definición</w:t>
            </w:r>
          </w:p>
        </w:tc>
        <w:tc>
          <w:tcPr>
            <w:tcW w:w="1606" w:type="dxa"/>
            <w:shd w:val="clear" w:color="auto" w:fill="F2DFCE"/>
          </w:tcPr>
          <w:p>
            <w:pPr>
              <w:pStyle w:val="Celda"/>
            </w:pPr>
            <w:r>
              <w:rPr>
                <w:b/>
              </w:rPr>
              <w:t xml:space="preserve">Línea base</w:t>
            </w:r>
          </w:p>
        </w:tc>
        <w:tc>
          <w:tcPr>
            <w:tcW w:w="1606" w:type="dxa"/>
            <w:shd w:val="clear" w:color="auto" w:fill="F2DFCE"/>
          </w:tcPr>
          <w:p>
            <w:pPr>
              <w:pStyle w:val="Celda"/>
            </w:pPr>
            <w:r>
              <w:rPr>
                <w:b/>
              </w:rPr>
              <w:t xml:space="preserve">Objetivo</w:t>
            </w:r>
          </w:p>
        </w:tc>
        <w:tc>
          <w:tcPr>
            <w:tcW w:w="1606" w:type="dxa"/>
            <w:shd w:val="clear" w:color="auto" w:fill="F2DFCE"/>
          </w:tcPr>
          <w:p>
            <w:pPr>
              <w:pStyle w:val="Celda"/>
            </w:pPr>
            <w:r>
              <w:rPr>
                <w:b/>
              </w:rPr>
              <w:t xml:space="preserve">Plazo</w:t>
            </w:r>
          </w:p>
        </w:tc>
        <w:tc>
          <w:tcPr>
            <w:tcW w:w="1606" w:type="dxa"/>
            <w:shd w:val="clear" w:color="auto" w:fill="F2DFCE"/>
          </w:tcPr>
          <w:p>
            <w:pPr>
              <w:pStyle w:val="Celda"/>
            </w:pPr>
            <w:r>
              <w:rPr>
                <w:b/>
              </w:rPr>
              <w:t xml:space="preserve">Fuente</w:t>
            </w:r>
          </w:p>
        </w:tc>
      </w:tr>
      <w:tr>
        <w:tc>
          <w:tcPr>
            <w:tcW w:w="1606" w:type="dxa"/>
          </w:tcPr>
          <w:p>
            <w:pPr>
              <w:pStyle w:val="Celda"/>
            </w:pPr>
            <w:r>
              <w:t xml:space="preserve">Uso efectivo</w:t>
            </w:r>
          </w:p>
        </w:tc>
        <w:tc>
          <w:tcPr>
            <w:tcW w:w="1606" w:type="dxa"/>
          </w:tcPr>
          <w:p>
            <w:pPr>
              <w:pStyle w:val="Celda"/>
            </w:pPr>
            <w:r>
              <w:t xml:space="preserve">Personas que usan el sistema al menos una vez por semana ÷ personas previstas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Cobertura del proceso</w:t>
            </w:r>
          </w:p>
        </w:tc>
        <w:tc>
          <w:tcPr>
            <w:tcW w:w="1606" w:type="dxa"/>
          </w:tcPr>
          <w:p>
            <w:pPr>
              <w:pStyle w:val="Celda"/>
            </w:pPr>
            <w:r>
              <w:t xml:space="preserve">Casos tratados con el sistema ÷ casos totales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Tasa de anulación humana</w:t>
            </w:r>
          </w:p>
        </w:tc>
        <w:tc>
          <w:tcPr>
            <w:tcW w:w="1606" w:type="dxa"/>
          </w:tcPr>
          <w:p>
            <w:pPr>
              <w:pStyle w:val="Celda"/>
            </w:pPr>
            <w:r>
              <w:t xml:space="preserve">Propuestas rechazadas o corregidas ÷ revisadas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P25</w:t>
            </w:r>
          </w:p>
        </w:tc>
      </w:tr>
      <w:tr>
        <w:tc>
          <w:tcPr>
            <w:tcW w:w="1606" w:type="dxa"/>
          </w:tcPr>
          <w:p>
            <w:pPr>
              <w:pStyle w:val="Celda"/>
            </w:pPr>
            <w:r>
              <w:t xml:space="preserve">Satisfacción de usuarios </w:t>
            </w:r>
            <w:r>
              <w:rPr>
                <w:b/>
              </w:rPr>
              <w:t xml:space="preserve">(Enterprise)</w:t>
            </w:r>
          </w:p>
        </w:tc>
        <w:tc>
          <w:tcPr>
            <w:tcW w:w="1606" w:type="dxa"/>
          </w:tcPr>
          <w:p>
            <w:pPr>
              <w:pStyle w:val="Celda"/>
            </w:pPr>
            <w:r>
              <w:t xml:space="preserve">Encuesta de pulso con escala declarada (P44)</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Formación y alfabetización en IA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Colectivo</w:t>
            </w:r>
          </w:p>
        </w:tc>
        <w:tc>
          <w:tcPr>
            <w:tcW w:w="1606" w:type="dxa"/>
            <w:shd w:val="clear" w:color="auto" w:fill="F2DFCE"/>
          </w:tcPr>
          <w:p>
            <w:pPr>
              <w:pStyle w:val="Celda"/>
            </w:pPr>
            <w:r>
              <w:rPr>
                <w:b/>
              </w:rPr>
              <w:t xml:space="preserve">Contenido</w:t>
            </w:r>
          </w:p>
        </w:tc>
        <w:tc>
          <w:tcPr>
            <w:tcW w:w="1606" w:type="dxa"/>
            <w:shd w:val="clear" w:color="auto" w:fill="F2DFCE"/>
          </w:tcPr>
          <w:p>
            <w:pPr>
              <w:pStyle w:val="Celda"/>
            </w:pPr>
            <w:r>
              <w:rPr>
                <w:b/>
              </w:rPr>
              <w:t xml:space="preserve">Modalidad</w:t>
            </w:r>
          </w:p>
        </w:tc>
        <w:tc>
          <w:tcPr>
            <w:tcW w:w="1606" w:type="dxa"/>
            <w:shd w:val="clear" w:color="auto" w:fill="F2DFCE"/>
          </w:tcPr>
          <w:p>
            <w:pPr>
              <w:pStyle w:val="Celda"/>
            </w:pPr>
            <w:r>
              <w:rPr>
                <w:b/>
              </w:rPr>
              <w:t xml:space="preserve">Horas por persona</w:t>
            </w:r>
          </w:p>
        </w:tc>
        <w:tc>
          <w:tcPr>
            <w:tcW w:w="1606" w:type="dxa"/>
            <w:shd w:val="clear" w:color="auto" w:fill="F2DFCE"/>
          </w:tcPr>
          <w:p>
            <w:pPr>
              <w:pStyle w:val="Celda"/>
            </w:pPr>
            <w:r>
              <w:rPr>
                <w:b/>
              </w:rPr>
              <w:t xml:space="preserve">Fecha prevista</w:t>
            </w:r>
          </w:p>
        </w:tc>
        <w:tc>
          <w:tcPr>
            <w:tcW w:w="1606" w:type="dxa"/>
            <w:shd w:val="clear" w:color="auto" w:fill="F2DFCE"/>
          </w:tcPr>
          <w:p>
            <w:pPr>
              <w:pStyle w:val="Celda"/>
            </w:pPr>
            <w:r>
              <w:rPr>
                <w:b/>
              </w:rPr>
              <w:t xml:space="preserve">Evidencia de realización</w:t>
            </w:r>
          </w:p>
        </w:tc>
      </w:tr>
      <w:tr>
        <w:tc>
          <w:tcPr>
            <w:tcW w:w="1606" w:type="dxa"/>
          </w:tcPr>
          <w:p>
            <w:pPr>
              <w:pStyle w:val="Celda"/>
            </w:pPr>
            <w:r>
              <w:t xml:space="preserve">Supervisores designados (P17)</w:t>
            </w:r>
          </w:p>
        </w:tc>
        <w:tc>
          <w:tcPr>
            <w:tcW w:w="1606" w:type="dxa"/>
          </w:tcPr>
          <w:p>
            <w:pPr>
              <w:pStyle w:val="Celda"/>
            </w:pPr>
            <w:r>
              <w:t xml:space="preserve">Capacidades y limitaciones del sistema; riesgo de confiar en exceso; cómo corregir, anular e interrumpir</w:t>
            </w:r>
          </w:p>
        </w:tc>
        <w:tc>
          <w:tcPr>
            <w:tcW w:w="1606" w:type="dxa"/>
          </w:tcPr>
          <w:p>
            <w:pPr>
              <w:pStyle w:val="Celda"/>
            </w:pPr>
            <w:r>
              <w:t xml:space="preserve">Presencial con casos prácticos</w:t>
            </w:r>
          </w:p>
        </w:tc>
        <w:tc>
          <w:tcPr>
            <w:tcW w:w="1606" w:type="dxa"/>
          </w:tcPr>
          <w:p>
            <w:pPr>
              <w:pStyle w:val="Celda"/>
            </w:pPr>
          </w:p>
        </w:tc>
        <w:tc>
          <w:tcPr>
            <w:tcW w:w="1606" w:type="dxa"/>
          </w:tcPr>
          <w:p>
            <w:pPr>
              <w:pStyle w:val="Celda"/>
            </w:pPr>
          </w:p>
        </w:tc>
        <w:tc>
          <w:tcPr>
            <w:tcW w:w="1606" w:type="dxa"/>
          </w:tcPr>
          <w:p>
            <w:pPr>
              <w:pStyle w:val="Celda"/>
            </w:pPr>
            <w:r>
              <w:t xml:space="preserve">Registro de asistencia y prueba</w:t>
            </w:r>
          </w:p>
        </w:tc>
      </w:tr>
      <w:tr>
        <w:tc>
          <w:tcPr>
            <w:tcW w:w="1606" w:type="dxa"/>
          </w:tcPr>
          <w:p>
            <w:pPr>
              <w:pStyle w:val="Celda"/>
            </w:pPr>
            <w:r>
              <w:t xml:space="preserve">Usuarios</w:t>
            </w:r>
          </w:p>
        </w:tc>
        <w:tc>
          <w:tcPr>
            <w:tcW w:w="1606" w:type="dxa"/>
          </w:tcPr>
          <w:p>
            <w:pPr>
              <w:pStyle w:val="Celda"/>
            </w:pPr>
            <w:r>
              <w:t xml:space="preserve">Uso, límites y qué no debe introducirse en el sistema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Responsables y mandos</w:t>
            </w:r>
          </w:p>
        </w:tc>
        <w:tc>
          <w:tcPr>
            <w:tcW w:w="1606" w:type="dxa"/>
          </w:tcPr>
          <w:p>
            <w:pPr>
              <w:pStyle w:val="Celda"/>
            </w:pPr>
            <w:r>
              <w:t xml:space="preserve">Indicadores, supervisión agregada y escalado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6. Comunicación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Mensaje</w:t>
            </w:r>
          </w:p>
        </w:tc>
        <w:tc>
          <w:tcPr>
            <w:tcW w:w="1928" w:type="dxa"/>
            <w:shd w:val="clear" w:color="auto" w:fill="F2DFCE"/>
          </w:tcPr>
          <w:p>
            <w:pPr>
              <w:pStyle w:val="Celda"/>
            </w:pPr>
            <w:r>
              <w:rPr>
                <w:b/>
              </w:rPr>
              <w:t xml:space="preserve">Destinatarios</w:t>
            </w:r>
          </w:p>
        </w:tc>
        <w:tc>
          <w:tcPr>
            <w:tcW w:w="1928" w:type="dxa"/>
            <w:shd w:val="clear" w:color="auto" w:fill="F2DFCE"/>
          </w:tcPr>
          <w:p>
            <w:pPr>
              <w:pStyle w:val="Celda"/>
            </w:pPr>
            <w:r>
              <w:rPr>
                <w:b/>
              </w:rPr>
              <w:t xml:space="preserve">Canal</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Responsable</w:t>
            </w:r>
          </w:p>
        </w:tc>
      </w:tr>
      <w:tr>
        <w:tc>
          <w:tcPr>
            <w:tcW w:w="1928" w:type="dxa"/>
          </w:tcPr>
          <w:p>
            <w:pPr>
              <w:pStyle w:val="Celda"/>
            </w:pPr>
            <w:r>
              <w:t xml:space="preserve">Qué es el sistema, para qué sirve y qué no cambia </w:t>
            </w:r>
            <w:r>
              <w:rPr>
                <w:i/>
              </w:rPr>
              <w:t xml:space="preserve">(ejemplo ilustrativo)</w:t>
            </w:r>
          </w:p>
        </w:tc>
        <w:tc>
          <w:tcPr>
            <w:tcW w:w="1928" w:type="dxa"/>
          </w:tcPr>
          <w:p>
            <w:pPr>
              <w:pStyle w:val="Celda"/>
            </w:pPr>
            <w:r>
              <w:t xml:space="preserve">Área usuaria</w:t>
            </w:r>
          </w:p>
        </w:tc>
        <w:tc>
          <w:tcPr>
            <w:tcW w:w="1928" w:type="dxa"/>
          </w:tcPr>
          <w:p>
            <w:pPr>
              <w:pStyle w:val="Celda"/>
            </w:pPr>
            <w:r>
              <w:t xml:space="preserve">Reunión de equipo y nota interna</w:t>
            </w:r>
          </w:p>
        </w:tc>
        <w:tc>
          <w:tcPr>
            <w:tcW w:w="1928" w:type="dxa"/>
          </w:tcPr>
          <w:p>
            <w:pPr>
              <w:pStyle w:val="Celda"/>
            </w:pPr>
            <w:r>
              <w:t xml:space="preserve">Dos semanas antes del piloto</w:t>
            </w:r>
          </w:p>
        </w:tc>
        <w:tc>
          <w:tcPr>
            <w:tcW w:w="1928" w:type="dxa"/>
          </w:tcPr>
          <w:p>
            <w:pPr>
              <w:pStyle w:val="Celda"/>
            </w:pPr>
            <w:r>
              <w:t xml:space="preserve">Responsable de producto de IA</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7. Capacidad liberada y su destino</w:t>
      </w:r>
    </w:p>
    <w:p>
      <w:r>
        <w:rPr>
          <w:b/>
        </w:rPr>
        <w:t xml:space="preserve">Destino previsto</w:t>
      </w:r>
      <w:r>
        <w:t xml:space="preserve"> (50 §6.4): PER-D1 Materializar en menor coste real · PER-D2 Reasignar a una actividad definida · PER-D3 Absorber crecimiento · PER-D4 Reinvertir en calidad, servicio o cumplimiento · PER-D5 Sin decisión. </w:t>
      </w:r>
      <w:r>
        <w:rPr>
          <w:b/>
        </w:rPr>
        <w:t xml:space="preserve">Estado de la estimación:</w:t>
      </w:r>
      <w:r>
        <w:t xml:space="preserve"> Validado · Declarado · Estimado.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Colectivo o actividad</w:t>
            </w:r>
          </w:p>
        </w:tc>
        <w:tc>
          <w:tcPr>
            <w:tcW w:w="1205" w:type="dxa"/>
            <w:shd w:val="clear" w:color="auto" w:fill="F2DFCE"/>
          </w:tcPr>
          <w:p>
            <w:pPr>
              <w:pStyle w:val="Celda"/>
            </w:pPr>
            <w:r>
              <w:rPr>
                <w:b/>
              </w:rPr>
              <w:t xml:space="preserve">Horas liberadas por periodo</w:t>
            </w:r>
          </w:p>
        </w:tc>
        <w:tc>
          <w:tcPr>
            <w:tcW w:w="1205" w:type="dxa"/>
            <w:shd w:val="clear" w:color="auto" w:fill="F2DFCE"/>
          </w:tcPr>
          <w:p>
            <w:pPr>
              <w:pStyle w:val="Celda"/>
            </w:pPr>
            <w:r>
              <w:rPr>
                <w:b/>
              </w:rPr>
              <w:t xml:space="preserve">Fórmula</w:t>
            </w:r>
          </w:p>
        </w:tc>
        <w:tc>
          <w:tcPr>
            <w:tcW w:w="1205" w:type="dxa"/>
            <w:shd w:val="clear" w:color="auto" w:fill="F2DFCE"/>
          </w:tcPr>
          <w:p>
            <w:pPr>
              <w:pStyle w:val="Celda"/>
            </w:pPr>
            <w:r>
              <w:rPr>
                <w:b/>
              </w:rPr>
              <w:t xml:space="preserve">Estado</w:t>
            </w:r>
          </w:p>
        </w:tc>
        <w:tc>
          <w:tcPr>
            <w:tcW w:w="1205" w:type="dxa"/>
            <w:shd w:val="clear" w:color="auto" w:fill="F2DFCE"/>
          </w:tcPr>
          <w:p>
            <w:pPr>
              <w:pStyle w:val="Celda"/>
            </w:pPr>
            <w:r>
              <w:rPr>
                <w:b/>
              </w:rPr>
              <w:t xml:space="preserve">Destino previsto</w:t>
            </w:r>
          </w:p>
        </w:tc>
        <w:tc>
          <w:tcPr>
            <w:tcW w:w="1205" w:type="dxa"/>
            <w:shd w:val="clear" w:color="auto" w:fill="F2DFCE"/>
          </w:tcPr>
          <w:p>
            <w:pPr>
              <w:pStyle w:val="Celda"/>
            </w:pPr>
            <w:r>
              <w:rPr>
                <w:b/>
              </w:rPr>
              <w:t xml:space="preserve">Actividad de destino o partida de coste que se reduce</w:t>
            </w:r>
          </w:p>
        </w:tc>
        <w:tc>
          <w:tcPr>
            <w:tcW w:w="1205" w:type="dxa"/>
            <w:shd w:val="clear" w:color="auto" w:fill="F2DFCE"/>
          </w:tcPr>
          <w:p>
            <w:pPr>
              <w:pStyle w:val="Celda"/>
            </w:pPr>
            <w:r>
              <w:rPr>
                <w:b/>
              </w:rPr>
              <w:t xml:space="preserve">Responsable de la decisión</w:t>
            </w:r>
          </w:p>
        </w:tc>
        <w:tc>
          <w:tcPr>
            <w:tcW w:w="1205" w:type="dxa"/>
            <w:shd w:val="clear" w:color="auto" w:fill="F2DFCE"/>
          </w:tcPr>
          <w:p>
            <w:pPr>
              <w:pStyle w:val="Celda"/>
            </w:pPr>
            <w:r>
              <w:rPr>
                <w:b/>
              </w:rPr>
              <w:t xml:space="preserve">Fecha prevista</w:t>
            </w:r>
          </w:p>
        </w:tc>
      </w:tr>
      <w:tr>
        <w:tc>
          <w:tcPr>
            <w:tcW w:w="1205" w:type="dxa"/>
          </w:tcPr>
          <w:p>
            <w:pPr>
              <w:pStyle w:val="Celda"/>
            </w:pPr>
            <w:r>
              <w:t xml:space="preserve">Gestores de reclamaciones </w:t>
            </w:r>
            <w:r>
              <w:rPr>
                <w:i/>
              </w:rPr>
              <w:t xml:space="preserve">(ejemplo ilustrativo)</w:t>
            </w:r>
          </w:p>
        </w:tc>
        <w:tc>
          <w:tcPr>
            <w:tcW w:w="1205" w:type="dxa"/>
          </w:tcPr>
          <w:p>
            <w:pPr>
              <w:pStyle w:val="Celda"/>
            </w:pPr>
            <w:r>
              <w:t xml:space="preserve">1.100 h/mes</w:t>
            </w:r>
          </w:p>
        </w:tc>
        <w:tc>
          <w:tcPr>
            <w:tcW w:w="1205" w:type="dxa"/>
          </w:tcPr>
          <w:p>
            <w:pPr>
              <w:pStyle w:val="Celda"/>
            </w:pPr>
            <w:r>
              <w:t xml:space="preserve">5.500 casos/mes × 12 min ahorrados por caso ÷ 60</w:t>
            </w:r>
          </w:p>
        </w:tc>
        <w:tc>
          <w:tcPr>
            <w:tcW w:w="1205" w:type="dxa"/>
          </w:tcPr>
          <w:p>
            <w:pPr>
              <w:pStyle w:val="Celda"/>
            </w:pPr>
            <w:r>
              <w:t xml:space="preserve">Estimado</w:t>
            </w:r>
          </w:p>
        </w:tc>
        <w:tc>
          <w:tcPr>
            <w:tcW w:w="1205" w:type="dxa"/>
          </w:tcPr>
          <w:p>
            <w:pPr>
              <w:pStyle w:val="Celda"/>
            </w:pPr>
            <w:r>
              <w:t xml:space="preserve">Reasignación explícita</w:t>
            </w:r>
          </w:p>
        </w:tc>
        <w:tc>
          <w:tcPr>
            <w:tcW w:w="1205" w:type="dxa"/>
          </w:tcPr>
          <w:p>
            <w:pPr>
              <w:pStyle w:val="Celda"/>
            </w:pPr>
            <w:r>
              <w:t xml:space="preserve">Atención proactiva a clientes con reclamaciones repetidas</w:t>
            </w:r>
          </w:p>
        </w:tc>
        <w:tc>
          <w:tcPr>
            <w:tcW w:w="1205" w:type="dxa"/>
          </w:tcPr>
          <w:p>
            <w:pPr>
              <w:pStyle w:val="Celda"/>
            </w:pPr>
            <w:r>
              <w:t xml:space="preserve">Dirección del área</w:t>
            </w:r>
          </w:p>
        </w:tc>
        <w:tc>
          <w:tcPr>
            <w:tcW w:w="1205" w:type="dxa"/>
          </w:tcPr>
          <w:p>
            <w:pPr>
              <w:pStyle w:val="Celda"/>
            </w:pPr>
            <w:r>
              <w:t xml:space="preserve">Mes 3 tras la puesta en producción</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Notas:</w:t>
      </w:r>
    </w:p>
    <w:p>
      <w:pPr>
        <w:pStyle w:val="Lista"/>
      </w:pPr>
      <w:r>
        <w:t xml:space="preserve">• La absorción de crecimiento de volumen solo cuenta como valor si se documenta el coste que se habría incurrido sin el sistema (P08).</w:t>
      </w:r>
    </w:p>
    <w:p>
      <w:pPr>
        <w:pStyle w:val="Lista"/>
      </w:pPr>
      <w:r>
        <w:t xml:space="preserve">• PER-D4 no suma salvo traducción a dinero con fórmula (regla 7). "Sin decisión" (PER-D5) es una respuesta válida en el plan, no suma y se informa aparte, pero debe resolverse antes de G7; en Optimizar, G7 exige ahorro materializado y en Aumentar, capacidad reasignada (01 §7.6).</w:t>
      </w:r>
    </w:p>
    <w:p>
      <w:pPr>
        <w:pStyle w:val="Separador"/>
      </w:pPr>
    </w:p>
    <w:p>
      <w:pPr>
        <w:pStyle w:val="Heading1"/>
      </w:pPr>
      <w:r>
        <w:t xml:space="preserve">8. Seguimiento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Periodo</w:t>
            </w:r>
          </w:p>
        </w:tc>
        <w:tc>
          <w:tcPr>
            <w:tcW w:w="1606" w:type="dxa"/>
            <w:shd w:val="clear" w:color="auto" w:fill="F2DFCE"/>
          </w:tcPr>
          <w:p>
            <w:pPr>
              <w:pStyle w:val="Celda"/>
            </w:pPr>
            <w:r>
              <w:rPr>
                <w:b/>
              </w:rPr>
              <w:t xml:space="preserve">Indicador</w:t>
            </w:r>
          </w:p>
        </w:tc>
        <w:tc>
          <w:tcPr>
            <w:tcW w:w="1606" w:type="dxa"/>
            <w:shd w:val="clear" w:color="auto" w:fill="F2DFCE"/>
          </w:tcPr>
          <w:p>
            <w:pPr>
              <w:pStyle w:val="Celda"/>
            </w:pPr>
            <w:r>
              <w:rPr>
                <w:b/>
              </w:rPr>
              <w:t xml:space="preserve">Real</w:t>
            </w:r>
          </w:p>
        </w:tc>
        <w:tc>
          <w:tcPr>
            <w:tcW w:w="1606" w:type="dxa"/>
            <w:shd w:val="clear" w:color="auto" w:fill="F2DFCE"/>
          </w:tcPr>
          <w:p>
            <w:pPr>
              <w:pStyle w:val="Celda"/>
            </w:pPr>
            <w:r>
              <w:rPr>
                <w:b/>
              </w:rPr>
              <w:t xml:space="preserve">Objetivo</w:t>
            </w:r>
          </w:p>
        </w:tc>
        <w:tc>
          <w:tcPr>
            <w:tcW w:w="1606" w:type="dxa"/>
            <w:shd w:val="clear" w:color="auto" w:fill="F2DFCE"/>
          </w:tcPr>
          <w:p>
            <w:pPr>
              <w:pStyle w:val="Celda"/>
            </w:pPr>
            <w:r>
              <w:rPr>
                <w:b/>
              </w:rPr>
              <w:t xml:space="preserve">Desviación</w:t>
            </w:r>
          </w:p>
        </w:tc>
        <w:tc>
          <w:tcPr>
            <w:tcW w:w="1606" w:type="dxa"/>
            <w:shd w:val="clear" w:color="auto" w:fill="F2DFCE"/>
          </w:tcPr>
          <w:p>
            <w:pPr>
              <w:pStyle w:val="Celda"/>
            </w:pPr>
            <w:r>
              <w:rPr>
                <w:b/>
              </w:rPr>
              <w:t xml:space="preserve">Acción y responsable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Frecuencia de seguimiento</w:t>
            </w:r>
          </w:p>
        </w:tc>
        <w:tc>
          <w:tcPr>
            <w:tcW w:w="3213" w:type="dxa"/>
          </w:tcPr>
          <w:p>
            <w:pPr>
              <w:pStyle w:val="Celda"/>
            </w:pPr>
          </w:p>
        </w:tc>
        <w:tc>
          <w:tcPr>
            <w:tcW w:w="3213" w:type="dxa"/>
          </w:tcPr>
          <w:p>
            <w:pPr>
              <w:pStyle w:val="Celda"/>
            </w:pPr>
            <w:r>
              <w:t xml:space="preserve">Mensual durante los primeros seis meses; después, con cada R6.</w:t>
            </w:r>
          </w:p>
        </w:tc>
      </w:tr>
      <w:tr>
        <w:tc>
          <w:tcPr>
            <w:tcW w:w="3213" w:type="dxa"/>
          </w:tcPr>
          <w:p>
            <w:pPr>
              <w:pStyle w:val="Celda"/>
            </w:pPr>
            <w:r>
              <w:t xml:space="preserve">Quién recibe el seguimiento</w:t>
            </w:r>
          </w:p>
        </w:tc>
        <w:tc>
          <w:tcPr>
            <w:tcW w:w="3213" w:type="dxa"/>
          </w:tcPr>
          <w:p>
            <w:pPr>
              <w:pStyle w:val="Celda"/>
            </w:pPr>
          </w:p>
        </w:tc>
        <w:tc>
          <w:tcPr>
            <w:tcW w:w="3213" w:type="dxa"/>
          </w:tcPr>
          <w:p>
            <w:pPr>
              <w:pStyle w:val="Celda"/>
            </w:pPr>
            <w:r>
              <w:t xml:space="preserve">Patrocinador y, en Enterprise, comité de IA.</w:t>
            </w:r>
          </w:p>
        </w:tc>
      </w:tr>
      <w:tr>
        <w:tc>
          <w:tcPr>
            <w:tcW w:w="3213" w:type="dxa"/>
          </w:tcPr>
          <w:p>
            <w:pPr>
              <w:pStyle w:val="Celda"/>
            </w:pPr>
            <w:r>
              <w:t xml:space="preserve">Umbral de adopción que activa revisión</w:t>
            </w:r>
          </w:p>
        </w:tc>
        <w:tc>
          <w:tcPr>
            <w:tcW w:w="3213" w:type="dxa"/>
          </w:tcPr>
          <w:p>
            <w:pPr>
              <w:pStyle w:val="Celda"/>
            </w:pPr>
          </w:p>
        </w:tc>
        <w:tc>
          <w:tcPr>
            <w:tcW w:w="3213" w:type="dxa"/>
          </w:tcPr>
          <w:p>
            <w:pPr>
              <w:pStyle w:val="Celda"/>
            </w:pPr>
            <w:r>
              <w:t xml:space="preserve">Por ejemplo, uso efectivo inferior al objetivo durante dos periodos; enlaza con el motivo de parada </w:t>
            </w:r>
            <w:r>
              <w:rPr>
                <w:i/>
              </w:rPr>
              <w:t xml:space="preserve">Sin adopción</w:t>
            </w:r>
            <w:r>
              <w:t xml:space="preserve">.</w:t>
            </w:r>
          </w:p>
        </w:tc>
      </w:tr>
    </w:tbl>
    <w:p>
      <w:pPr>
        <w:pStyle w:val="Espacio"/>
      </w:pPr>
    </w:p>
    <w:p>
      <w:pPr>
        <w:pStyle w:val="Separador"/>
      </w:pPr>
    </w:p>
    <w:p>
      <w:pPr>
        <w:pStyle w:val="Heading1"/>
      </w:pPr>
      <w:r>
        <w:t xml:space="preserve">9. Criterios de calidad</w:t>
      </w:r>
    </w:p>
    <w:p>
      <w:r>
        <w:t xml:space="preserve">Criterios formales de G4, G5 y G7 en el documento 21.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Todos los colectivos afectados están identificados con su cambio de trabajo.</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Los objetivos de adopción son medibles, con línea base, plazo y fuente.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supervisores designados en P17 tienen formación planificada y registrada.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capacidad liberada tiene fórmula, estado y destino previsto, y no se presenta como ahorro.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Existe seguimiento con umbral que activa revisión.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En Aumentar y Transformar, el plan incluye el efecto sobre roles y responsabilidades.</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Compromiso de destino de la capacidad</w:t>
            </w:r>
          </w:p>
        </w:tc>
        <w:tc>
          <w:tcPr>
            <w:tcW w:w="1928" w:type="dxa"/>
          </w:tcPr>
          <w:p>
            <w:pPr>
              <w:pStyle w:val="Celda"/>
            </w:pPr>
            <w:r>
              <w:t xml:space="preserve">Dirección del área usuaria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del </w:t>
            </w:r>
            <w:r>
              <w:rPr>
                <w:i/>
              </w:rPr>
              <w:t xml:space="preserve">gate</w:t>
            </w:r>
          </w:p>
        </w:tc>
        <w:tc>
          <w:tcPr>
            <w:tcW w:w="1928" w:type="dxa"/>
          </w:tcPr>
          <w:p>
            <w:pPr>
              <w:pStyle w:val="Celda"/>
            </w:pPr>
            <w:r>
              <w:t xml:space="preserve">Según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verificador no forma parte del equipo que construye.</w:t>
      </w:r>
    </w:p>
    <w:p>
      <w:pPr>
        <w:pStyle w:val="Separador"/>
      </w:pPr>
    </w:p>
    <w:p>
      <w:pPr>
        <w:pStyle w:val="Heading1"/>
      </w:pPr>
      <w:r>
        <w:t xml:space="preserve">11.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P20 · Plan de adopción y capacidad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P20 · Plan de adopción y capacidad</dc:title>
  <dc:creator>Fernando García Varela</dc:creator>
  <dc:language>es</dc:language>
  <dc:description>sha256:2bd0fc86c22b8da0cd6303117cca578f4e7a745b2e2af1b4dca44db1e9343909</dc:description>
  <cp:keywords>SEVEN-G</cp:keywords>
</cp:coreProperties>
</file>