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Informe de entrega</w:t>
      </w:r>
    </w:p>
    <w:p>
      <w:r>
        <w:rPr>
          <w:b/>
        </w:rPr>
        <w:t xml:space="preserve">Deja constancia de qué se ha construido o integrado frente al diseño aprobado en G4, con qué coste y plazo, y en qué estado se entrega a la operación.</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Documento</w:t>
            </w:r>
          </w:p>
        </w:tc>
        <w:tc>
          <w:tcPr>
            <w:tcW w:w="4819" w:type="dxa"/>
          </w:tcPr>
          <w:p>
            <w:pPr>
              <w:pStyle w:val="Celda"/>
            </w:pPr>
            <w:r>
              <w:t xml:space="preserve">Plantilla P21 · Informe de entrega</w:t>
            </w:r>
          </w:p>
        </w:tc>
      </w:tr>
      <w:tr>
        <w:tc>
          <w:tcPr>
            <w:tcW w:w="4819" w:type="dxa"/>
          </w:tcPr>
          <w:p>
            <w:pPr>
              <w:pStyle w:val="Celda"/>
            </w:pPr>
            <w:r>
              <w:t xml:space="preserve">Versión</w:t>
            </w:r>
          </w:p>
        </w:tc>
        <w:tc>
          <w:tcPr>
            <w:tcW w:w="4819" w:type="dxa"/>
          </w:tcPr>
          <w:p>
            <w:pPr>
              <w:pStyle w:val="Celda"/>
            </w:pPr>
            <w:r>
              <w:t xml:space="preserve">0.1 (borrador de trabajo)</w:t>
            </w:r>
          </w:p>
        </w:tc>
      </w:tr>
      <w:tr>
        <w:tc>
          <w:tcPr>
            <w:tcW w:w="4819" w:type="dxa"/>
          </w:tcPr>
          <w:p>
            <w:pPr>
              <w:pStyle w:val="Celda"/>
            </w:pPr>
            <w:r>
              <w:t xml:space="preserve">Fecha</w:t>
            </w:r>
          </w:p>
        </w:tc>
        <w:tc>
          <w:tcPr>
            <w:tcW w:w="4819" w:type="dxa"/>
          </w:tcPr>
          <w:p>
            <w:pPr>
              <w:pStyle w:val="Celda"/>
            </w:pPr>
            <w:r>
              <w:t xml:space="preserve">16-09-2026</w:t>
            </w:r>
          </w:p>
        </w:tc>
      </w:tr>
      <w:tr>
        <w:tc>
          <w:tcPr>
            <w:tcW w:w="4819" w:type="dxa"/>
          </w:tcPr>
          <w:p>
            <w:pPr>
              <w:pStyle w:val="Celda"/>
            </w:pPr>
            <w:r>
              <w:t xml:space="preserve">Autor</w:t>
            </w:r>
          </w:p>
        </w:tc>
        <w:tc>
          <w:tcPr>
            <w:tcW w:w="4819" w:type="dxa"/>
          </w:tcPr>
          <w:p>
            <w:pPr>
              <w:pStyle w:val="Celda"/>
            </w:pPr>
            <w:r>
              <w:t xml:space="preserve">Fernando García Varela</w:t>
            </w:r>
          </w:p>
        </w:tc>
      </w:tr>
      <w:tr>
        <w:tc>
          <w:tcPr>
            <w:tcW w:w="4819" w:type="dxa"/>
          </w:tcPr>
          <w:p>
            <w:pPr>
              <w:pStyle w:val="Celda"/>
            </w:pPr>
            <w:r>
              <w:t xml:space="preserve">Estado</w:t>
            </w:r>
          </w:p>
        </w:tc>
        <w:tc>
          <w:tcPr>
            <w:tcW w:w="4819" w:type="dxa"/>
          </w:tcPr>
          <w:p>
            <w:pPr>
              <w:pStyle w:val="Celda"/>
            </w:pPr>
            <w:r>
              <w:t xml:space="preserve">Borrador para revisión.</w:t>
            </w:r>
          </w:p>
        </w:tc>
      </w:tr>
    </w:tbl>
    <w:p>
      <w:pPr>
        <w:pStyle w:val="Espacio"/>
      </w:pPr>
    </w:p>
    <w:p>
      <w:pPr>
        <w:pStyle w:val="Separador"/>
      </w:pPr>
    </w:p>
    <w:p>
      <w:pPr>
        <w:pStyle w:val="Cita"/>
      </w:pPr>
      <w:r>
        <w:rPr>
          <w:b/>
        </w:rPr>
        <w:t xml:space="preserve">Aviso legal y exención de responsabilidad.</w:t>
      </w:r>
      <w:r>
        <w:t xml:space="preserve"> SEVEN-G es un marco metodológico de referencia que se ofrece «tal cual» y con fines exclusivamente informativos. No constituye asesoramiento jurídico, regulatorio, financiero ni profesional, ni garantiza el cumplimiento de ninguna norma. Las referencias a regulación general (como el Reglamento Europeo de IA, el RGPD, DORA o NIS2), a normas técnicas y a regulación específica de cada sector o jurisdicción pueden ser incompletas, no aplicar a un caso concreto o quedar desactualizadas por cambios normativos, interpretaciones o criterios de las autoridades posteriores a su fecha de consulta. </w:t>
      </w:r>
      <w:r>
        <w:rPr>
          <w:b/>
        </w:rPr>
        <w:t xml:space="preserve">Cada organización que use SEVEN-G es la única responsable de identificar la normativa que le aplica, verificar su vigencia y certificar su propio cumplimiento regulatorio</w:t>
      </w:r>
      <w:r>
        <w:t xml:space="preserve">, con el asesoramiento cualificado que corresponda. Esta metodología es una ayuda genérica y gratuita, compartida con la comunidad para que nadie tenga que empezar desde cero; cada persona u organización puede y debe adaptarla a su propio uso. No debe entenderse que sus partes jurídicamente sensibles hayan sido revisadas por una asesoría jurídica: esas revisiones, para cada empresa o sector, son responsabilidad última de la empresa, el consultor o la organización que la use. Aunque se procura mantenerla al día, alguna norma puede haber cambiado sin que se recoja aquí. En la máxima medida permitida por la ley, el autor no asume responsabilidad alguna por los efectos de su aplicación en ninguna organización ni por su aplicabilidad completa. La metodología no otorga certificación de ningún tipo. El autor no asume responsabilidad alguna por el uso que se haga de este contenido ni por las decisiones que se adopten con él. Los datos, cifras, compañías y casos de los ejemplos son ficticios o ilustrativos.</w:t>
      </w:r>
    </w:p>
    <w:p>
      <w:pPr>
        <w:pStyle w:val="Heading1"/>
      </w:pPr>
      <w:r>
        <w:t xml:space="preserve">1. Instrucciones de uso</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Aspecto</w:t>
            </w:r>
          </w:p>
        </w:tc>
        <w:tc>
          <w:tcPr>
            <w:tcW w:w="4819" w:type="dxa"/>
            <w:shd w:val="clear" w:color="auto" w:fill="F2DFCE"/>
          </w:tcPr>
          <w:p>
            <w:pPr>
              <w:pStyle w:val="Celda"/>
            </w:pPr>
            <w:r>
              <w:rPr>
                <w:b/>
              </w:rPr>
              <w:t xml:space="preserve">Indicación</w:t>
            </w:r>
          </w:p>
        </w:tc>
      </w:tr>
      <w:tr>
        <w:tc>
          <w:tcPr>
            <w:tcW w:w="4819" w:type="dxa"/>
          </w:tcPr>
          <w:p>
            <w:pPr>
              <w:pStyle w:val="Celda"/>
            </w:pPr>
            <w:r>
              <w:rPr>
                <w:b/>
              </w:rPr>
              <w:t xml:space="preserve">Cuándo se usa</w:t>
            </w:r>
          </w:p>
        </w:tc>
        <w:tc>
          <w:tcPr>
            <w:tcW w:w="4819" w:type="dxa"/>
          </w:tcPr>
          <w:p>
            <w:pPr>
              <w:pStyle w:val="Celda"/>
            </w:pPr>
            <w:r>
              <w:t xml:space="preserve">Fase 5 (Entrega y validación), al terminar la construcción o integración y antes de solicitar G5.</w:t>
            </w:r>
          </w:p>
        </w:tc>
      </w:tr>
      <w:tr>
        <w:tc>
          <w:tcPr>
            <w:tcW w:w="4819" w:type="dxa"/>
          </w:tcPr>
          <w:p>
            <w:pPr>
              <w:pStyle w:val="Celda"/>
            </w:pPr>
            <w:r>
              <w:rPr>
                <w:b/>
              </w:rPr>
              <w:t xml:space="preserve">Quién la rellena</w:t>
            </w:r>
          </w:p>
        </w:tc>
        <w:tc>
          <w:tcPr>
            <w:tcW w:w="4819" w:type="dxa"/>
          </w:tcPr>
          <w:p>
            <w:pPr>
              <w:pStyle w:val="Celda"/>
            </w:pPr>
            <w:r>
              <w:t xml:space="preserve">Responsable técnico de IA, con el responsable de producto de IA. Si hay proveedor, este aporta la información, pero el informe lo firma el responsable técnico de la compañía.</w:t>
            </w:r>
          </w:p>
        </w:tc>
      </w:tr>
      <w:tr>
        <w:tc>
          <w:tcPr>
            <w:tcW w:w="4819" w:type="dxa"/>
          </w:tcPr>
          <w:p>
            <w:pPr>
              <w:pStyle w:val="Celda"/>
            </w:pPr>
            <w:r>
              <w:rPr>
                <w:b/>
              </w:rPr>
              <w:t xml:space="preserve">Quién la verifica</w:t>
            </w:r>
          </w:p>
        </w:tc>
        <w:tc>
          <w:tcPr>
            <w:tcW w:w="4819" w:type="dxa"/>
          </w:tcPr>
          <w:p>
            <w:pPr>
              <w:pStyle w:val="Celda"/>
            </w:pPr>
            <w:r>
              <w:t xml:space="preserve">Responsable de riesgos de IA en Lite; auditor de IA en Enterprise.</w:t>
            </w:r>
          </w:p>
        </w:tc>
      </w:tr>
      <w:tr>
        <w:tc>
          <w:tcPr>
            <w:tcW w:w="4819" w:type="dxa"/>
          </w:tcPr>
          <w:p>
            <w:pPr>
              <w:pStyle w:val="Celda"/>
            </w:pPr>
            <w:r>
              <w:rPr>
                <w:b/>
              </w:rPr>
              <w:t xml:space="preserve">En qué </w:t>
            </w:r>
            <w:r>
              <w:rPr>
                <w:b/>
                <w:i/>
              </w:rPr>
              <w:t xml:space="preserve">gate</w:t>
            </w:r>
            <w:r>
              <w:rPr>
                <w:b/>
              </w:rPr>
              <w:t xml:space="preserve"> se revisa</w:t>
            </w:r>
          </w:p>
        </w:tc>
        <w:tc>
          <w:tcPr>
            <w:tcW w:w="4819" w:type="dxa"/>
          </w:tcPr>
          <w:p>
            <w:pPr>
              <w:pStyle w:val="Celda"/>
            </w:pPr>
            <w:r>
              <w:t xml:space="preserve">G5 · Puesta en producción.</w:t>
            </w:r>
          </w:p>
        </w:tc>
      </w:tr>
      <w:tr>
        <w:tc>
          <w:tcPr>
            <w:tcW w:w="4819" w:type="dxa"/>
          </w:tcPr>
          <w:p>
            <w:pPr>
              <w:pStyle w:val="Celda"/>
            </w:pPr>
            <w:r>
              <w:rPr>
                <w:b/>
              </w:rPr>
              <w:t xml:space="preserve">Lite frente a Enterprise</w:t>
            </w:r>
          </w:p>
        </w:tc>
        <w:tc>
          <w:tcPr>
            <w:tcW w:w="4819" w:type="dxa"/>
          </w:tcPr>
          <w:p>
            <w:pPr>
              <w:pStyle w:val="Celda"/>
            </w:pPr>
            <w:r>
              <w:t xml:space="preserve">Lite puede omitir los campos marcados </w:t>
            </w:r>
            <w:r>
              <w:rPr>
                <w:b/>
              </w:rPr>
              <w:t xml:space="preserve">(Enterprise)</w:t>
            </w:r>
            <w:r>
              <w:t xml:space="preserve">.</w:t>
            </w:r>
          </w:p>
        </w:tc>
      </w:tr>
      <w:tr>
        <w:tc>
          <w:tcPr>
            <w:tcW w:w="4819" w:type="dxa"/>
          </w:tcPr>
          <w:p>
            <w:pPr>
              <w:pStyle w:val="Celda"/>
            </w:pPr>
            <w:r>
              <w:rPr>
                <w:b/>
              </w:rPr>
              <w:t xml:space="preserve">Relación</w:t>
            </w:r>
          </w:p>
        </w:tc>
        <w:tc>
          <w:tcPr>
            <w:tcW w:w="4819" w:type="dxa"/>
          </w:tcPr>
          <w:p>
            <w:pPr>
              <w:pStyle w:val="Celda"/>
            </w:pPr>
            <w:r>
              <w:t xml:space="preserve">P15–P20 (diseño aprobado) · P22 Resultados de validación y del piloto · P23 Firma de puesta en producción · P24 Manual de operación · P29 Registro de decisión de G4 (condiciones) · documentos 42 (Costes) y 53 (Construcción de soluciones).</w:t>
            </w:r>
          </w:p>
        </w:tc>
      </w:tr>
    </w:tbl>
    <w:p>
      <w:pPr>
        <w:pStyle w:val="Espacio"/>
      </w:pPr>
    </w:p>
    <w:p>
      <w:r>
        <w:t xml:space="preserve">Reglas:</w:t>
      </w:r>
    </w:p>
    <w:p>
      <w:pPr>
        <w:pStyle w:val="Lista"/>
      </w:pPr>
      <w:r>
        <w:t xml:space="preserve">• El informe compara lo entregado con </w:t>
      </w:r>
      <w:r>
        <w:rPr>
          <w:b/>
        </w:rPr>
        <w:t xml:space="preserve">lo aprobado</w:t>
      </w:r>
      <w:r>
        <w:t xml:space="preserve">, no con lo que se pensaba hacer al final. Todo cambio frente al diseño se declara y se justifica.</w:t>
      </w:r>
    </w:p>
    <w:p>
      <w:pPr>
        <w:pStyle w:val="Lista"/>
      </w:pPr>
      <w:r>
        <w:t xml:space="preserve">• Las condiciones impuestas en G4 se verifican aquí; una condición vencida sin cumplir convierte el resultado en Iterar (01 §7.4, regla 4).</w:t>
      </w:r>
    </w:p>
    <w:p>
      <w:pPr>
        <w:pStyle w:val="Lista"/>
      </w:pPr>
      <w:r>
        <w:t xml:space="preserve">• Los costes reales se expresan en euros por categoría de coste y se distingue la inversión del coste recurrente.</w:t>
      </w:r>
    </w:p>
    <w:p>
      <w:pPr>
        <w:pStyle w:val="Separador"/>
      </w:pPr>
    </w:p>
    <w:p>
      <w:pPr>
        <w:pStyle w:val="Heading1"/>
      </w:pPr>
      <w:r>
        <w:t xml:space="preserve">2. Identificación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Código de la iniciativa</w:t>
            </w:r>
          </w:p>
        </w:tc>
        <w:tc>
          <w:tcPr>
            <w:tcW w:w="3213" w:type="dxa"/>
          </w:tcPr>
          <w:p>
            <w:pPr>
              <w:pStyle w:val="Celda"/>
            </w:pPr>
          </w:p>
        </w:tc>
        <w:tc>
          <w:tcPr>
            <w:tcW w:w="3213" w:type="dxa"/>
          </w:tcPr>
          <w:p>
            <w:pPr>
              <w:pStyle w:val="Celda"/>
            </w:pPr>
            <w:r>
              <w:t xml:space="preserve">IA-AAAA-NNN (T01).</w:t>
            </w:r>
          </w:p>
        </w:tc>
      </w:tr>
      <w:tr>
        <w:tc>
          <w:tcPr>
            <w:tcW w:w="3213" w:type="dxa"/>
          </w:tcPr>
          <w:p>
            <w:pPr>
              <w:pStyle w:val="Celda"/>
            </w:pPr>
            <w:r>
              <w:t xml:space="preserve">Nombre de la iniciativa</w:t>
            </w:r>
          </w:p>
        </w:tc>
        <w:tc>
          <w:tcPr>
            <w:tcW w:w="3213" w:type="dxa"/>
          </w:tcPr>
          <w:p>
            <w:pPr>
              <w:pStyle w:val="Celda"/>
            </w:pPr>
          </w:p>
        </w:tc>
        <w:tc>
          <w:tcPr>
            <w:tcW w:w="3213" w:type="dxa"/>
          </w:tcPr>
          <w:p>
            <w:pPr>
              <w:pStyle w:val="Celda"/>
            </w:pPr>
          </w:p>
        </w:tc>
      </w:tr>
      <w:tr>
        <w:tc>
          <w:tcPr>
            <w:tcW w:w="3213" w:type="dxa"/>
          </w:tcPr>
          <w:p>
            <w:pPr>
              <w:pStyle w:val="Celda"/>
            </w:pPr>
            <w:r>
              <w:t xml:space="preserve">Sistema(s) de IA</w:t>
            </w:r>
          </w:p>
        </w:tc>
        <w:tc>
          <w:tcPr>
            <w:tcW w:w="3213" w:type="dxa"/>
          </w:tcPr>
          <w:p>
            <w:pPr>
              <w:pStyle w:val="Celda"/>
            </w:pPr>
          </w:p>
        </w:tc>
        <w:tc>
          <w:tcPr>
            <w:tcW w:w="3213" w:type="dxa"/>
          </w:tcPr>
          <w:p>
            <w:pPr>
              <w:pStyle w:val="Celda"/>
            </w:pPr>
            <w:r>
              <w:t xml:space="preserve">Identificador en el inventario (T02).</w:t>
            </w:r>
          </w:p>
        </w:tc>
      </w:tr>
      <w:tr>
        <w:tc>
          <w:tcPr>
            <w:tcW w:w="3213" w:type="dxa"/>
          </w:tcPr>
          <w:p>
            <w:pPr>
              <w:pStyle w:val="Celda"/>
            </w:pPr>
            <w:r>
              <w:t xml:space="preserve">Versión entregada</w:t>
            </w:r>
          </w:p>
        </w:tc>
        <w:tc>
          <w:tcPr>
            <w:tcW w:w="3213" w:type="dxa"/>
          </w:tcPr>
          <w:p>
            <w:pPr>
              <w:pStyle w:val="Celda"/>
            </w:pPr>
          </w:p>
        </w:tc>
        <w:tc>
          <w:tcPr>
            <w:tcW w:w="3213" w:type="dxa"/>
          </w:tcPr>
          <w:p>
            <w:pPr>
              <w:pStyle w:val="Celda"/>
            </w:pPr>
            <w:r>
              <w:t xml:space="preserve">Versión de modelo, instrucciones y configuración (P16).</w:t>
            </w:r>
          </w:p>
        </w:tc>
      </w:tr>
      <w:tr>
        <w:tc>
          <w:tcPr>
            <w:tcW w:w="3213" w:type="dxa"/>
          </w:tcPr>
          <w:p>
            <w:pPr>
              <w:pStyle w:val="Celda"/>
            </w:pPr>
            <w:r>
              <w:t xml:space="preserve">Intensidad</w:t>
            </w:r>
          </w:p>
        </w:tc>
        <w:tc>
          <w:tcPr>
            <w:tcW w:w="3213" w:type="dxa"/>
          </w:tcPr>
          <w:p>
            <w:pPr>
              <w:pStyle w:val="Celda"/>
            </w:pPr>
          </w:p>
        </w:tc>
        <w:tc>
          <w:tcPr>
            <w:tcW w:w="3213" w:type="dxa"/>
          </w:tcPr>
          <w:p>
            <w:pPr>
              <w:pStyle w:val="Celda"/>
            </w:pPr>
            <w:r>
              <w:t xml:space="preserve">Lite · Enterprise.</w:t>
            </w:r>
          </w:p>
        </w:tc>
      </w:tr>
      <w:tr>
        <w:tc>
          <w:tcPr>
            <w:tcW w:w="3213" w:type="dxa"/>
          </w:tcPr>
          <w:p>
            <w:pPr>
              <w:pStyle w:val="Celda"/>
            </w:pPr>
            <w:r>
              <w:t xml:space="preserve">Nivel de ambición</w:t>
            </w:r>
          </w:p>
        </w:tc>
        <w:tc>
          <w:tcPr>
            <w:tcW w:w="3213" w:type="dxa"/>
          </w:tcPr>
          <w:p>
            <w:pPr>
              <w:pStyle w:val="Celda"/>
            </w:pPr>
          </w:p>
        </w:tc>
        <w:tc>
          <w:tcPr>
            <w:tcW w:w="3213" w:type="dxa"/>
          </w:tcPr>
          <w:p>
            <w:pPr>
              <w:pStyle w:val="Celda"/>
            </w:pPr>
            <w:r>
              <w:t xml:space="preserve">Optimizar · Aumentar · Transformar.</w:t>
            </w:r>
          </w:p>
        </w:tc>
      </w:tr>
      <w:tr>
        <w:tc>
          <w:tcPr>
            <w:tcW w:w="3213" w:type="dxa"/>
          </w:tcPr>
          <w:p>
            <w:pPr>
              <w:pStyle w:val="Celda"/>
            </w:pPr>
            <w:r>
              <w:t xml:space="preserve">Proveedores que han intervenido</w:t>
            </w:r>
          </w:p>
        </w:tc>
        <w:tc>
          <w:tcPr>
            <w:tcW w:w="3213" w:type="dxa"/>
          </w:tcPr>
          <w:p>
            <w:pPr>
              <w:pStyle w:val="Celda"/>
            </w:pPr>
          </w:p>
        </w:tc>
        <w:tc>
          <w:tcPr>
            <w:tcW w:w="3213" w:type="dxa"/>
          </w:tcPr>
          <w:p>
            <w:pPr>
              <w:pStyle w:val="Celda"/>
            </w:pPr>
            <w:r>
              <w:t xml:space="preserve">Nombre y referencia a P14.</w:t>
            </w:r>
          </w:p>
        </w:tc>
      </w:tr>
      <w:tr>
        <w:tc>
          <w:tcPr>
            <w:tcW w:w="3213" w:type="dxa"/>
          </w:tcPr>
          <w:p>
            <w:pPr>
              <w:pStyle w:val="Celda"/>
            </w:pPr>
            <w:r>
              <w:t xml:space="preserve">Versión del documento</w:t>
            </w:r>
          </w:p>
        </w:tc>
        <w:tc>
          <w:tcPr>
            <w:tcW w:w="3213" w:type="dxa"/>
          </w:tcPr>
          <w:p>
            <w:pPr>
              <w:pStyle w:val="Celda"/>
            </w:pPr>
          </w:p>
        </w:tc>
        <w:tc>
          <w:tcPr>
            <w:tcW w:w="3213" w:type="dxa"/>
          </w:tcPr>
          <w:p>
            <w:pPr>
              <w:pStyle w:val="Celda"/>
            </w:pPr>
          </w:p>
        </w:tc>
      </w:tr>
      <w:tr>
        <w:tc>
          <w:tcPr>
            <w:tcW w:w="3213" w:type="dxa"/>
          </w:tcPr>
          <w:p>
            <w:pPr>
              <w:pStyle w:val="Celda"/>
            </w:pPr>
            <w:r>
              <w:t xml:space="preserve">Autor</w:t>
            </w:r>
          </w:p>
        </w:tc>
        <w:tc>
          <w:tcPr>
            <w:tcW w:w="3213" w:type="dxa"/>
          </w:tcPr>
          <w:p>
            <w:pPr>
              <w:pStyle w:val="Celda"/>
            </w:pPr>
          </w:p>
        </w:tc>
        <w:tc>
          <w:tcPr>
            <w:tcW w:w="3213" w:type="dxa"/>
          </w:tcPr>
          <w:p>
            <w:pPr>
              <w:pStyle w:val="Celda"/>
            </w:pPr>
            <w:r>
              <w:t xml:space="preserve">Rol y nombre.</w:t>
            </w:r>
          </w:p>
        </w:tc>
      </w:tr>
      <w:tr>
        <w:tc>
          <w:tcPr>
            <w:tcW w:w="3213" w:type="dxa"/>
          </w:tcPr>
          <w:p>
            <w:pPr>
              <w:pStyle w:val="Celda"/>
            </w:pPr>
            <w:r>
              <w:t xml:space="preserve">Fecha</w:t>
            </w:r>
          </w:p>
        </w:tc>
        <w:tc>
          <w:tcPr>
            <w:tcW w:w="3213" w:type="dxa"/>
          </w:tcPr>
          <w:p>
            <w:pPr>
              <w:pStyle w:val="Celda"/>
            </w:pPr>
          </w:p>
        </w:tc>
        <w:tc>
          <w:tcPr>
            <w:tcW w:w="3213" w:type="dxa"/>
          </w:tcPr>
          <w:p>
            <w:pPr>
              <w:pStyle w:val="Celda"/>
            </w:pPr>
            <w:r>
              <w:t xml:space="preserve">DD-MM-AAAA.</w:t>
            </w:r>
          </w:p>
        </w:tc>
      </w:tr>
      <w:tr>
        <w:tc>
          <w:tcPr>
            <w:tcW w:w="3213" w:type="dxa"/>
          </w:tcPr>
          <w:p>
            <w:pPr>
              <w:pStyle w:val="Celda"/>
            </w:pPr>
            <w:r>
              <w:t xml:space="preserve">Estado del documento</w:t>
            </w:r>
          </w:p>
        </w:tc>
        <w:tc>
          <w:tcPr>
            <w:tcW w:w="3213" w:type="dxa"/>
          </w:tcPr>
          <w:p>
            <w:pPr>
              <w:pStyle w:val="Celda"/>
            </w:pPr>
          </w:p>
        </w:tc>
        <w:tc>
          <w:tcPr>
            <w:tcW w:w="3213" w:type="dxa"/>
          </w:tcPr>
          <w:p>
            <w:pPr>
              <w:pStyle w:val="Celda"/>
            </w:pPr>
            <w:r>
              <w:t xml:space="preserve">Borrador · Presentado para verificación · Verificado · Aprobado · Sustituido.</w:t>
            </w:r>
          </w:p>
        </w:tc>
      </w:tr>
    </w:tbl>
    <w:p>
      <w:pPr>
        <w:pStyle w:val="Espacio"/>
      </w:pPr>
    </w:p>
    <w:p>
      <w:pPr>
        <w:pStyle w:val="Separador"/>
      </w:pPr>
    </w:p>
    <w:p>
      <w:pPr>
        <w:pStyle w:val="Heading1"/>
      </w:pPr>
      <w:r>
        <w:t xml:space="preserve">3. Resumen de la entrega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Qué se ha entregado</w:t>
            </w:r>
          </w:p>
        </w:tc>
        <w:tc>
          <w:tcPr>
            <w:tcW w:w="3213" w:type="dxa"/>
          </w:tcPr>
          <w:p>
            <w:pPr>
              <w:pStyle w:val="Celda"/>
            </w:pPr>
          </w:p>
        </w:tc>
        <w:tc>
          <w:tcPr>
            <w:tcW w:w="3213" w:type="dxa"/>
          </w:tcPr>
          <w:p>
            <w:pPr>
              <w:pStyle w:val="Celda"/>
            </w:pPr>
            <w:r>
              <w:t xml:space="preserve">En tres a cinco líneas, en lenguaje comprensible.</w:t>
            </w:r>
          </w:p>
        </w:tc>
      </w:tr>
      <w:tr>
        <w:tc>
          <w:tcPr>
            <w:tcW w:w="3213" w:type="dxa"/>
          </w:tcPr>
          <w:p>
            <w:pPr>
              <w:pStyle w:val="Celda"/>
            </w:pPr>
            <w:r>
              <w:t xml:space="preserve">Diferencias principales con el diseño aprobado</w:t>
            </w:r>
          </w:p>
        </w:tc>
        <w:tc>
          <w:tcPr>
            <w:tcW w:w="3213" w:type="dxa"/>
          </w:tcPr>
          <w:p>
            <w:pPr>
              <w:pStyle w:val="Celda"/>
            </w:pPr>
          </w:p>
        </w:tc>
        <w:tc>
          <w:tcPr>
            <w:tcW w:w="3213" w:type="dxa"/>
          </w:tcPr>
          <w:p>
            <w:pPr>
              <w:pStyle w:val="Celda"/>
            </w:pPr>
            <w:r>
              <w:t xml:space="preserve">Resumen del bloque 4.</w:t>
            </w:r>
          </w:p>
        </w:tc>
      </w:tr>
      <w:tr>
        <w:tc>
          <w:tcPr>
            <w:tcW w:w="3213" w:type="dxa"/>
          </w:tcPr>
          <w:p>
            <w:pPr>
              <w:pStyle w:val="Celda"/>
            </w:pPr>
            <w:r>
              <w:t xml:space="preserve">Estado para la puesta en producción</w:t>
            </w:r>
          </w:p>
        </w:tc>
        <w:tc>
          <w:tcPr>
            <w:tcW w:w="3213" w:type="dxa"/>
          </w:tcPr>
          <w:p>
            <w:pPr>
              <w:pStyle w:val="Celda"/>
            </w:pPr>
          </w:p>
        </w:tc>
        <w:tc>
          <w:tcPr>
            <w:tcW w:w="3213" w:type="dxa"/>
          </w:tcPr>
          <w:p>
            <w:pPr>
              <w:pStyle w:val="Celda"/>
            </w:pPr>
            <w:r>
              <w:t xml:space="preserve">Preparado · Preparado con pendientes no críticos · No preparado.</w:t>
            </w:r>
          </w:p>
        </w:tc>
      </w:tr>
      <w:tr>
        <w:tc>
          <w:tcPr>
            <w:tcW w:w="3213" w:type="dxa"/>
          </w:tcPr>
          <w:p>
            <w:pPr>
              <w:pStyle w:val="Celda"/>
            </w:pPr>
            <w:r>
              <w:t xml:space="preserve">Pendientes críticos</w:t>
            </w:r>
          </w:p>
        </w:tc>
        <w:tc>
          <w:tcPr>
            <w:tcW w:w="3213" w:type="dxa"/>
          </w:tcPr>
          <w:p>
            <w:pPr>
              <w:pStyle w:val="Celda"/>
            </w:pPr>
          </w:p>
        </w:tc>
        <w:tc>
          <w:tcPr>
            <w:tcW w:w="3213" w:type="dxa"/>
          </w:tcPr>
          <w:p>
            <w:pPr>
              <w:pStyle w:val="Celda"/>
            </w:pPr>
            <w:r>
              <w:t xml:space="preserve">Si existen, el estado no puede ser "Preparado".</w:t>
            </w:r>
          </w:p>
        </w:tc>
      </w:tr>
    </w:tbl>
    <w:p>
      <w:pPr>
        <w:pStyle w:val="Espacio"/>
      </w:pPr>
    </w:p>
    <w:p>
      <w:pPr>
        <w:pStyle w:val="Separador"/>
      </w:pPr>
    </w:p>
    <w:p>
      <w:pPr>
        <w:pStyle w:val="Heading1"/>
      </w:pPr>
      <w:r>
        <w:t xml:space="preserve">4. Alcance entregado frente al diseño aprobado</w:t>
      </w:r>
    </w:p>
    <w:p>
      <w:r>
        <w:rPr>
          <w:b/>
        </w:rPr>
        <w:t xml:space="preserve">Estado:</w:t>
      </w:r>
      <w:r>
        <w:t xml:space="preserve"> Entregado según diseño · Entregado con cambios · No entregado.</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Elemento del diseño</w:t>
            </w:r>
          </w:p>
        </w:tc>
        <w:tc>
          <w:tcPr>
            <w:tcW w:w="1606" w:type="dxa"/>
            <w:shd w:val="clear" w:color="auto" w:fill="F2DFCE"/>
          </w:tcPr>
          <w:p>
            <w:pPr>
              <w:pStyle w:val="Celda"/>
            </w:pPr>
            <w:r>
              <w:rPr>
                <w:b/>
              </w:rPr>
              <w:t xml:space="preserve">Evidencia de diseño</w:t>
            </w:r>
          </w:p>
        </w:tc>
        <w:tc>
          <w:tcPr>
            <w:tcW w:w="1606" w:type="dxa"/>
            <w:shd w:val="clear" w:color="auto" w:fill="F2DFCE"/>
          </w:tcPr>
          <w:p>
            <w:pPr>
              <w:pStyle w:val="Celda"/>
            </w:pPr>
            <w:r>
              <w:rPr>
                <w:b/>
              </w:rPr>
              <w:t xml:space="preserve">Estado</w:t>
            </w:r>
          </w:p>
        </w:tc>
        <w:tc>
          <w:tcPr>
            <w:tcW w:w="1606" w:type="dxa"/>
            <w:shd w:val="clear" w:color="auto" w:fill="F2DFCE"/>
          </w:tcPr>
          <w:p>
            <w:pPr>
              <w:pStyle w:val="Celda"/>
            </w:pPr>
            <w:r>
              <w:rPr>
                <w:b/>
              </w:rPr>
              <w:t xml:space="preserve">Cambios y justificación</w:t>
            </w:r>
          </w:p>
        </w:tc>
        <w:tc>
          <w:tcPr>
            <w:tcW w:w="1606" w:type="dxa"/>
            <w:shd w:val="clear" w:color="auto" w:fill="F2DFCE"/>
          </w:tcPr>
          <w:p>
            <w:pPr>
              <w:pStyle w:val="Celda"/>
            </w:pPr>
            <w:r>
              <w:rPr>
                <w:b/>
              </w:rPr>
              <w:t xml:space="preserve">¿Afecta a riesgos, supervisión o seguridad? (Sí · No)</w:t>
            </w:r>
          </w:p>
        </w:tc>
        <w:tc>
          <w:tcPr>
            <w:tcW w:w="1606" w:type="dxa"/>
            <w:shd w:val="clear" w:color="auto" w:fill="F2DFCE"/>
          </w:tcPr>
          <w:p>
            <w:pPr>
              <w:pStyle w:val="Celda"/>
            </w:pPr>
            <w:r>
              <w:rPr>
                <w:b/>
              </w:rPr>
              <w:t xml:space="preserve">Aprobación del cambio</w:t>
            </w:r>
          </w:p>
        </w:tc>
      </w:tr>
      <w:tr>
        <w:tc>
          <w:tcPr>
            <w:tcW w:w="1606" w:type="dxa"/>
          </w:tcPr>
          <w:p>
            <w:pPr>
              <w:pStyle w:val="Celda"/>
            </w:pPr>
            <w:r>
              <w:t xml:space="preserve">Arquitectura e integraciones</w:t>
            </w:r>
          </w:p>
        </w:tc>
        <w:tc>
          <w:tcPr>
            <w:tcW w:w="1606" w:type="dxa"/>
          </w:tcPr>
          <w:p>
            <w:pPr>
              <w:pStyle w:val="Celda"/>
            </w:pPr>
            <w:r>
              <w:t xml:space="preserve">P15</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Datos y modelos</w:t>
            </w:r>
          </w:p>
        </w:tc>
        <w:tc>
          <w:tcPr>
            <w:tcW w:w="1606" w:type="dxa"/>
          </w:tcPr>
          <w:p>
            <w:pPr>
              <w:pStyle w:val="Celda"/>
            </w:pPr>
            <w:r>
              <w:t xml:space="preserve">P16</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Supervisión humana</w:t>
            </w:r>
          </w:p>
        </w:tc>
        <w:tc>
          <w:tcPr>
            <w:tcW w:w="1606" w:type="dxa"/>
          </w:tcPr>
          <w:p>
            <w:pPr>
              <w:pStyle w:val="Celda"/>
            </w:pPr>
            <w:r>
              <w:t xml:space="preserve">P17</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Controles de seguridad y de agentes</w:t>
            </w:r>
          </w:p>
        </w:tc>
        <w:tc>
          <w:tcPr>
            <w:tcW w:w="1606" w:type="dxa"/>
          </w:tcPr>
          <w:p>
            <w:pPr>
              <w:pStyle w:val="Celda"/>
            </w:pPr>
            <w:r>
              <w:t xml:space="preserve">P18</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Mecanismo de reversión e interruptor de parada</w:t>
            </w:r>
          </w:p>
        </w:tc>
        <w:tc>
          <w:tcPr>
            <w:tcW w:w="1606" w:type="dxa"/>
          </w:tcPr>
          <w:p>
            <w:pPr>
              <w:pStyle w:val="Celda"/>
            </w:pPr>
            <w:r>
              <w:t xml:space="preserve">P19</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Formación y adopción</w:t>
            </w:r>
          </w:p>
        </w:tc>
        <w:tc>
          <w:tcPr>
            <w:tcW w:w="1606" w:type="dxa"/>
          </w:tcPr>
          <w:p>
            <w:pPr>
              <w:pStyle w:val="Celda"/>
            </w:pPr>
            <w:r>
              <w:t xml:space="preserve">P20</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Monitorización y alertas</w:t>
            </w:r>
          </w:p>
        </w:tc>
        <w:tc>
          <w:tcPr>
            <w:tcW w:w="1606" w:type="dxa"/>
          </w:tcPr>
          <w:p>
            <w:pPr>
              <w:pStyle w:val="Celda"/>
            </w:pPr>
            <w:r>
              <w:t xml:space="preserve">P25</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Integración con el sistema del proveedor </w:t>
            </w:r>
            <w:r>
              <w:rPr>
                <w:i/>
              </w:rPr>
              <w:t xml:space="preserve">(ejemplo ilustrativo)</w:t>
            </w:r>
          </w:p>
        </w:tc>
        <w:tc>
          <w:tcPr>
            <w:tcW w:w="1606" w:type="dxa"/>
          </w:tcPr>
          <w:p>
            <w:pPr>
              <w:pStyle w:val="Celda"/>
            </w:pPr>
            <w:r>
              <w:t xml:space="preserve">P15</w:t>
            </w:r>
          </w:p>
        </w:tc>
        <w:tc>
          <w:tcPr>
            <w:tcW w:w="1606" w:type="dxa"/>
          </w:tcPr>
          <w:p>
            <w:pPr>
              <w:pStyle w:val="Celda"/>
            </w:pPr>
            <w:r>
              <w:t xml:space="preserve">Entregado con cambios</w:t>
            </w:r>
          </w:p>
        </w:tc>
        <w:tc>
          <w:tcPr>
            <w:tcW w:w="1606" w:type="dxa"/>
          </w:tcPr>
          <w:p>
            <w:pPr>
              <w:pStyle w:val="Celda"/>
            </w:pPr>
            <w:r>
              <w:t xml:space="preserve">Se sustituye la conexión en tiempo real por carga cada hora por limitaciones del proveedor</w:t>
            </w:r>
          </w:p>
        </w:tc>
        <w:tc>
          <w:tcPr>
            <w:tcW w:w="1606" w:type="dxa"/>
          </w:tcPr>
          <w:p>
            <w:pPr>
              <w:pStyle w:val="Celda"/>
            </w:pPr>
            <w:r>
              <w:t xml:space="preserve">Sí: retraso de hasta una hora en los datos de entrada</w:t>
            </w:r>
          </w:p>
        </w:tc>
        <w:tc>
          <w:tcPr>
            <w:tcW w:w="1606" w:type="dxa"/>
          </w:tcPr>
          <w:p>
            <w:pPr>
              <w:pStyle w:val="Celda"/>
            </w:pPr>
            <w:r>
              <w:t xml:space="preserve">Responsable técnico con conformidad de riesgos</w:t>
            </w:r>
          </w:p>
        </w:tc>
      </w:tr>
    </w:tbl>
    <w:p>
      <w:pPr>
        <w:pStyle w:val="Espacio"/>
      </w:pPr>
    </w:p>
    <w:p>
      <w:r>
        <w:t xml:space="preserve">Si un cambio afecta a riesgos, supervisión humana o seguridad, debe actualizarse la evidencia de diseño correspondiente y el registro de riesgos (P12) antes de G5.</w:t>
      </w:r>
    </w:p>
    <w:p>
      <w:pPr>
        <w:pStyle w:val="Separador"/>
      </w:pPr>
    </w:p>
    <w:p>
      <w:pPr>
        <w:pStyle w:val="Heading1"/>
      </w:pPr>
      <w:r>
        <w:t xml:space="preserve">5. Condiciones pendientes de </w:t>
      </w:r>
      <w:r>
        <w:rPr>
          <w:i/>
        </w:rPr>
        <w:t xml:space="preserve">gates</w:t>
      </w:r>
      <w:r>
        <w:t xml:space="preserve"> anteriores</w:t>
      </w:r>
    </w:p>
    <w:p>
      <w:r>
        <w:rPr>
          <w:b/>
        </w:rPr>
        <w:t xml:space="preserve">Estado:</w:t>
      </w:r>
      <w:r>
        <w:t xml:space="preserve"> Cumplida · No cumplida · Vencida.</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Condición</w:t>
            </w:r>
          </w:p>
        </w:tc>
        <w:tc>
          <w:tcPr>
            <w:tcW w:w="1606" w:type="dxa"/>
            <w:shd w:val="clear" w:color="auto" w:fill="F2DFCE"/>
          </w:tcPr>
          <w:p>
            <w:pPr>
              <w:pStyle w:val="Celda"/>
            </w:pPr>
            <w:r>
              <w:rPr>
                <w:b/>
                <w:i/>
              </w:rPr>
              <w:t xml:space="preserve">Gate</w:t>
            </w:r>
            <w:r>
              <w:rPr>
                <w:b/>
              </w:rPr>
              <w:t xml:space="preserve"> de origen</w:t>
            </w:r>
          </w:p>
        </w:tc>
        <w:tc>
          <w:tcPr>
            <w:tcW w:w="1606" w:type="dxa"/>
            <w:shd w:val="clear" w:color="auto" w:fill="F2DFCE"/>
          </w:tcPr>
          <w:p>
            <w:pPr>
              <w:pStyle w:val="Celda"/>
            </w:pPr>
            <w:r>
              <w:rPr>
                <w:b/>
              </w:rPr>
              <w:t xml:space="preserve">Responsable</w:t>
            </w:r>
          </w:p>
        </w:tc>
        <w:tc>
          <w:tcPr>
            <w:tcW w:w="1606" w:type="dxa"/>
            <w:shd w:val="clear" w:color="auto" w:fill="F2DFCE"/>
          </w:tcPr>
          <w:p>
            <w:pPr>
              <w:pStyle w:val="Celda"/>
            </w:pPr>
            <w:r>
              <w:rPr>
                <w:b/>
              </w:rPr>
              <w:t xml:space="preserve">Plazo</w:t>
            </w:r>
          </w:p>
        </w:tc>
        <w:tc>
          <w:tcPr>
            <w:tcW w:w="1606" w:type="dxa"/>
            <w:shd w:val="clear" w:color="auto" w:fill="F2DFCE"/>
          </w:tcPr>
          <w:p>
            <w:pPr>
              <w:pStyle w:val="Celda"/>
            </w:pPr>
            <w:r>
              <w:rPr>
                <w:b/>
              </w:rPr>
              <w:t xml:space="preserve">Estado</w:t>
            </w:r>
          </w:p>
        </w:tc>
        <w:tc>
          <w:tcPr>
            <w:tcW w:w="1606" w:type="dxa"/>
            <w:shd w:val="clear" w:color="auto" w:fill="F2DFCE"/>
          </w:tcPr>
          <w:p>
            <w:pPr>
              <w:pStyle w:val="Celda"/>
            </w:pPr>
            <w:r>
              <w:rPr>
                <w:b/>
              </w:rPr>
              <w:t xml:space="preserve">Evidencia</w:t>
            </w:r>
          </w:p>
        </w:tc>
      </w:tr>
      <w:tr>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bl>
    <w:p>
      <w:pPr>
        <w:pStyle w:val="Espacio"/>
      </w:pPr>
    </w:p>
    <w:p>
      <w:pPr>
        <w:pStyle w:val="Separador"/>
      </w:pPr>
    </w:p>
    <w:p>
      <w:pPr>
        <w:pStyle w:val="Heading1"/>
      </w:pPr>
      <w:r>
        <w:t xml:space="preserve">6. Documentación entregada</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Documento</w:t>
            </w:r>
          </w:p>
        </w:tc>
        <w:tc>
          <w:tcPr>
            <w:tcW w:w="2410" w:type="dxa"/>
            <w:shd w:val="clear" w:color="auto" w:fill="F2DFCE"/>
          </w:tcPr>
          <w:p>
            <w:pPr>
              <w:pStyle w:val="Celda"/>
            </w:pPr>
            <w:r>
              <w:rPr>
                <w:b/>
              </w:rPr>
              <w:t xml:space="preserve">Entregado (Sí · No · No aplica)</w:t>
            </w:r>
          </w:p>
        </w:tc>
        <w:tc>
          <w:tcPr>
            <w:tcW w:w="2410" w:type="dxa"/>
            <w:shd w:val="clear" w:color="auto" w:fill="F2DFCE"/>
          </w:tcPr>
          <w:p>
            <w:pPr>
              <w:pStyle w:val="Celda"/>
            </w:pPr>
            <w:r>
              <w:rPr>
                <w:b/>
              </w:rPr>
              <w:t xml:space="preserve">Versión</w:t>
            </w:r>
          </w:p>
        </w:tc>
        <w:tc>
          <w:tcPr>
            <w:tcW w:w="2410" w:type="dxa"/>
            <w:shd w:val="clear" w:color="auto" w:fill="F2DFCE"/>
          </w:tcPr>
          <w:p>
            <w:pPr>
              <w:pStyle w:val="Celda"/>
            </w:pPr>
            <w:r>
              <w:rPr>
                <w:b/>
              </w:rPr>
              <w:t xml:space="preserve">Ubicación</w:t>
            </w:r>
          </w:p>
        </w:tc>
      </w:tr>
      <w:tr>
        <w:tc>
          <w:tcPr>
            <w:tcW w:w="2410" w:type="dxa"/>
          </w:tcPr>
          <w:p>
            <w:pPr>
              <w:pStyle w:val="Celda"/>
            </w:pPr>
            <w:r>
              <w:t xml:space="preserve">Documentación técnica del sistema</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Linaje de datos y modelos actualizado (P16)</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Manual de usuario</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Manual de operación en borrador (P24)</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Configuración de monitorización y alertas (P25)</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Plan de respuesta a incidentes (P26)</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Documentación técnica exigida por la regulación para sistemas de alto riesgo </w:t>
            </w:r>
            <w:r>
              <w:rPr>
                <w:b/>
              </w:rPr>
              <w:t xml:space="preserve">(Enterprise)</w:t>
            </w:r>
          </w:p>
        </w:tc>
        <w:tc>
          <w:tcPr>
            <w:tcW w:w="2410" w:type="dxa"/>
          </w:tcPr>
          <w:p>
            <w:pPr>
              <w:pStyle w:val="Celda"/>
            </w:pPr>
          </w:p>
        </w:tc>
        <w:tc>
          <w:tcPr>
            <w:tcW w:w="2410" w:type="dxa"/>
          </w:tcPr>
          <w:p>
            <w:pPr>
              <w:pStyle w:val="Celda"/>
            </w:pPr>
          </w:p>
        </w:tc>
        <w:tc>
          <w:tcPr>
            <w:tcW w:w="2410" w:type="dxa"/>
          </w:tcPr>
          <w:p>
            <w:pPr>
              <w:pStyle w:val="Celda"/>
            </w:pPr>
            <w:r>
              <w:t xml:space="preserve">Referencia al mapeo regulatorio (documento 34).</w:t>
            </w:r>
          </w:p>
        </w:tc>
      </w:tr>
      <w:tr>
        <w:tc>
          <w:tcPr>
            <w:tcW w:w="2410" w:type="dxa"/>
          </w:tcPr>
          <w:p>
            <w:pPr>
              <w:pStyle w:val="Celda"/>
            </w:pPr>
            <w:r>
              <w:t xml:space="preserve">Documentación y garantías del proveedor </w:t>
            </w:r>
            <w:r>
              <w:rPr>
                <w:b/>
              </w:rPr>
              <w:t xml:space="preserve">(Enterprise)</w:t>
            </w: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pPr>
        <w:pStyle w:val="Separador"/>
      </w:pPr>
    </w:p>
    <w:p>
      <w:pPr>
        <w:pStyle w:val="Heading1"/>
      </w:pPr>
      <w:r>
        <w:t xml:space="preserve">7. Costes reales frente a previstos</w:t>
      </w:r>
    </w:p>
    <w:p>
      <w:r>
        <w:t xml:space="preserve">Importes en euros. "Previsto" es lo aprobado en G3 (P10) o, si se actualizó, en G4.</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Categoría de coste</w:t>
            </w:r>
          </w:p>
        </w:tc>
        <w:tc>
          <w:tcPr>
            <w:tcW w:w="1606" w:type="dxa"/>
            <w:shd w:val="clear" w:color="auto" w:fill="F2DFCE"/>
          </w:tcPr>
          <w:p>
            <w:pPr>
              <w:pStyle w:val="Celda"/>
            </w:pPr>
            <w:r>
              <w:rPr>
                <w:b/>
              </w:rPr>
              <w:t xml:space="preserve">Inversión prevista</w:t>
            </w:r>
          </w:p>
        </w:tc>
        <w:tc>
          <w:tcPr>
            <w:tcW w:w="1606" w:type="dxa"/>
            <w:shd w:val="clear" w:color="auto" w:fill="F2DFCE"/>
          </w:tcPr>
          <w:p>
            <w:pPr>
              <w:pStyle w:val="Celda"/>
            </w:pPr>
            <w:r>
              <w:rPr>
                <w:b/>
              </w:rPr>
              <w:t xml:space="preserve">Inversión real</w:t>
            </w:r>
          </w:p>
        </w:tc>
        <w:tc>
          <w:tcPr>
            <w:tcW w:w="1606" w:type="dxa"/>
            <w:shd w:val="clear" w:color="auto" w:fill="F2DFCE"/>
          </w:tcPr>
          <w:p>
            <w:pPr>
              <w:pStyle w:val="Celda"/>
            </w:pPr>
            <w:r>
              <w:rPr>
                <w:b/>
              </w:rPr>
              <w:t xml:space="preserve">Coste recurrente anual previsto</w:t>
            </w:r>
          </w:p>
        </w:tc>
        <w:tc>
          <w:tcPr>
            <w:tcW w:w="1606" w:type="dxa"/>
            <w:shd w:val="clear" w:color="auto" w:fill="F2DFCE"/>
          </w:tcPr>
          <w:p>
            <w:pPr>
              <w:pStyle w:val="Celda"/>
            </w:pPr>
            <w:r>
              <w:rPr>
                <w:b/>
              </w:rPr>
              <w:t xml:space="preserve">Coste recurrente anual actualizado</w:t>
            </w:r>
          </w:p>
        </w:tc>
        <w:tc>
          <w:tcPr>
            <w:tcW w:w="1606" w:type="dxa"/>
            <w:shd w:val="clear" w:color="auto" w:fill="F2DFCE"/>
          </w:tcPr>
          <w:p>
            <w:pPr>
              <w:pStyle w:val="Celda"/>
            </w:pPr>
            <w:r>
              <w:rPr>
                <w:b/>
              </w:rPr>
              <w:t xml:space="preserve">Desviación y explicación</w:t>
            </w:r>
          </w:p>
        </w:tc>
      </w:tr>
      <w:tr>
        <w:tc>
          <w:tcPr>
            <w:tcW w:w="1606" w:type="dxa"/>
          </w:tcPr>
          <w:p>
            <w:pPr>
              <w:pStyle w:val="Celda"/>
            </w:pPr>
            <w:r>
              <w:t xml:space="preserve">Licencias</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Consumo de modelos</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Cómputo e infraestructura</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Datos</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Personas de construcción</w:t>
            </w:r>
          </w:p>
        </w:tc>
        <w:tc>
          <w:tcPr>
            <w:tcW w:w="1606" w:type="dxa"/>
          </w:tcPr>
          <w:p>
            <w:pPr>
              <w:pStyle w:val="Celda"/>
            </w:pPr>
          </w:p>
        </w:tc>
        <w:tc>
          <w:tcPr>
            <w:tcW w:w="1606" w:type="dxa"/>
          </w:tcPr>
          <w:p>
            <w:pPr>
              <w:pStyle w:val="Celda"/>
            </w:pPr>
          </w:p>
        </w:tc>
        <w:tc>
          <w:tcPr>
            <w:tcW w:w="1606" w:type="dxa"/>
          </w:tcPr>
          <w:p>
            <w:pPr>
              <w:pStyle w:val="Celda"/>
            </w:pPr>
            <w:r>
              <w:t xml:space="preserve">—</w:t>
            </w:r>
          </w:p>
        </w:tc>
        <w:tc>
          <w:tcPr>
            <w:tcW w:w="1606" w:type="dxa"/>
          </w:tcPr>
          <w:p>
            <w:pPr>
              <w:pStyle w:val="Celda"/>
            </w:pPr>
            <w:r>
              <w:t xml:space="preserve">—</w:t>
            </w:r>
          </w:p>
        </w:tc>
        <w:tc>
          <w:tcPr>
            <w:tcW w:w="1606" w:type="dxa"/>
          </w:tcPr>
          <w:p>
            <w:pPr>
              <w:pStyle w:val="Celda"/>
            </w:pPr>
          </w:p>
        </w:tc>
      </w:tr>
      <w:tr>
        <w:tc>
          <w:tcPr>
            <w:tcW w:w="1606" w:type="dxa"/>
          </w:tcPr>
          <w:p>
            <w:pPr>
              <w:pStyle w:val="Celda"/>
            </w:pPr>
            <w:r>
              <w:t xml:space="preserve">Personas de operación</w:t>
            </w:r>
          </w:p>
        </w:tc>
        <w:tc>
          <w:tcPr>
            <w:tcW w:w="1606" w:type="dxa"/>
          </w:tcPr>
          <w:p>
            <w:pPr>
              <w:pStyle w:val="Celda"/>
            </w:pPr>
            <w:r>
              <w:t xml:space="preserve">—</w:t>
            </w:r>
          </w:p>
        </w:tc>
        <w:tc>
          <w:tcPr>
            <w:tcW w:w="1606" w:type="dxa"/>
          </w:tcPr>
          <w:p>
            <w:pPr>
              <w:pStyle w:val="Celda"/>
            </w:pPr>
            <w:r>
              <w:t xml:space="preserve">—</w:t>
            </w: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Proveedores y servicios</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Control y cumplimiento</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Adopción y formación</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rPr>
                <w:b/>
              </w:rPr>
              <w:t xml:space="preserve">Total</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bl>
    <w:p>
      <w:pPr>
        <w:pStyle w:val="Espacio"/>
      </w:pPr>
    </w:p>
    <w:p>
      <w:r>
        <w:t xml:space="preserve">Si el coste recurrente actualizado cambia el valor neto anual esperado, se recalcula en P22 y se señala al decisor del </w:t>
      </w:r>
      <w:r>
        <w:rPr>
          <w:i/>
        </w:rPr>
        <w:t xml:space="preserve">gate</w:t>
      </w:r>
      <w:r>
        <w:t xml:space="preserve">.</w:t>
      </w:r>
    </w:p>
    <w:p>
      <w:pPr>
        <w:pStyle w:val="Separador"/>
      </w:pPr>
    </w:p>
    <w:p>
      <w:pPr>
        <w:pStyle w:val="Heading1"/>
      </w:pPr>
      <w:r>
        <w:t xml:space="preserve">8. Plazos</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Hito</w:t>
            </w:r>
          </w:p>
        </w:tc>
        <w:tc>
          <w:tcPr>
            <w:tcW w:w="1928" w:type="dxa"/>
            <w:shd w:val="clear" w:color="auto" w:fill="F2DFCE"/>
          </w:tcPr>
          <w:p>
            <w:pPr>
              <w:pStyle w:val="Celda"/>
            </w:pPr>
            <w:r>
              <w:rPr>
                <w:b/>
              </w:rPr>
              <w:t xml:space="preserve">Fecha prevista</w:t>
            </w:r>
          </w:p>
        </w:tc>
        <w:tc>
          <w:tcPr>
            <w:tcW w:w="1928" w:type="dxa"/>
            <w:shd w:val="clear" w:color="auto" w:fill="F2DFCE"/>
          </w:tcPr>
          <w:p>
            <w:pPr>
              <w:pStyle w:val="Celda"/>
            </w:pPr>
            <w:r>
              <w:rPr>
                <w:b/>
              </w:rPr>
              <w:t xml:space="preserve">Fecha real</w:t>
            </w:r>
          </w:p>
        </w:tc>
        <w:tc>
          <w:tcPr>
            <w:tcW w:w="1928" w:type="dxa"/>
            <w:shd w:val="clear" w:color="auto" w:fill="F2DFCE"/>
          </w:tcPr>
          <w:p>
            <w:pPr>
              <w:pStyle w:val="Celda"/>
            </w:pPr>
            <w:r>
              <w:rPr>
                <w:b/>
              </w:rPr>
              <w:t xml:space="preserve">Días de desviación</w:t>
            </w:r>
          </w:p>
        </w:tc>
        <w:tc>
          <w:tcPr>
            <w:tcW w:w="1928" w:type="dxa"/>
            <w:shd w:val="clear" w:color="auto" w:fill="F2DFCE"/>
          </w:tcPr>
          <w:p>
            <w:pPr>
              <w:pStyle w:val="Celda"/>
            </w:pPr>
            <w:r>
              <w:rPr>
                <w:b/>
              </w:rPr>
              <w:t xml:space="preserve">Causa</w:t>
            </w:r>
          </w:p>
        </w:tc>
      </w:tr>
      <w:tr>
        <w:tc>
          <w:tcPr>
            <w:tcW w:w="1928" w:type="dxa"/>
          </w:tcPr>
          <w:p>
            <w:pPr>
              <w:pStyle w:val="Celda"/>
            </w:pPr>
            <w:r>
              <w:t xml:space="preserve">Aprobación de G4</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Inicio de la construcción</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Fin de la construcción</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Inicio del piloto</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Solicitud de G5 prevista</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Si la fase 5 supera el plazo de referencia aprobado en C2 (03 §3.6), indique los periodos en espera y su motivo.</w:t>
      </w:r>
    </w:p>
    <w:p>
      <w:pPr>
        <w:pStyle w:val="Separador"/>
      </w:pPr>
    </w:p>
    <w:p>
      <w:pPr>
        <w:pStyle w:val="Heading1"/>
      </w:pPr>
      <w:r>
        <w:t xml:space="preserve">9. Limitaciones conocidas, deuda técnica y riesgos abiertos</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w:t>
            </w:r>
          </w:p>
        </w:tc>
        <w:tc>
          <w:tcPr>
            <w:tcW w:w="1377" w:type="dxa"/>
            <w:shd w:val="clear" w:color="auto" w:fill="F2DFCE"/>
          </w:tcPr>
          <w:p>
            <w:pPr>
              <w:pStyle w:val="Celda"/>
            </w:pPr>
            <w:r>
              <w:rPr>
                <w:b/>
              </w:rPr>
              <w:t xml:space="preserve">Descripción</w:t>
            </w:r>
          </w:p>
        </w:tc>
        <w:tc>
          <w:tcPr>
            <w:tcW w:w="1377" w:type="dxa"/>
            <w:shd w:val="clear" w:color="auto" w:fill="F2DFCE"/>
          </w:tcPr>
          <w:p>
            <w:pPr>
              <w:pStyle w:val="Celda"/>
            </w:pPr>
            <w:r>
              <w:rPr>
                <w:b/>
              </w:rPr>
              <w:t xml:space="preserve">Tipo (Limitación · Deuda técnica · Riesgo abierto)</w:t>
            </w:r>
          </w:p>
        </w:tc>
        <w:tc>
          <w:tcPr>
            <w:tcW w:w="1377" w:type="dxa"/>
            <w:shd w:val="clear" w:color="auto" w:fill="F2DFCE"/>
          </w:tcPr>
          <w:p>
            <w:pPr>
              <w:pStyle w:val="Celda"/>
            </w:pPr>
            <w:r>
              <w:rPr>
                <w:b/>
              </w:rPr>
              <w:t xml:space="preserve">Efecto en operación</w:t>
            </w:r>
          </w:p>
        </w:tc>
        <w:tc>
          <w:tcPr>
            <w:tcW w:w="1377" w:type="dxa"/>
            <w:shd w:val="clear" w:color="auto" w:fill="F2DFCE"/>
          </w:tcPr>
          <w:p>
            <w:pPr>
              <w:pStyle w:val="Celda"/>
            </w:pPr>
            <w:r>
              <w:rPr>
                <w:b/>
              </w:rPr>
              <w:t xml:space="preserve">Tratamiento</w:t>
            </w:r>
          </w:p>
        </w:tc>
        <w:tc>
          <w:tcPr>
            <w:tcW w:w="1377" w:type="dxa"/>
            <w:shd w:val="clear" w:color="auto" w:fill="F2DFCE"/>
          </w:tcPr>
          <w:p>
            <w:pPr>
              <w:pStyle w:val="Celda"/>
            </w:pPr>
            <w:r>
              <w:rPr>
                <w:b/>
              </w:rPr>
              <w:t xml:space="preserve">Responsable</w:t>
            </w:r>
          </w:p>
        </w:tc>
        <w:tc>
          <w:tcPr>
            <w:tcW w:w="1377" w:type="dxa"/>
            <w:shd w:val="clear" w:color="auto" w:fill="F2DFCE"/>
          </w:tcPr>
          <w:p>
            <w:pPr>
              <w:pStyle w:val="Celda"/>
            </w:pPr>
            <w:r>
              <w:rPr>
                <w:b/>
              </w:rPr>
              <w:t xml:space="preserve">Fecha</w:t>
            </w:r>
          </w:p>
        </w:tc>
      </w:tr>
      <w:tr>
        <w:tc>
          <w:tcPr>
            <w:tcW w:w="1377" w:type="dxa"/>
          </w:tcPr>
          <w:p>
            <w:pPr>
              <w:pStyle w:val="Celda"/>
            </w:pPr>
            <w:r>
              <w:t xml:space="preserve">1 </w:t>
            </w:r>
            <w:r>
              <w:rPr>
                <w:i/>
              </w:rPr>
              <w:t xml:space="preserve">(ejemplo ilustrativo)</w:t>
            </w:r>
          </w:p>
        </w:tc>
        <w:tc>
          <w:tcPr>
            <w:tcW w:w="1377" w:type="dxa"/>
          </w:tcPr>
          <w:p>
            <w:pPr>
              <w:pStyle w:val="Celda"/>
            </w:pPr>
            <w:r>
              <w:t xml:space="preserve">Los reentrenamientos requieren intervención manual</w:t>
            </w:r>
          </w:p>
        </w:tc>
        <w:tc>
          <w:tcPr>
            <w:tcW w:w="1377" w:type="dxa"/>
          </w:tcPr>
          <w:p>
            <w:pPr>
              <w:pStyle w:val="Celda"/>
            </w:pPr>
            <w:r>
              <w:t xml:space="preserve">Deuda técnica</w:t>
            </w:r>
          </w:p>
        </w:tc>
        <w:tc>
          <w:tcPr>
            <w:tcW w:w="1377" w:type="dxa"/>
          </w:tcPr>
          <w:p>
            <w:pPr>
              <w:pStyle w:val="Celda"/>
            </w:pPr>
            <w:r>
              <w:t xml:space="preserve">Mayor dependencia de dos personas</w:t>
            </w:r>
          </w:p>
        </w:tc>
        <w:tc>
          <w:tcPr>
            <w:tcW w:w="1377" w:type="dxa"/>
          </w:tcPr>
          <w:p>
            <w:pPr>
              <w:pStyle w:val="Celda"/>
            </w:pPr>
            <w:r>
              <w:t xml:space="preserve">Automatizar antes del segundo R6</w:t>
            </w:r>
          </w:p>
        </w:tc>
        <w:tc>
          <w:tcPr>
            <w:tcW w:w="1377" w:type="dxa"/>
          </w:tcPr>
          <w:p>
            <w:pPr>
              <w:pStyle w:val="Celda"/>
            </w:pPr>
            <w:r>
              <w:t xml:space="preserve">Responsable técnico de IA</w:t>
            </w:r>
          </w:p>
        </w:tc>
        <w:tc>
          <w:tcPr>
            <w:tcW w:w="1377" w:type="dxa"/>
          </w:tcPr>
          <w:p>
            <w:pPr>
              <w:pStyle w:val="Celda"/>
            </w:pPr>
          </w:p>
        </w:tc>
      </w:tr>
      <w:tr>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bl>
    <w:p>
      <w:pPr>
        <w:pStyle w:val="Espacio"/>
      </w:pPr>
    </w:p>
    <w:p>
      <w:pPr>
        <w:pStyle w:val="Separador"/>
      </w:pPr>
    </w:p>
    <w:p>
      <w:pPr>
        <w:pStyle w:val="Heading1"/>
      </w:pPr>
      <w:r>
        <w:t xml:space="preserve">10. Traspaso a la operación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Comprobación</w:t>
            </w:r>
          </w:p>
        </w:tc>
        <w:tc>
          <w:tcPr>
            <w:tcW w:w="3213" w:type="dxa"/>
            <w:shd w:val="clear" w:color="auto" w:fill="F2DFCE"/>
          </w:tcPr>
          <w:p>
            <w:pPr>
              <w:pStyle w:val="Celda"/>
            </w:pPr>
            <w:r>
              <w:rPr>
                <w:b/>
              </w:rPr>
              <w:t xml:space="preserve">Estado (Cumple · No cumple · No aplica · Pendiente)</w:t>
            </w:r>
          </w:p>
        </w:tc>
        <w:tc>
          <w:tcPr>
            <w:tcW w:w="3213" w:type="dxa"/>
            <w:shd w:val="clear" w:color="auto" w:fill="F2DFCE"/>
          </w:tcPr>
          <w:p>
            <w:pPr>
              <w:pStyle w:val="Celda"/>
            </w:pPr>
            <w:r>
              <w:rPr>
                <w:b/>
              </w:rPr>
              <w:t xml:space="preserve">Observaciones</w:t>
            </w:r>
          </w:p>
        </w:tc>
      </w:tr>
      <w:tr>
        <w:tc>
          <w:tcPr>
            <w:tcW w:w="3213" w:type="dxa"/>
          </w:tcPr>
          <w:p>
            <w:pPr>
              <w:pStyle w:val="Celda"/>
            </w:pPr>
            <w:r>
              <w:t xml:space="preserve">El responsable de operación de IA ha recibido y revisado la documentación.</w:t>
            </w:r>
          </w:p>
        </w:tc>
        <w:tc>
          <w:tcPr>
            <w:tcW w:w="3213" w:type="dxa"/>
          </w:tcPr>
          <w:p>
            <w:pPr>
              <w:pStyle w:val="Celda"/>
            </w:pPr>
          </w:p>
        </w:tc>
        <w:tc>
          <w:tcPr>
            <w:tcW w:w="3213" w:type="dxa"/>
          </w:tcPr>
          <w:p>
            <w:pPr>
              <w:pStyle w:val="Celda"/>
            </w:pPr>
          </w:p>
        </w:tc>
      </w:tr>
      <w:tr>
        <w:tc>
          <w:tcPr>
            <w:tcW w:w="3213" w:type="dxa"/>
          </w:tcPr>
          <w:p>
            <w:pPr>
              <w:pStyle w:val="Celda"/>
            </w:pPr>
            <w:r>
              <w:t xml:space="preserve">Accesos, credenciales y permisos de operación configurados y revisados.</w:t>
            </w:r>
          </w:p>
        </w:tc>
        <w:tc>
          <w:tcPr>
            <w:tcW w:w="3213" w:type="dxa"/>
          </w:tcPr>
          <w:p>
            <w:pPr>
              <w:pStyle w:val="Celda"/>
            </w:pPr>
          </w:p>
        </w:tc>
        <w:tc>
          <w:tcPr>
            <w:tcW w:w="3213" w:type="dxa"/>
          </w:tcPr>
          <w:p>
            <w:pPr>
              <w:pStyle w:val="Celda"/>
            </w:pPr>
          </w:p>
        </w:tc>
      </w:tr>
      <w:tr>
        <w:tc>
          <w:tcPr>
            <w:tcW w:w="3213" w:type="dxa"/>
          </w:tcPr>
          <w:p>
            <w:pPr>
              <w:pStyle w:val="Celda"/>
            </w:pPr>
            <w:r>
              <w:t xml:space="preserve">Alertas conectadas a los destinatarios de guardia.</w:t>
            </w:r>
          </w:p>
        </w:tc>
        <w:tc>
          <w:tcPr>
            <w:tcW w:w="3213" w:type="dxa"/>
          </w:tcPr>
          <w:p>
            <w:pPr>
              <w:pStyle w:val="Celda"/>
            </w:pPr>
          </w:p>
        </w:tc>
        <w:tc>
          <w:tcPr>
            <w:tcW w:w="3213" w:type="dxa"/>
          </w:tcPr>
          <w:p>
            <w:pPr>
              <w:pStyle w:val="Celda"/>
            </w:pPr>
          </w:p>
        </w:tc>
      </w:tr>
      <w:tr>
        <w:tc>
          <w:tcPr>
            <w:tcW w:w="3213" w:type="dxa"/>
          </w:tcPr>
          <w:p>
            <w:pPr>
              <w:pStyle w:val="Celda"/>
            </w:pPr>
            <w:r>
              <w:t xml:space="preserve">Personal de operación formado en reversión e interruptor de parada.</w:t>
            </w:r>
          </w:p>
        </w:tc>
        <w:tc>
          <w:tcPr>
            <w:tcW w:w="3213" w:type="dxa"/>
          </w:tcPr>
          <w:p>
            <w:pPr>
              <w:pStyle w:val="Celda"/>
            </w:pPr>
          </w:p>
        </w:tc>
        <w:tc>
          <w:tcPr>
            <w:tcW w:w="3213" w:type="dxa"/>
          </w:tcPr>
          <w:p>
            <w:pPr>
              <w:pStyle w:val="Celda"/>
            </w:pPr>
          </w:p>
        </w:tc>
      </w:tr>
      <w:tr>
        <w:tc>
          <w:tcPr>
            <w:tcW w:w="3213" w:type="dxa"/>
          </w:tcPr>
          <w:p>
            <w:pPr>
              <w:pStyle w:val="Celda"/>
            </w:pPr>
            <w:r>
              <w:t xml:space="preserve">Acuerdos de soporte con proveedores vigentes </w:t>
            </w:r>
            <w:r>
              <w:rPr>
                <w:b/>
              </w:rPr>
              <w:t xml:space="preserve">(Enterprise)</w:t>
            </w:r>
          </w:p>
        </w:tc>
        <w:tc>
          <w:tcPr>
            <w:tcW w:w="3213" w:type="dxa"/>
          </w:tcPr>
          <w:p>
            <w:pPr>
              <w:pStyle w:val="Celda"/>
            </w:pPr>
          </w:p>
        </w:tc>
        <w:tc>
          <w:tcPr>
            <w:tcW w:w="3213" w:type="dxa"/>
          </w:tcPr>
          <w:p>
            <w:pPr>
              <w:pStyle w:val="Celda"/>
            </w:pPr>
          </w:p>
        </w:tc>
      </w:tr>
      <w:tr>
        <w:tc>
          <w:tcPr>
            <w:tcW w:w="3213" w:type="dxa"/>
          </w:tcPr>
          <w:p>
            <w:pPr>
              <w:pStyle w:val="Celda"/>
            </w:pPr>
            <w:r>
              <w:t xml:space="preserve">Inventario de sistemas de IA actualizado con la versión entregada.</w:t>
            </w:r>
          </w:p>
        </w:tc>
        <w:tc>
          <w:tcPr>
            <w:tcW w:w="3213" w:type="dxa"/>
          </w:tcPr>
          <w:p>
            <w:pPr>
              <w:pStyle w:val="Celda"/>
            </w:pPr>
          </w:p>
        </w:tc>
        <w:tc>
          <w:tcPr>
            <w:tcW w:w="3213" w:type="dxa"/>
          </w:tcPr>
          <w:p>
            <w:pPr>
              <w:pStyle w:val="Celda"/>
            </w:pPr>
          </w:p>
        </w:tc>
      </w:tr>
    </w:tbl>
    <w:p>
      <w:pPr>
        <w:pStyle w:val="Espacio"/>
      </w:pPr>
    </w:p>
    <w:p>
      <w:pPr>
        <w:pStyle w:val="Separador"/>
      </w:pPr>
    </w:p>
    <w:p>
      <w:pPr>
        <w:pStyle w:val="Heading1"/>
      </w:pPr>
      <w:r>
        <w:t xml:space="preserve">11. Criterios de calidad</w:t>
      </w:r>
    </w:p>
    <w:p>
      <w:r>
        <w:t xml:space="preserve">Criterios formales de G5 en el documento 21; lista LV-G5 en el documento 22.</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Comprobación</w:t>
            </w:r>
          </w:p>
        </w:tc>
        <w:tc>
          <w:tcPr>
            <w:tcW w:w="3213" w:type="dxa"/>
            <w:shd w:val="clear" w:color="auto" w:fill="F2DFCE"/>
          </w:tcPr>
          <w:p>
            <w:pPr>
              <w:pStyle w:val="Celda"/>
            </w:pPr>
            <w:r>
              <w:rPr>
                <w:b/>
              </w:rPr>
              <w:t xml:space="preserve">Estado (Cumple · No cumple · No aplica · Pendiente)</w:t>
            </w:r>
          </w:p>
        </w:tc>
      </w:tr>
      <w:tr>
        <w:tc>
          <w:tcPr>
            <w:tcW w:w="3213" w:type="dxa"/>
          </w:tcPr>
          <w:p>
            <w:pPr>
              <w:pStyle w:val="Celda"/>
            </w:pPr>
            <w:r>
              <w:t xml:space="preserve">1</w:t>
            </w:r>
          </w:p>
        </w:tc>
        <w:tc>
          <w:tcPr>
            <w:tcW w:w="3213" w:type="dxa"/>
          </w:tcPr>
          <w:p>
            <w:pPr>
              <w:pStyle w:val="Celda"/>
            </w:pPr>
            <w:r>
              <w:t xml:space="preserve">Todo elemento del diseño tiene estado de entrega y los cambios están justificados y aprobados.</w:t>
            </w:r>
          </w:p>
        </w:tc>
        <w:tc>
          <w:tcPr>
            <w:tcW w:w="3213" w:type="dxa"/>
          </w:tcPr>
          <w:p>
            <w:pPr>
              <w:pStyle w:val="Celda"/>
            </w:pPr>
          </w:p>
        </w:tc>
      </w:tr>
      <w:tr>
        <w:tc>
          <w:tcPr>
            <w:tcW w:w="3213" w:type="dxa"/>
          </w:tcPr>
          <w:p>
            <w:pPr>
              <w:pStyle w:val="Celda"/>
            </w:pPr>
            <w:r>
              <w:t xml:space="preserve">2</w:t>
            </w:r>
          </w:p>
        </w:tc>
        <w:tc>
          <w:tcPr>
            <w:tcW w:w="3213" w:type="dxa"/>
          </w:tcPr>
          <w:p>
            <w:pPr>
              <w:pStyle w:val="Celda"/>
            </w:pPr>
            <w:r>
              <w:t xml:space="preserve">Los cambios que afectan a riesgos, supervisión o seguridad han actualizado sus evidencias.</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Todas las condiciones de </w:t>
            </w:r>
            <w:r>
              <w:rPr>
                <w:i/>
              </w:rPr>
              <w:t xml:space="preserve">gates</w:t>
            </w:r>
            <w:r>
              <w:t xml:space="preserve"> anteriores están cumplidas o se ha registrado su vencimiento.</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Los costes reales están por categoría, separando inversión y coste recurrente.</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Las limitaciones y riesgos abiertos tienen tratamiento y responsable.</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El traspaso a operación está completo o sus pendientes no son críticos.</w:t>
            </w:r>
          </w:p>
        </w:tc>
        <w:tc>
          <w:tcPr>
            <w:tcW w:w="3213" w:type="dxa"/>
          </w:tcPr>
          <w:p>
            <w:pPr>
              <w:pStyle w:val="Celda"/>
            </w:pPr>
          </w:p>
        </w:tc>
      </w:tr>
    </w:tbl>
    <w:p>
      <w:pPr>
        <w:pStyle w:val="Espacio"/>
      </w:pPr>
    </w:p>
    <w:p>
      <w:pPr>
        <w:pStyle w:val="Separador"/>
      </w:pPr>
    </w:p>
    <w:p>
      <w:pPr>
        <w:pStyle w:val="Heading1"/>
      </w:pPr>
      <w:r>
        <w:t xml:space="preserve">12. Aprobación y verificación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Función</w:t>
            </w:r>
          </w:p>
        </w:tc>
        <w:tc>
          <w:tcPr>
            <w:tcW w:w="1928" w:type="dxa"/>
            <w:shd w:val="clear" w:color="auto" w:fill="F2DFCE"/>
          </w:tcPr>
          <w:p>
            <w:pPr>
              <w:pStyle w:val="Celda"/>
            </w:pPr>
            <w:r>
              <w:rPr>
                <w:b/>
              </w:rPr>
              <w:t xml:space="preserve">Rol</w:t>
            </w:r>
          </w:p>
        </w:tc>
        <w:tc>
          <w:tcPr>
            <w:tcW w:w="1928" w:type="dxa"/>
            <w:shd w:val="clear" w:color="auto" w:fill="F2DFCE"/>
          </w:tcPr>
          <w:p>
            <w:pPr>
              <w:pStyle w:val="Celda"/>
            </w:pPr>
            <w:r>
              <w:rPr>
                <w:b/>
              </w:rPr>
              <w:t xml:space="preserve">Nombre</w:t>
            </w:r>
          </w:p>
        </w:tc>
        <w:tc>
          <w:tcPr>
            <w:tcW w:w="1928" w:type="dxa"/>
            <w:shd w:val="clear" w:color="auto" w:fill="F2DFCE"/>
          </w:tcPr>
          <w:p>
            <w:pPr>
              <w:pStyle w:val="Celda"/>
            </w:pPr>
            <w:r>
              <w:rPr>
                <w:b/>
              </w:rPr>
              <w:t xml:space="preserve">Fecha</w:t>
            </w:r>
          </w:p>
        </w:tc>
        <w:tc>
          <w:tcPr>
            <w:tcW w:w="1928" w:type="dxa"/>
            <w:shd w:val="clear" w:color="auto" w:fill="F2DFCE"/>
          </w:tcPr>
          <w:p>
            <w:pPr>
              <w:pStyle w:val="Celda"/>
            </w:pPr>
            <w:r>
              <w:rPr>
                <w:b/>
              </w:rPr>
              <w:t xml:space="preserve">Firma o referencia</w:t>
            </w:r>
          </w:p>
        </w:tc>
      </w:tr>
      <w:tr>
        <w:tc>
          <w:tcPr>
            <w:tcW w:w="1928" w:type="dxa"/>
          </w:tcPr>
          <w:p>
            <w:pPr>
              <w:pStyle w:val="Celda"/>
            </w:pPr>
            <w:r>
              <w:t xml:space="preserve">Autor</w:t>
            </w:r>
          </w:p>
        </w:tc>
        <w:tc>
          <w:tcPr>
            <w:tcW w:w="1928" w:type="dxa"/>
          </w:tcPr>
          <w:p>
            <w:pPr>
              <w:pStyle w:val="Celda"/>
            </w:pPr>
            <w:r>
              <w:t xml:space="preserve">Responsable técnico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Coautor</w:t>
            </w:r>
          </w:p>
        </w:tc>
        <w:tc>
          <w:tcPr>
            <w:tcW w:w="1928" w:type="dxa"/>
          </w:tcPr>
          <w:p>
            <w:pPr>
              <w:pStyle w:val="Celda"/>
            </w:pPr>
            <w:r>
              <w:t xml:space="preserve">Responsable de producto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Recepción</w:t>
            </w:r>
          </w:p>
        </w:tc>
        <w:tc>
          <w:tcPr>
            <w:tcW w:w="1928" w:type="dxa"/>
          </w:tcPr>
          <w:p>
            <w:pPr>
              <w:pStyle w:val="Celda"/>
            </w:pPr>
            <w:r>
              <w:t xml:space="preserve">Responsable de operación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Verificador</w:t>
            </w:r>
          </w:p>
        </w:tc>
        <w:tc>
          <w:tcPr>
            <w:tcW w:w="1928" w:type="dxa"/>
          </w:tcPr>
          <w:p>
            <w:pPr>
              <w:pStyle w:val="Celda"/>
            </w:pPr>
            <w:r>
              <w:t xml:space="preserve">Responsable de riesgos de IA (Lite) · Auditor de IA (Enterprise)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Decisor del </w:t>
            </w:r>
            <w:r>
              <w:rPr>
                <w:i/>
              </w:rPr>
              <w:t xml:space="preserve">gate</w:t>
            </w:r>
          </w:p>
        </w:tc>
        <w:tc>
          <w:tcPr>
            <w:tcW w:w="1928" w:type="dxa"/>
          </w:tcPr>
          <w:p>
            <w:pPr>
              <w:pStyle w:val="Celda"/>
            </w:pPr>
            <w:r>
              <w:t xml:space="preserve">Según 01 §7.5 (registrado en P29)</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Separación de funciones: el verificador no forma parte del equipo que construye.</w:t>
      </w:r>
    </w:p>
    <w:p>
      <w:pPr>
        <w:pStyle w:val="Separador"/>
      </w:pPr>
    </w:p>
    <w:p>
      <w:pPr>
        <w:pStyle w:val="Heading1"/>
      </w:pPr>
      <w:r>
        <w:t xml:space="preserve">13. Control de versiones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Versión</w:t>
            </w:r>
          </w:p>
        </w:tc>
        <w:tc>
          <w:tcPr>
            <w:tcW w:w="3213" w:type="dxa"/>
            <w:shd w:val="clear" w:color="auto" w:fill="F2DFCE"/>
          </w:tcPr>
          <w:p>
            <w:pPr>
              <w:pStyle w:val="Celda"/>
            </w:pPr>
            <w:r>
              <w:rPr>
                <w:b/>
              </w:rPr>
              <w:t xml:space="preserve">Fecha</w:t>
            </w:r>
          </w:p>
        </w:tc>
        <w:tc>
          <w:tcPr>
            <w:tcW w:w="3213" w:type="dxa"/>
            <w:shd w:val="clear" w:color="auto" w:fill="F2DFCE"/>
          </w:tcPr>
          <w:p>
            <w:pPr>
              <w:pStyle w:val="Celda"/>
            </w:pPr>
            <w:r>
              <w:rPr>
                <w:b/>
              </w:rPr>
              <w:t xml:space="preserve">Cambios</w:t>
            </w:r>
          </w:p>
        </w:tc>
      </w:tr>
      <w:tr>
        <w:tc>
          <w:tcPr>
            <w:tcW w:w="3213" w:type="dxa"/>
          </w:tcPr>
          <w:p>
            <w:pPr>
              <w:pStyle w:val="Celda"/>
            </w:pPr>
            <w:r>
              <w:t xml:space="preserve">0.1</w:t>
            </w:r>
          </w:p>
        </w:tc>
        <w:tc>
          <w:tcPr>
            <w:tcW w:w="3213" w:type="dxa"/>
          </w:tcPr>
          <w:p>
            <w:pPr>
              <w:pStyle w:val="Celda"/>
            </w:pPr>
            <w:r>
              <w:t xml:space="preserve">16-09-2026</w:t>
            </w:r>
          </w:p>
        </w:tc>
        <w:tc>
          <w:tcPr>
            <w:tcW w:w="3213" w:type="dxa"/>
          </w:tcPr>
          <w:p>
            <w:pPr>
              <w:pStyle w:val="Celda"/>
            </w:pPr>
            <w:r>
              <w:t xml:space="preserve">Primera versión de la plantilla.</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Plantilla P21 · Informe de entrega · CC BY 4.0 · Fernando García Varela · Generada desde la fuente Markdown: no edite la plantilla, rellene una copia.</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s-ES"/>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P21 · Informe de entrega</dc:title>
  <dc:creator>Fernando García Varela</dc:creator>
  <dc:language>es</dc:language>
  <dc:description>sha256:b82729c1efdbc139488f8914707ab37684ef91117460904ede8ea5e855c117ab</dc:description>
  <cp:keywords>SEVEN-G</cp:keywords>
</cp:coreProperties>
</file>