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Reglamento de los órganos de gobierno de IA</w:t>
      </w:r>
    </w:p>
    <w:p>
      <w:r>
        <w:rPr>
          <w:b/>
        </w:rPr>
        <w:t xml:space="preserve">Texto aprobable, por artículos, del reglamento del comité de IA, con anexos para la oficina de IA y la comisión delegada del consejo y un modelo de nombramiento del responsable de IA.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P38 · Reglamento de los órganos de gobierno de 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Los mandatos tipo del documento 30 dicen qué hace cada órgano, pero no bastan para que un órgano funcione: hace falta saber quién convoca, cuándo hay quórum, cómo se vota, quién se abstiene y dónde queda cada acuerdo. Sin un reglamento aprobado, las decisiones de </w:t>
      </w:r>
      <w:r>
        <w:rPr>
          <w:i/>
        </w:rPr>
        <w:t xml:space="preserve">gate</w:t>
      </w:r>
      <w:r>
        <w:t xml:space="preserve">, las aceptaciones de riesgo y las excepciones pueden impugnarse por falta de competencia o de forma, y la madurez D1 no puede superar el nivel 2 porque falta la evidencia de un mandato escrito (11, D1.03 y D1.07).</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primera implantación, en el mes 3 (semana 9, 90 §4.4), y cada vez que se modifique la estructura de gobierno o la matriz de delegación. Se revisa en C5.</w:t>
            </w:r>
          </w:p>
        </w:tc>
      </w:tr>
      <w:tr>
        <w:tc>
          <w:tcPr>
            <w:tcW w:w="4819" w:type="dxa"/>
          </w:tcPr>
          <w:p>
            <w:pPr>
              <w:pStyle w:val="Celda"/>
            </w:pPr>
            <w:r>
              <w:rPr>
                <w:b/>
              </w:rPr>
              <w:t xml:space="preserve">Quién la rellena</w:t>
            </w:r>
          </w:p>
        </w:tc>
        <w:tc>
          <w:tcPr>
            <w:tcW w:w="4819" w:type="dxa"/>
          </w:tcPr>
          <w:p>
            <w:pPr>
              <w:pStyle w:val="Celda"/>
            </w:pPr>
            <w:r>
              <w:t xml:space="preserve">La oficina de IA redacta, con la secretaría del consejo y asesoría jurídica.</w:t>
            </w:r>
          </w:p>
        </w:tc>
      </w:tr>
      <w:tr>
        <w:tc>
          <w:tcPr>
            <w:tcW w:w="4819" w:type="dxa"/>
          </w:tcPr>
          <w:p>
            <w:pPr>
              <w:pStyle w:val="Celda"/>
            </w:pPr>
            <w:r>
              <w:rPr>
                <w:b/>
              </w:rPr>
              <w:t xml:space="preserve">Quién la verifica</w:t>
            </w:r>
          </w:p>
        </w:tc>
        <w:tc>
          <w:tcPr>
            <w:tcW w:w="4819" w:type="dxa"/>
          </w:tcPr>
          <w:p>
            <w:pPr>
              <w:pStyle w:val="Celda"/>
            </w:pPr>
            <w:r>
              <w:t xml:space="preserve">La segunda línea (competencias sobre riesgo, conformidades y excepciones) y asesoría jurídica (encaje con estatutos, reglamento del consejo y legislación societaria aplicable).</w:t>
            </w:r>
          </w:p>
        </w:tc>
      </w:tr>
      <w:tr>
        <w:tc>
          <w:tcPr>
            <w:tcW w:w="4819" w:type="dxa"/>
          </w:tcPr>
          <w:p>
            <w:pPr>
              <w:pStyle w:val="Celda"/>
            </w:pPr>
            <w:r>
              <w:rPr>
                <w:b/>
              </w:rPr>
              <w:t xml:space="preserve">Quién decide o aprueba</w:t>
            </w:r>
          </w:p>
        </w:tc>
        <w:tc>
          <w:tcPr>
            <w:tcW w:w="4819" w:type="dxa"/>
          </w:tcPr>
          <w:p>
            <w:pPr>
              <w:pStyle w:val="Celda"/>
            </w:pPr>
            <w:r>
              <w:t xml:space="preserve">El reglamento del comité de IA y el mandato de la oficina de IA: la alta dirección o el consejo, según el sistema de delegación de la compañía. Las competencias de IA de la comisión delegada y el nombramiento del responsable de IA: el consejo.</w:t>
            </w:r>
          </w:p>
        </w:tc>
      </w:tr>
      <w:tr>
        <w:tc>
          <w:tcPr>
            <w:tcW w:w="4819" w:type="dxa"/>
          </w:tcPr>
          <w:p>
            <w:pPr>
              <w:pStyle w:val="Celda"/>
            </w:pPr>
            <w:r>
              <w:rPr>
                <w:b/>
              </w:rPr>
              <w:t xml:space="preserve">Etapa del ciclo corporativo</w:t>
            </w:r>
          </w:p>
        </w:tc>
        <w:tc>
          <w:tcPr>
            <w:tcW w:w="4819" w:type="dxa"/>
          </w:tcPr>
          <w:p>
            <w:pPr>
              <w:pStyle w:val="Celda"/>
            </w:pPr>
            <w:r>
              <w:t xml:space="preserve">C2 (aprobación junto con la matriz de delegación, 30 §7) y C5 (revisión anual).</w:t>
            </w:r>
          </w:p>
        </w:tc>
      </w:tr>
      <w:tr>
        <w:tc>
          <w:tcPr>
            <w:tcW w:w="4819" w:type="dxa"/>
          </w:tcPr>
          <w:p>
            <w:pPr>
              <w:pStyle w:val="Celda"/>
            </w:pPr>
            <w:r>
              <w:rPr>
                <w:b/>
              </w:rPr>
              <w:t xml:space="preserve">Herramienta</w:t>
            </w:r>
          </w:p>
        </w:tc>
        <w:tc>
          <w:tcPr>
            <w:tcW w:w="4819" w:type="dxa"/>
          </w:tcPr>
          <w:p>
            <w:pPr>
              <w:pStyle w:val="Celda"/>
            </w:pPr>
            <w:r>
              <w:t xml:space="preserve">T01 · Registro de iniciativas: alta de órganos y personas para validar decisor y verificador (30 §10, paso 5).</w:t>
            </w:r>
          </w:p>
        </w:tc>
      </w:tr>
      <w:tr>
        <w:tc>
          <w:tcPr>
            <w:tcW w:w="4819" w:type="dxa"/>
          </w:tcPr>
          <w:p>
            <w:pPr>
              <w:pStyle w:val="Celda"/>
            </w:pPr>
            <w:r>
              <w:rPr>
                <w:b/>
              </w:rPr>
              <w:t xml:space="preserve">Documento de referencia</w:t>
            </w:r>
          </w:p>
        </w:tc>
        <w:tc>
          <w:tcPr>
            <w:tcW w:w="4819" w:type="dxa"/>
          </w:tcPr>
          <w:p>
            <w:pPr>
              <w:pStyle w:val="Celda"/>
            </w:pPr>
            <w:r>
              <w:t xml:space="preserve">30 §3, §4, §6, §7, §12; 01 §8.3; 11 D1.01–D1.03 y D1.07; 90 §4.4.</w:t>
            </w:r>
          </w:p>
        </w:tc>
      </w:tr>
      <w:tr>
        <w:tc>
          <w:tcPr>
            <w:tcW w:w="4819" w:type="dxa"/>
          </w:tcPr>
          <w:p>
            <w:pPr>
              <w:pStyle w:val="Celda"/>
            </w:pPr>
            <w:r>
              <w:rPr>
                <w:b/>
              </w:rPr>
              <w:t xml:space="preserve">Lite frente a Enterprise</w:t>
            </w:r>
          </w:p>
        </w:tc>
        <w:tc>
          <w:tcPr>
            <w:tcW w:w="4819" w:type="dxa"/>
          </w:tcPr>
          <w:p>
            <w:pPr>
              <w:pStyle w:val="Celda"/>
            </w:pPr>
            <w:r>
              <w:t xml:space="preserve">En una compañía con alcance Lite o de tamaño reducido, el comité de IA puede ser el comité de dirección con un punto mensual propio y la oficina de IA una persona a tiempo parcial (30 §11). Las tres garantías irrenunciables de 30 §11 se mantienen en ambos casos.</w:t>
            </w:r>
          </w:p>
        </w:tc>
      </w:tr>
    </w:tbl>
    <w:p>
      <w:pPr>
        <w:pStyle w:val="Espacio"/>
      </w:pPr>
    </w:p>
    <w:p>
      <w:r>
        <w:t xml:space="preserve">Reglas de cumplimentación:</w:t>
      </w:r>
    </w:p>
    <w:p>
      <w:pPr>
        <w:pStyle w:val="Lista"/>
      </w:pPr>
      <w:r>
        <w:t xml:space="preserve">• Los datos de la compañía van </w:t>
      </w:r>
      <w:r>
        <w:rPr>
          <w:b/>
        </w:rPr>
        <w:t xml:space="preserve">entre corchetes [ ]</w:t>
      </w:r>
      <w:r>
        <w:t xml:space="preserve"> y se sustituyen por el texto aprobado; al aprobar, no queda ningún corchete.</w:t>
      </w:r>
    </w:p>
    <w:p>
      <w:pPr>
        <w:pStyle w:val="Lista"/>
      </w:pPr>
      <w:r>
        <w:t xml:space="preserve">• Quórum y plazos son </w:t>
      </w:r>
      <w:r>
        <w:rPr>
          <w:b/>
        </w:rPr>
        <w:t xml:space="preserve">de referencia</w:t>
      </w:r>
      <w:r>
        <w:t xml:space="preserve"> (30 §3). La compañía puede endurecerlos; no puede rebajar los niveles de decisión de 01 ni de la especificación común §5.1.</w:t>
      </w:r>
    </w:p>
    <w:p>
      <w:pPr>
        <w:pStyle w:val="Lista"/>
      </w:pPr>
      <w:r>
        <w:t xml:space="preserve">• Si un comité existente asume las funciones del comité de IA (30 §10), este texto se incorpora como capítulo de su reglamento y no se crea un órgano nuevo.</w:t>
      </w:r>
    </w:p>
    <w:p>
      <w:pPr>
        <w:pStyle w:val="Lista"/>
      </w:pPr>
      <w:r>
        <w:t xml:space="preserve">• Lo que el reglamento no atribuya a otro órgano corresponde al comité de IA, que puede elevarlo (30 §7).</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w:t>
            </w:r>
          </w:p>
        </w:tc>
        <w:tc>
          <w:tcPr>
            <w:tcW w:w="3213" w:type="dxa"/>
          </w:tcPr>
          <w:p>
            <w:pPr>
              <w:pStyle w:val="Celda"/>
            </w:pPr>
          </w:p>
        </w:tc>
        <w:tc>
          <w:tcPr>
            <w:tcW w:w="3213" w:type="dxa"/>
          </w:tcPr>
          <w:p>
            <w:pPr>
              <w:pStyle w:val="Celda"/>
            </w:pPr>
            <w:r>
              <w:t xml:space="preserve">[Denominación social].</w:t>
            </w:r>
          </w:p>
        </w:tc>
      </w:tr>
      <w:tr>
        <w:tc>
          <w:tcPr>
            <w:tcW w:w="3213" w:type="dxa"/>
          </w:tcPr>
          <w:p>
            <w:pPr>
              <w:pStyle w:val="Celda"/>
            </w:pPr>
            <w:r>
              <w:t xml:space="preserve">Perímetro</w:t>
            </w:r>
          </w:p>
        </w:tc>
        <w:tc>
          <w:tcPr>
            <w:tcW w:w="3213" w:type="dxa"/>
          </w:tcPr>
          <w:p>
            <w:pPr>
              <w:pStyle w:val="Celda"/>
            </w:pPr>
          </w:p>
        </w:tc>
        <w:tc>
          <w:tcPr>
            <w:tcW w:w="3213" w:type="dxa"/>
          </w:tcPr>
          <w:p>
            <w:pPr>
              <w:pStyle w:val="Celda"/>
            </w:pPr>
            <w:r>
              <w:t xml:space="preserve">Sociedades y áreas a las que se aplica.</w:t>
            </w:r>
          </w:p>
        </w:tc>
      </w:tr>
      <w:tr>
        <w:tc>
          <w:tcPr>
            <w:tcW w:w="3213" w:type="dxa"/>
          </w:tcPr>
          <w:p>
            <w:pPr>
              <w:pStyle w:val="Celda"/>
            </w:pPr>
            <w:r>
              <w:t xml:space="preserve">Versión del reglamento</w:t>
            </w:r>
          </w:p>
        </w:tc>
        <w:tc>
          <w:tcPr>
            <w:tcW w:w="3213" w:type="dxa"/>
          </w:tcPr>
          <w:p>
            <w:pPr>
              <w:pStyle w:val="Celda"/>
            </w:pPr>
          </w:p>
        </w:tc>
        <w:tc>
          <w:tcPr>
            <w:tcW w:w="3213" w:type="dxa"/>
          </w:tcPr>
          <w:p>
            <w:pPr>
              <w:pStyle w:val="Celda"/>
            </w:pPr>
            <w:r>
              <w:t xml:space="preserve">1.0 al aprobarse.</w:t>
            </w:r>
          </w:p>
        </w:tc>
      </w:tr>
      <w:tr>
        <w:tc>
          <w:tcPr>
            <w:tcW w:w="3213" w:type="dxa"/>
          </w:tcPr>
          <w:p>
            <w:pPr>
              <w:pStyle w:val="Celda"/>
            </w:pPr>
            <w:r>
              <w:t xml:space="preserve">Órgano que aprueba y fecha</w:t>
            </w:r>
          </w:p>
        </w:tc>
        <w:tc>
          <w:tcPr>
            <w:tcW w:w="3213" w:type="dxa"/>
          </w:tcPr>
          <w:p>
            <w:pPr>
              <w:pStyle w:val="Celda"/>
            </w:pPr>
          </w:p>
        </w:tc>
        <w:tc>
          <w:tcPr>
            <w:tcW w:w="3213" w:type="dxa"/>
          </w:tcPr>
          <w:p>
            <w:pPr>
              <w:pStyle w:val="Celda"/>
            </w:pPr>
            <w:r>
              <w:t xml:space="preserve">Referencia del acta (P39).</w:t>
            </w:r>
          </w:p>
        </w:tc>
      </w:tr>
      <w:tr>
        <w:tc>
          <w:tcPr>
            <w:tcW w:w="3213" w:type="dxa"/>
          </w:tcPr>
          <w:p>
            <w:pPr>
              <w:pStyle w:val="Celda"/>
            </w:pPr>
            <w:r>
              <w:t xml:space="preserve">Sustituye a</w:t>
            </w:r>
          </w:p>
        </w:tc>
        <w:tc>
          <w:tcPr>
            <w:tcW w:w="3213" w:type="dxa"/>
          </w:tcPr>
          <w:p>
            <w:pPr>
              <w:pStyle w:val="Celda"/>
            </w:pPr>
          </w:p>
        </w:tc>
        <w:tc>
          <w:tcPr>
            <w:tcW w:w="3213" w:type="dxa"/>
          </w:tcPr>
          <w:p>
            <w:pPr>
              <w:pStyle w:val="Celda"/>
            </w:pPr>
            <w:r>
              <w:t xml:space="preserve">Versión anterior o reglamento del comité existente que se modifica.</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Etapa C5 del ejercicio [AAAA].</w:t>
            </w:r>
          </w:p>
        </w:tc>
      </w:tr>
      <w:tr>
        <w:tc>
          <w:tcPr>
            <w:tcW w:w="3213" w:type="dxa"/>
          </w:tcPr>
          <w:p>
            <w:pPr>
              <w:pStyle w:val="Celda"/>
            </w:pPr>
            <w:r>
              <w:t xml:space="preserve">Documentos que desarrolla</w:t>
            </w:r>
          </w:p>
        </w:tc>
        <w:tc>
          <w:tcPr>
            <w:tcW w:w="3213" w:type="dxa"/>
          </w:tcPr>
          <w:p>
            <w:pPr>
              <w:pStyle w:val="Celda"/>
            </w:pPr>
          </w:p>
        </w:tc>
        <w:tc>
          <w:tcPr>
            <w:tcW w:w="3213" w:type="dxa"/>
          </w:tcPr>
          <w:p>
            <w:pPr>
              <w:pStyle w:val="Celda"/>
            </w:pPr>
            <w:r>
              <w:t xml:space="preserve">Política corporativa de IA (documento 31) y matriz de delegación aprobada en C2.</w:t>
            </w:r>
          </w:p>
        </w:tc>
      </w:tr>
    </w:tbl>
    <w:p>
      <w:pPr>
        <w:pStyle w:val="Espacio"/>
      </w:pPr>
    </w:p>
    <w:p>
      <w:pPr>
        <w:pStyle w:val="Separador"/>
      </w:pPr>
    </w:p>
    <w:p>
      <w:pPr>
        <w:pStyle w:val="Heading1"/>
      </w:pPr>
      <w:r>
        <w:t xml:space="preserve">3. Asignación de funciones a órganos existentes</w:t>
      </w:r>
    </w:p>
    <w:p>
      <w:r>
        <w:t xml:space="preserve">Antes de redactar, se asigna cada función de 30 §3 y §7 a un órgano, sin huecos ni duplicidades (30 §10, pasos 1 y 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Función de SEVEN-G</w:t>
            </w:r>
          </w:p>
        </w:tc>
        <w:tc>
          <w:tcPr>
            <w:tcW w:w="2410" w:type="dxa"/>
            <w:shd w:val="clear" w:color="auto" w:fill="F2DFCE"/>
          </w:tcPr>
          <w:p>
            <w:pPr>
              <w:pStyle w:val="Celda"/>
            </w:pPr>
            <w:r>
              <w:rPr>
                <w:b/>
              </w:rPr>
              <w:t xml:space="preserve">Órgano que la asume</w:t>
            </w:r>
          </w:p>
        </w:tc>
        <w:tc>
          <w:tcPr>
            <w:tcW w:w="2410" w:type="dxa"/>
            <w:shd w:val="clear" w:color="auto" w:fill="F2DFCE"/>
          </w:tcPr>
          <w:p>
            <w:pPr>
              <w:pStyle w:val="Celda"/>
            </w:pPr>
            <w:r>
              <w:rPr>
                <w:b/>
              </w:rPr>
              <w:t xml:space="preserve">¿Existe ya? (Sí · No)</w:t>
            </w:r>
          </w:p>
        </w:tc>
        <w:tc>
          <w:tcPr>
            <w:tcW w:w="2410" w:type="dxa"/>
            <w:shd w:val="clear" w:color="auto" w:fill="F2DFCE"/>
          </w:tcPr>
          <w:p>
            <w:pPr>
              <w:pStyle w:val="Celda"/>
            </w:pPr>
            <w:r>
              <w:rPr>
                <w:b/>
              </w:rPr>
              <w:t xml:space="preserve">Reglamento que se modifica</w:t>
            </w:r>
          </w:p>
        </w:tc>
      </w:tr>
      <w:tr>
        <w:tc>
          <w:tcPr>
            <w:tcW w:w="2410" w:type="dxa"/>
          </w:tcPr>
          <w:p>
            <w:pPr>
              <w:pStyle w:val="Celda"/>
            </w:pPr>
            <w:r>
              <w:t xml:space="preserve">Comité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Oficina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Comisión delegada para la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Coordinación de segunda línea para la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Responsable de auditoría de 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(ejemplo ilustrativo)</w:t>
            </w:r>
            <w:r>
              <w:t xml:space="preserve"> Comité de IA</w:t>
            </w:r>
          </w:p>
        </w:tc>
        <w:tc>
          <w:tcPr>
            <w:tcW w:w="2410" w:type="dxa"/>
          </w:tcPr>
          <w:p>
            <w:pPr>
              <w:pStyle w:val="Celda"/>
            </w:pPr>
            <w:r>
              <w:t xml:space="preserve">Comité de transformación digital con mandato ampliado</w:t>
            </w:r>
          </w:p>
        </w:tc>
        <w:tc>
          <w:tcPr>
            <w:tcW w:w="2410" w:type="dxa"/>
          </w:tcPr>
          <w:p>
            <w:pPr>
              <w:pStyle w:val="Celda"/>
            </w:pPr>
            <w:r>
              <w:t xml:space="preserve">Sí</w:t>
            </w:r>
          </w:p>
        </w:tc>
        <w:tc>
          <w:tcPr>
            <w:tcW w:w="2410" w:type="dxa"/>
          </w:tcPr>
          <w:p>
            <w:pPr>
              <w:pStyle w:val="Celda"/>
            </w:pPr>
            <w:r>
              <w:t xml:space="preserve">Reglamento del comité de transformación, nuevo capítulo IV</w:t>
            </w:r>
          </w:p>
        </w:tc>
      </w:tr>
    </w:tbl>
    <w:p>
      <w:pPr>
        <w:pStyle w:val="Espacio"/>
      </w:pPr>
    </w:p>
    <w:p>
      <w:pPr>
        <w:pStyle w:val="Separador"/>
      </w:pPr>
    </w:p>
    <w:p>
      <w:pPr>
        <w:pStyle w:val="Heading1"/>
      </w:pPr>
      <w:r>
        <w:t xml:space="preserve">4. Reglamento del comité de IA</w:t>
      </w:r>
    </w:p>
    <w:p>
      <w:r>
        <w:rPr>
          <w:b/>
        </w:rPr>
        <w:t xml:space="preserve">Artículo 1. Objeto.</w:t>
      </w:r>
      <w:r>
        <w:t xml:space="preserve"> El presente reglamento regula la composición, competencias y funcionamiento del Comité de IA de [la Compañía], órgano que gestiona la cartera de inteligencia artificial dentro de la tesis de IA, la ambición por esfera y el apetito de riesgo aprobados por el Consejo de Administración, y decide lo que este le delega.</w:t>
      </w:r>
    </w:p>
    <w:p>
      <w:r>
        <w:rPr>
          <w:b/>
        </w:rPr>
        <w:t xml:space="preserve">Artículo 2. Naturaleza y ámbito.</w:t>
      </w:r>
      <w:r>
        <w:t xml:space="preserve"> El Comité es un órgano [de la alta dirección / del comité existente que asume la función]. Su ámbito comprende las iniciativas de IA, la IA de terceros integrada en procesos, el uso corporativo de IA de propósito general y el uso no autorizado, en el perímetro de [perímetro].</w:t>
      </w:r>
    </w:p>
    <w:p>
      <w:r>
        <w:rPr>
          <w:b/>
        </w:rPr>
        <w:t xml:space="preserve">Artículo 3. Composición.</w:t>
      </w:r>
    </w:p>
    <w:p>
      <w:pPr>
        <w:pStyle w:val="Lista"/>
      </w:pPr>
      <w:r>
        <w:t xml:space="preserve">1. Son miembros con voto: [cargo] y [cargo] de la alta dirección de negocio (al menos dos áreas), [cargo] de tecnología, [cargo] de datos y [cargo] de personas.</w:t>
      </w:r>
    </w:p>
    <w:p>
      <w:pPr>
        <w:pStyle w:val="Lista"/>
      </w:pPr>
      <w:r>
        <w:t xml:space="preserve">2. Son miembros con voz y conformidad, sin voto en la decisión de negocio: [riesgos], [cumplimiento], [seguridad de la información] y [delegado de protección de datos]. Su conformidad es necesaria en su ámbito.</w:t>
      </w:r>
    </w:p>
    <w:p>
      <w:pPr>
        <w:pStyle w:val="Lista"/>
      </w:pPr>
      <w:r>
        <w:t xml:space="preserve">3. Son invitados permanentes: el responsable de la Oficina de IA, que actúa como secretario sin voto, y [auditoría interna] como observador.</w:t>
      </w:r>
    </w:p>
    <w:p>
      <w:pPr>
        <w:pStyle w:val="Lista"/>
      </w:pPr>
      <w:r>
        <w:t xml:space="preserve">4. Cada miembro designa un suplente de su mismo ámbito, que se comunica por escrito a la secretaría.</w:t>
      </w:r>
    </w:p>
    <w:p>
      <w:r>
        <w:rPr>
          <w:b/>
        </w:rPr>
        <w:t xml:space="preserve">Artículo 4. Presidencia.</w:t>
      </w:r>
      <w:r>
        <w:t xml:space="preserve"> Preside el Comité [cargo], miembro de la alta dirección con autoridad sobre la cartera. No debería presidirlo quien patrocine la mayor parte de la cartera. En su ausencia le sustituye [suplente]. La presidencia tiene voto de calidad.</w:t>
      </w:r>
    </w:p>
    <w:p>
      <w:r>
        <w:rPr>
          <w:b/>
        </w:rPr>
        <w:t xml:space="preserve">Artículo 5. Secretaría.</w:t>
      </w:r>
      <w:r>
        <w:t xml:space="preserve"> El secretario convoca por orden de la presidencia, prepara la documentación, levanta acta, registra las decisiones de </w:t>
      </w:r>
      <w:r>
        <w:rPr>
          <w:i/>
        </w:rPr>
        <w:t xml:space="preserve">gate</w:t>
      </w:r>
      <w:r>
        <w:t xml:space="preserve"> en T03 con P29, custodia los registros de conflictos y excepciones y mantiene el seguimiento de acuerdos.</w:t>
      </w:r>
    </w:p>
    <w:p>
      <w:r>
        <w:rPr>
          <w:b/>
        </w:rPr>
        <w:t xml:space="preserve">Artículo 6. Competencias.</w:t>
      </w:r>
      <w:r>
        <w:t xml:space="preserve"> Corresponde al Comité, conforme a la matriz de delegación de [la Compañía] (documento 30 §7):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Materia</w:t>
            </w:r>
          </w:p>
        </w:tc>
        <w:tc>
          <w:tcPr>
            <w:tcW w:w="3213" w:type="dxa"/>
            <w:shd w:val="clear" w:color="auto" w:fill="F2DFCE"/>
          </w:tcPr>
          <w:p>
            <w:pPr>
              <w:pStyle w:val="Celda"/>
            </w:pPr>
            <w:r>
              <w:rPr>
                <w:b/>
              </w:rPr>
              <w:t xml:space="preserve">Competencia del Comité</w:t>
            </w:r>
          </w:p>
        </w:tc>
        <w:tc>
          <w:tcPr>
            <w:tcW w:w="3213" w:type="dxa"/>
            <w:shd w:val="clear" w:color="auto" w:fill="F2DFCE"/>
          </w:tcPr>
          <w:p>
            <w:pPr>
              <w:pStyle w:val="Celda"/>
            </w:pPr>
            <w:r>
              <w:rPr>
                <w:b/>
              </w:rPr>
              <w:t xml:space="preserve">Referencia</w:t>
            </w:r>
          </w:p>
        </w:tc>
      </w:tr>
      <w:tr>
        <w:tc>
          <w:tcPr>
            <w:tcW w:w="3213" w:type="dxa"/>
          </w:tcPr>
          <w:p>
            <w:pPr>
              <w:pStyle w:val="Celda"/>
            </w:pPr>
            <w:r>
              <w:t xml:space="preserve">Diagnóstico y cartera</w:t>
            </w:r>
          </w:p>
        </w:tc>
        <w:tc>
          <w:tcPr>
            <w:tcW w:w="3213" w:type="dxa"/>
          </w:tcPr>
          <w:p>
            <w:pPr>
              <w:pStyle w:val="Celda"/>
            </w:pPr>
            <w:r>
              <w:t xml:space="preserve">Aprobar el diagnóstico de C1 y la cartera priorizada de C3.</w:t>
            </w:r>
          </w:p>
        </w:tc>
        <w:tc>
          <w:tcPr>
            <w:tcW w:w="3213" w:type="dxa"/>
          </w:tcPr>
          <w:p>
            <w:pPr>
              <w:pStyle w:val="Celda"/>
            </w:pPr>
            <w:r>
              <w:t xml:space="preserve">30 §3.3; 30 §6.3</w:t>
            </w:r>
          </w:p>
        </w:tc>
      </w:tr>
      <w:tr>
        <w:tc>
          <w:tcPr>
            <w:tcW w:w="3213" w:type="dxa"/>
          </w:tcPr>
          <w:p>
            <w:pPr>
              <w:pStyle w:val="Celda"/>
            </w:pPr>
            <w:r>
              <w:rPr>
                <w:i/>
              </w:rPr>
              <w:t xml:space="preserve">Gates</w:t>
            </w:r>
          </w:p>
        </w:tc>
        <w:tc>
          <w:tcPr>
            <w:tcW w:w="3213" w:type="dxa"/>
          </w:tcPr>
          <w:p>
            <w:pPr>
              <w:pStyle w:val="Celda"/>
            </w:pPr>
            <w:r>
              <w:t xml:space="preserve">Decidir G0, G2, G3, G4, G5, R6 y G7 en intensidad Enterprise; ser informado de G1 Enterprise; decidir los </w:t>
            </w:r>
            <w:r>
              <w:rPr>
                <w:i/>
              </w:rPr>
              <w:t xml:space="preserve">gates</w:t>
            </w:r>
            <w:r>
              <w:t xml:space="preserve"> Lite elevados tras dos iteraciones.</w:t>
            </w:r>
          </w:p>
        </w:tc>
        <w:tc>
          <w:tcPr>
            <w:tcW w:w="3213" w:type="dxa"/>
          </w:tcPr>
          <w:p>
            <w:pPr>
              <w:pStyle w:val="Celda"/>
            </w:pPr>
            <w:r>
              <w:t xml:space="preserve">30 §7.1</w:t>
            </w:r>
          </w:p>
        </w:tc>
      </w:tr>
      <w:tr>
        <w:tc>
          <w:tcPr>
            <w:tcW w:w="3213" w:type="dxa"/>
          </w:tcPr>
          <w:p>
            <w:pPr>
              <w:pStyle w:val="Celda"/>
            </w:pPr>
            <w:r>
              <w:t xml:space="preserve">Riesgo</w:t>
            </w:r>
          </w:p>
        </w:tc>
        <w:tc>
          <w:tcPr>
            <w:tcW w:w="3213" w:type="dxa"/>
          </w:tcPr>
          <w:p>
            <w:pPr>
              <w:pStyle w:val="Celda"/>
            </w:pPr>
            <w:r>
              <w:t xml:space="preserve">Aceptar riesgos residuales Altos con conformidad de la segunda línea; revisar la concentración; elevar los Críticos.</w:t>
            </w:r>
          </w:p>
        </w:tc>
        <w:tc>
          <w:tcPr>
            <w:tcW w:w="3213" w:type="dxa"/>
          </w:tcPr>
          <w:p>
            <w:pPr>
              <w:pStyle w:val="Celda"/>
            </w:pPr>
            <w:r>
              <w:t xml:space="preserve">30 §7.2</w:t>
            </w:r>
          </w:p>
        </w:tc>
      </w:tr>
      <w:tr>
        <w:tc>
          <w:tcPr>
            <w:tcW w:w="3213" w:type="dxa"/>
          </w:tcPr>
          <w:p>
            <w:pPr>
              <w:pStyle w:val="Celda"/>
            </w:pPr>
            <w:r>
              <w:t xml:space="preserve">Suspensiones y retiradas</w:t>
            </w:r>
          </w:p>
        </w:tc>
        <w:tc>
          <w:tcPr>
            <w:tcW w:w="3213" w:type="dxa"/>
          </w:tcPr>
          <w:p>
            <w:pPr>
              <w:pStyle w:val="Celda"/>
            </w:pPr>
            <w:r>
              <w:t xml:space="preserve">Ratificar suspensiones inmediatas en 2 días hábiles; decidir retiradas planificadas Enterprise y retiradas forzosas; autorizar reanudaciones con conformidad de la segunda línea.</w:t>
            </w:r>
          </w:p>
        </w:tc>
        <w:tc>
          <w:tcPr>
            <w:tcW w:w="3213" w:type="dxa"/>
          </w:tcPr>
          <w:p>
            <w:pPr>
              <w:pStyle w:val="Celda"/>
            </w:pPr>
            <w:r>
              <w:t xml:space="preserve">30 §7.3</w:t>
            </w:r>
          </w:p>
        </w:tc>
      </w:tr>
      <w:tr>
        <w:tc>
          <w:tcPr>
            <w:tcW w:w="3213" w:type="dxa"/>
          </w:tcPr>
          <w:p>
            <w:pPr>
              <w:pStyle w:val="Celda"/>
            </w:pPr>
            <w:r>
              <w:t xml:space="preserve">Excepciones</w:t>
            </w:r>
          </w:p>
        </w:tc>
        <w:tc>
          <w:tcPr>
            <w:tcW w:w="3213" w:type="dxa"/>
          </w:tcPr>
          <w:p>
            <w:pPr>
              <w:pStyle w:val="Celda"/>
            </w:pPr>
            <w:r>
              <w:t xml:space="preserve">Aprobar las excepciones de requisito del ciclo de vida; proponer al consejo las de umbral corporativo.</w:t>
            </w:r>
          </w:p>
        </w:tc>
        <w:tc>
          <w:tcPr>
            <w:tcW w:w="3213" w:type="dxa"/>
          </w:tcPr>
          <w:p>
            <w:pPr>
              <w:pStyle w:val="Celda"/>
            </w:pPr>
            <w:r>
              <w:t xml:space="preserve">30 §7.4</w:t>
            </w:r>
          </w:p>
        </w:tc>
      </w:tr>
      <w:tr>
        <w:tc>
          <w:tcPr>
            <w:tcW w:w="3213" w:type="dxa"/>
          </w:tcPr>
          <w:p>
            <w:pPr>
              <w:pStyle w:val="Celda"/>
            </w:pPr>
            <w:r>
              <w:t xml:space="preserve">Otras</w:t>
            </w:r>
          </w:p>
        </w:tc>
        <w:tc>
          <w:tcPr>
            <w:tcW w:w="3213" w:type="dxa"/>
          </w:tcPr>
          <w:p>
            <w:pPr>
              <w:pStyle w:val="Celda"/>
            </w:pPr>
            <w:r>
              <w:t xml:space="preserve">Autorizar herramientas corporativas que cumplan un criterio Enterprise; elevar la autonomía a A2 o A3; contratar proveedores N3; cerrar no conformidades críticas tras verificación del auditor de IA; aprobar la política de uso aceptable.</w:t>
            </w:r>
          </w:p>
        </w:tc>
        <w:tc>
          <w:tcPr>
            <w:tcW w:w="3213" w:type="dxa"/>
          </w:tcPr>
          <w:p>
            <w:pPr>
              <w:pStyle w:val="Celda"/>
            </w:pPr>
            <w:r>
              <w:t xml:space="preserve">30 §7.5</w:t>
            </w:r>
          </w:p>
        </w:tc>
      </w:tr>
      <w:tr>
        <w:tc>
          <w:tcPr>
            <w:tcW w:w="3213" w:type="dxa"/>
          </w:tcPr>
          <w:p>
            <w:pPr>
              <w:pStyle w:val="Celda"/>
            </w:pPr>
            <w:r>
              <w:t xml:space="preserve">Seguimiento</w:t>
            </w:r>
          </w:p>
        </w:tc>
        <w:tc>
          <w:tcPr>
            <w:tcW w:w="3213" w:type="dxa"/>
          </w:tcPr>
          <w:p>
            <w:pPr>
              <w:pStyle w:val="Celda"/>
            </w:pPr>
            <w:r>
              <w:t xml:space="preserve">Revisar iniciativas estancadas, condiciones vencidas, desviaciones de valor y coste, incidentes y no conformidades.</w:t>
            </w:r>
          </w:p>
        </w:tc>
        <w:tc>
          <w:tcPr>
            <w:tcW w:w="3213" w:type="dxa"/>
          </w:tcPr>
          <w:p>
            <w:pPr>
              <w:pStyle w:val="Celda"/>
            </w:pPr>
            <w:r>
              <w:t xml:space="preserve">14 §7–8</w:t>
            </w:r>
          </w:p>
        </w:tc>
      </w:tr>
    </w:tbl>
    <w:p>
      <w:pPr>
        <w:pStyle w:val="Espacio"/>
      </w:pPr>
    </w:p>
    <w:p>
      <w:r>
        <w:rPr>
          <w:b/>
        </w:rPr>
        <w:t xml:space="preserve">Artículo 7. Límites y elevación.</w:t>
      </w:r>
      <w:r>
        <w:t xml:space="preserve"> El Comité no aprueba la tesis de IA, el apetito de riesgo, la política corporativa, las iniciativas de Transformar en G2 ni su escalado en G7, ni acepta riesgos residuales Críticos. Eleva al Consejo o a [la Comisión] lo que supere su delegación y, en todo caso, las situaciones de 30 §8.2 que lo requieran. Ninguna práctica prohibida por el artículo 5 del Reglamento (UE) 2024/1689 es aceptable por ningún órgano.</w:t>
      </w:r>
    </w:p>
    <w:p>
      <w:r>
        <w:rPr>
          <w:b/>
        </w:rPr>
        <w:t xml:space="preserve">Artículo 8. Convocatoria.</w:t>
      </w:r>
      <w:r>
        <w:t xml:space="preserve"> La secretaría convoca las sesiones ordinarias con al menos [cinco] días hábiles de antelación, con orden del día y documentación (P39). Las extraordinarias, por </w:t>
      </w:r>
      <w:r>
        <w:rPr>
          <w:i/>
        </w:rPr>
        <w:t xml:space="preserve">gates</w:t>
      </w:r>
      <w:r>
        <w:t xml:space="preserve"> urgentes o incidentes S1, pueden convocarse con [24 horas] por cualquier medio que deje constancia.</w:t>
      </w:r>
    </w:p>
    <w:p>
      <w:r>
        <w:rPr>
          <w:b/>
        </w:rPr>
        <w:t xml:space="preserve">Artículo 9. Quórum.</w:t>
      </w:r>
      <w:r>
        <w:t xml:space="preserve"> El Comité queda válidamente constituido con la mayoría de los miembros con voto, incluida la presidencia o su suplente, y al menos un representante de la segunda línea. Sin segunda línea presente no se deciden G3, G5, aceptaciones de riesgo ni excepciones. Quien deba abstenerse en un punto no computa para el quórum de ese punto.</w:t>
      </w:r>
    </w:p>
    <w:p>
      <w:r>
        <w:rPr>
          <w:b/>
        </w:rPr>
        <w:t xml:space="preserve">Artículo 10. Deliberación y acuerdos.</w:t>
      </w:r>
      <w:r>
        <w:t xml:space="preserve"> Los acuerdos se adoptan por consenso; si no lo hay, por mayoría de votos presentes, con voto de calidad de la presidencia. Si la segunda línea deniega su conformidad en G3, G5, una aceptación de riesgo o una excepción, el Comité no puede decidir Continuar ni Continuar con condiciones: puede decidir Iterar, Pivotar o Parar, o elevar el desacuerdo a [la Comisión] (30 §8.3).</w:t>
      </w:r>
    </w:p>
    <w:p>
      <w:r>
        <w:rPr>
          <w:b/>
        </w:rPr>
        <w:t xml:space="preserve">Artículo 11. Decisión por escrito.</w:t>
      </w:r>
      <w:r>
        <w:t xml:space="preserve"> Los </w:t>
      </w:r>
      <w:r>
        <w:rPr>
          <w:i/>
        </w:rPr>
        <w:t xml:space="preserve">gates</w:t>
      </w:r>
      <w:r>
        <w:t xml:space="preserve"> sin debate pueden decidirse por escrito, con las mismas reglas de quórum, conformidad y abstención. Cualquier miembro con voto puede pedir que el asunto se trate en sesión.</w:t>
      </w:r>
    </w:p>
    <w:p>
      <w:r>
        <w:rPr>
          <w:b/>
        </w:rPr>
        <w:t xml:space="preserve">Artículo 12. Conflictos de interés y abstención.</w:t>
      </w:r>
      <w:r>
        <w:t xml:space="preserve"> Los miembros declaran sus conflictos al incorporarse y cada año (P41), y al inicio de cada sesión respecto de los puntos del orden del día. Quien tenga rol de patrocinio o construcción en una iniciativa se abstiene en sus decisiones (30, I-6). Quien verifica un </w:t>
      </w:r>
      <w:r>
        <w:rPr>
          <w:i/>
        </w:rPr>
        <w:t xml:space="preserve">gate</w:t>
      </w:r>
      <w:r>
        <w:t xml:space="preserve"> no participa en su decisión (I-7). Quien propone una excepción no la aprueba (I-9). La abstención consta en acta y en T01.</w:t>
      </w:r>
    </w:p>
    <w:p>
      <w:r>
        <w:rPr>
          <w:b/>
        </w:rPr>
        <w:t xml:space="preserve">Artículo 13. Actas y registro.</w:t>
      </w:r>
      <w:r>
        <w:t xml:space="preserve"> De cada sesión se levanta acta con asistentes, quórum, conflictos, deliberación resumida y acuerdos numerados (P39). El acta se aprueba en la misma sesión o en la siguiente. Cada decisión de </w:t>
      </w:r>
      <w:r>
        <w:rPr>
          <w:i/>
        </w:rPr>
        <w:t xml:space="preserve">gate</w:t>
      </w:r>
      <w:r>
        <w:t xml:space="preserve"> se registra en T03 con P29; cada excepción, en el registro de P40.</w:t>
      </w:r>
    </w:p>
    <w:p>
      <w:r>
        <w:rPr>
          <w:b/>
        </w:rPr>
        <w:t xml:space="preserve">Artículo 14. Periodicidad.</w:t>
      </w:r>
      <w:r>
        <w:t xml:space="preserve"> El Comité se reúne mensualmente según el calendario anual que aprueba en su primera sesión del ejercicio, y en sesión extraordinaria cuando lo exijan </w:t>
      </w:r>
      <w:r>
        <w:rPr>
          <w:i/>
        </w:rPr>
        <w:t xml:space="preserve">gates</w:t>
      </w:r>
      <w:r>
        <w:t xml:space="preserve"> urgentes o incidentes S1.</w:t>
      </w:r>
    </w:p>
    <w:p>
      <w:r>
        <w:rPr>
          <w:b/>
        </w:rPr>
        <w:t xml:space="preserve">Artículo 15. Información al Consejo.</w:t>
      </w:r>
      <w:r>
        <w:t xml:space="preserve"> El Comité informa a [la Comisión] trimestralmente de riesgos Altos y Críticos, incidentes, no conformidades, excepciones vigentes y asuntos elevados, y al Consejo en el paquete trimestral (documento 60).</w:t>
      </w:r>
    </w:p>
    <w:p>
      <w:r>
        <w:rPr>
          <w:b/>
        </w:rPr>
        <w:t xml:space="preserve">Artículo 16. Evaluación anual.</w:t>
      </w:r>
      <w:r>
        <w:t xml:space="preserve"> El Comité evalúa su eficacia una vez al año, en C5, y aprueba un plan de mejora con responsables y plazos (11, D1.12).</w:t>
      </w:r>
    </w:p>
    <w:p>
      <w:r>
        <w:rPr>
          <w:b/>
        </w:rPr>
        <w:t xml:space="preserve">Artículo 17. Confidencialidad.</w:t>
      </w:r>
      <w:r>
        <w:t xml:space="preserve"> Los miembros e invitados guardan reserva sobre las deliberaciones y la información recibida.</w:t>
      </w:r>
    </w:p>
    <w:p>
      <w:r>
        <w:rPr>
          <w:b/>
        </w:rPr>
        <w:t xml:space="preserve">Artículo 18. Modificación y entrada en vigor.</w:t>
      </w:r>
      <w:r>
        <w:t xml:space="preserve"> Este reglamento se modifica a propuesta de la presidencia o de la Oficina de IA, con informe de la segunda línea, y entra en vigor el [fecha].</w:t>
      </w:r>
    </w:p>
    <w:p>
      <w:pPr>
        <w:pStyle w:val="Separador"/>
      </w:pPr>
    </w:p>
    <w:p>
      <w:pPr>
        <w:pStyle w:val="Heading1"/>
      </w:pPr>
      <w:r>
        <w:t xml:space="preserve">5. Anexo A · Mandato de la oficina de IA</w:t>
      </w:r>
    </w:p>
    <w:p>
      <w:r>
        <w:rPr>
          <w:b/>
        </w:rPr>
        <w:t xml:space="preserve">A.1 Objeto.</w:t>
      </w:r>
      <w:r>
        <w:t xml:space="preserve"> La Oficina de IA hace que el marco funcione: metodología, inventario, información fiable y soporte a los equipos. Si existe riesgo de confusión con la Oficina Europea de IA, se denomina [Oficina corporativa de IA / Centro de excelencia de IA] (30 §1.2).</w:t>
      </w:r>
    </w:p>
    <w:p>
      <w:r>
        <w:rPr>
          <w:b/>
        </w:rPr>
        <w:t xml:space="preserve">A.2 Funciones.</w:t>
      </w:r>
      <w:r>
        <w:t xml:space="preserve"> Mantener el inventario (T02) y el registro de iniciativas (T01); custodiar metodología, plantillas y listas de verificación; verificar los </w:t>
      </w:r>
      <w:r>
        <w:rPr>
          <w:i/>
        </w:rPr>
        <w:t xml:space="preserve">gates</w:t>
      </w:r>
      <w:r>
        <w:t xml:space="preserve"> Lite en los que no haya participado; consolidar la medición con control de gestión; preparar la información de los órganos; coordinar la alfabetización y la regularización del uso no autorizado; liderar C1 y C5; aprobar las excepciones metodológicas menores y de política de uso (30 §7.4).</w:t>
      </w:r>
    </w:p>
    <w:p>
      <w:r>
        <w:rPr>
          <w:b/>
        </w:rPr>
        <w:t xml:space="preserve">A.3 Composición y dependencia.</w:t>
      </w:r>
      <w:r>
        <w:t xml:space="preserve"> Responsable de la Oficina, [nombre del cargo], y [número] personas de metodología, cartera y medición. Depende de [la presidencia del Comité de IA / cargo que no sea patrocinador habitual].</w:t>
      </w:r>
    </w:p>
    <w:p>
      <w:r>
        <w:rPr>
          <w:b/>
        </w:rPr>
        <w:t xml:space="preserve">A.4 Límite.</w:t>
      </w:r>
      <w:r>
        <w:t xml:space="preserve"> La Oficina no verifica iniciativas en cuyo diseño, construcción u operación haya participado (I-8); en ese caso la verificación pasa a la segunda línea o al auditor de IA.</w:t>
      </w:r>
    </w:p>
    <w:p>
      <w:pPr>
        <w:pStyle w:val="Separador"/>
      </w:pPr>
    </w:p>
    <w:p>
      <w:pPr>
        <w:pStyle w:val="Heading1"/>
      </w:pPr>
      <w:r>
        <w:t xml:space="preserve">6. Anexo B · Competencias de IA de la comisión delegada</w:t>
      </w:r>
    </w:p>
    <w:p>
      <w:r>
        <w:t xml:space="preserve">Texto para incorporar al reglamento de [la Comisión de Auditoría / Riesgos / Tecnología]. Si no existe comisión, las funciones las ejerce el Consejo (30 §3.2).</w:t>
      </w:r>
    </w:p>
    <w:p>
      <w:r>
        <w:rPr>
          <w:b/>
        </w:rPr>
        <w:t xml:space="preserve">B.1 Competencias.</w:t>
      </w:r>
      <w:r>
        <w:t xml:space="preserve"> Corresponde a [la Comisión] en materia de IA: (a) aprobar el plan anual de auditoría de IA y recibir sus resultados; (b) recibir información de incidentes S1 en 24 horas y de no conformidades mayores y críticas; (c) resolver los desacuerdos entre el Comité de IA y la segunda línea; (d) decidir, por delegación expresa del Consejo, la aceptación excepcional de riesgos residuales Críticos dentro del apetito aprobado; (e) vigilar la independencia de los auditores de IA; (f) recibir cada trimestre las excepciones vigentes y el informe de la segunda línea (P42); (g) aprobar las excepciones de umbral corporativo cuando el Consejo se lo delegue.</w:t>
      </w:r>
    </w:p>
    <w:p>
      <w:r>
        <w:rPr>
          <w:b/>
        </w:rPr>
        <w:t xml:space="preserve">B.2 Funcionamiento.</w:t>
      </w:r>
      <w:r>
        <w:t xml:space="preserve"> Sesión trimestral con punto de IA y sesión extraordinaria ante un incidente S1 o una no conformidad crítica si la presidencia lo decide. Asisten sin voto el responsable de la Oficina de IA, [el director de riesgos o cumplimiento] y [el responsable de auditoría interna].</w:t>
      </w:r>
    </w:p>
    <w:p>
      <w:r>
        <w:rPr>
          <w:b/>
        </w:rPr>
        <w:t xml:space="preserve">B.3 Orden del día tipo.</w:t>
      </w:r>
      <w:r>
        <w:t xml:space="preserve"> Riesgos Altos y Críticos y concentraciones · cumplimiento regulatorio y cambios normativos · incidentes y no conformidades mayores y críticas · auditorías y seguimiento de hallazgos · asuntos elevados · excepciones del trimestre (30 §3.2).</w:t>
      </w:r>
    </w:p>
    <w:p>
      <w:pPr>
        <w:pStyle w:val="Separador"/>
      </w:pPr>
    </w:p>
    <w:p>
      <w:pPr>
        <w:pStyle w:val="Heading1"/>
      </w:pPr>
      <w:r>
        <w:t xml:space="preserve">7. Anexo C · Modelo de nombramiento del responsable de IA</w:t>
      </w:r>
    </w:p>
    <w:p>
      <w:r>
        <w:t xml:space="preserve">Evidencia de D1.01 (documento 11): un miembro de la alta dirección con responsabilidad asignada por escrito sobre la IA de la compañía.</w:t>
      </w:r>
    </w:p>
    <w:p>
      <w:pPr>
        <w:pStyle w:val="Cita"/>
      </w:pPr>
      <w:r>
        <w:rPr>
          <w:b/>
        </w:rPr>
        <w:t xml:space="preserve">Acuerdo de nombramiento.</w:t>
      </w:r>
      <w:r>
        <w:t xml:space="preserve"> [El Consejo de Administración / El Consejero Delegado] de [la Compañía], en su sesión de [fecha], acuerda nombrar a [nombre y apellidos], [cargo], </w:t>
      </w:r>
      <w:r>
        <w:rPr>
          <w:b/>
        </w:rPr>
        <w:t xml:space="preserve">responsable de IA de [la Compañía]</w:t>
      </w:r>
      <w:r>
        <w:t xml:space="preserve">, con las siguientes responsabilidades: (1) responder ante [el Consejo / el Consejero Delegado] de la aplicación de la tesis de IA, la ambición por esfera y el apetito de riesgo aprobados; (2) [presidir el Comité de IA / proponer su presidencia]; (3) asegurar que la Oficina de IA dispone de los medios para cumplir su mandato; (4) presentar al Consejo el paquete trimestral y los paquetes de C2 y C5; (5) promover la separación de funciones y la independencia de la segunda y la tercera línea. El nombramiento no le atribuye la verificación de </w:t>
      </w:r>
      <w:r>
        <w:rPr>
          <w:i/>
        </w:rPr>
        <w:t xml:space="preserve">gates</w:t>
      </w:r>
      <w:r>
        <w:t xml:space="preserve"> ni la aceptación de riesgos por encima de la matriz de delegación. Duración: [indefinida / hasta fecha]. Se comunica a la organización el [fecha].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Persona nombrada y cargo</w:t>
            </w:r>
          </w:p>
        </w:tc>
        <w:tc>
          <w:tcPr>
            <w:tcW w:w="3213" w:type="dxa"/>
          </w:tcPr>
          <w:p>
            <w:pPr>
              <w:pStyle w:val="Celda"/>
            </w:pPr>
          </w:p>
        </w:tc>
        <w:tc>
          <w:tcPr>
            <w:tcW w:w="3213" w:type="dxa"/>
          </w:tcPr>
          <w:p>
            <w:pPr>
              <w:pStyle w:val="Celda"/>
            </w:pPr>
            <w:r>
              <w:t xml:space="preserve">Miembro de la alta dirección.</w:t>
            </w:r>
          </w:p>
        </w:tc>
      </w:tr>
      <w:tr>
        <w:tc>
          <w:tcPr>
            <w:tcW w:w="3213" w:type="dxa"/>
          </w:tcPr>
          <w:p>
            <w:pPr>
              <w:pStyle w:val="Celda"/>
            </w:pPr>
            <w:r>
              <w:t xml:space="preserve">Órgano que nombra y referencia del acta</w:t>
            </w:r>
          </w:p>
        </w:tc>
        <w:tc>
          <w:tcPr>
            <w:tcW w:w="3213" w:type="dxa"/>
          </w:tcPr>
          <w:p>
            <w:pPr>
              <w:pStyle w:val="Celda"/>
            </w:pPr>
          </w:p>
        </w:tc>
        <w:tc>
          <w:tcPr>
            <w:tcW w:w="3213" w:type="dxa"/>
          </w:tcPr>
          <w:p>
            <w:pPr>
              <w:pStyle w:val="Celda"/>
            </w:pPr>
          </w:p>
        </w:tc>
      </w:tr>
      <w:tr>
        <w:tc>
          <w:tcPr>
            <w:tcW w:w="3213" w:type="dxa"/>
          </w:tcPr>
          <w:p>
            <w:pPr>
              <w:pStyle w:val="Celda"/>
            </w:pPr>
            <w:r>
              <w:t xml:space="preserve">¿Patrocina la mayor parte de la cartera?</w:t>
            </w:r>
          </w:p>
        </w:tc>
        <w:tc>
          <w:tcPr>
            <w:tcW w:w="3213" w:type="dxa"/>
          </w:tcPr>
          <w:p>
            <w:pPr>
              <w:pStyle w:val="Celda"/>
            </w:pPr>
          </w:p>
        </w:tc>
        <w:tc>
          <w:tcPr>
            <w:tcW w:w="3213" w:type="dxa"/>
          </w:tcPr>
          <w:p>
            <w:pPr>
              <w:pStyle w:val="Celda"/>
            </w:pPr>
            <w:r>
              <w:t xml:space="preserve">Sí · No. Si es Sí, no debería presidir el Comité de IA (30 §3.3).</w:t>
            </w:r>
          </w:p>
        </w:tc>
      </w:tr>
      <w:tr>
        <w:tc>
          <w:tcPr>
            <w:tcW w:w="3213" w:type="dxa"/>
          </w:tcPr>
          <w:p>
            <w:pPr>
              <w:pStyle w:val="Celda"/>
            </w:pPr>
            <w:r>
              <w:t xml:space="preserve">Aceptación del nombrado</w:t>
            </w:r>
          </w:p>
        </w:tc>
        <w:tc>
          <w:tcPr>
            <w:tcW w:w="3213" w:type="dxa"/>
          </w:tcPr>
          <w:p>
            <w:pPr>
              <w:pStyle w:val="Celda"/>
            </w:pPr>
          </w:p>
        </w:tc>
        <w:tc>
          <w:tcPr>
            <w:tcW w:w="3213" w:type="dxa"/>
          </w:tcPr>
          <w:p>
            <w:pPr>
              <w:pStyle w:val="Celda"/>
            </w:pPr>
            <w:r>
              <w:t xml:space="preserve">Fecha y firma.</w:t>
            </w:r>
          </w:p>
        </w:tc>
      </w:tr>
      <w:tr>
        <w:tc>
          <w:tcPr>
            <w:tcW w:w="3213" w:type="dxa"/>
          </w:tcPr>
          <w:p>
            <w:pPr>
              <w:pStyle w:val="Celda"/>
            </w:pPr>
            <w:r>
              <w:t xml:space="preserve">Comunicación a la organización</w:t>
            </w:r>
          </w:p>
        </w:tc>
        <w:tc>
          <w:tcPr>
            <w:tcW w:w="3213" w:type="dxa"/>
          </w:tcPr>
          <w:p>
            <w:pPr>
              <w:pStyle w:val="Celda"/>
            </w:pPr>
          </w:p>
        </w:tc>
        <w:tc>
          <w:tcPr>
            <w:tcW w:w="3213" w:type="dxa"/>
          </w:tcPr>
          <w:p>
            <w:pPr>
              <w:pStyle w:val="Celda"/>
            </w:pPr>
            <w:r>
              <w:t xml:space="preserve">Fecha y canal.</w:t>
            </w:r>
          </w:p>
        </w:tc>
      </w:tr>
      <w:tr>
        <w:tc>
          <w:tcPr>
            <w:tcW w:w="3213" w:type="dxa"/>
          </w:tcPr>
          <w:p>
            <w:pPr>
              <w:pStyle w:val="Celda"/>
            </w:pPr>
            <w:r>
              <w:rPr>
                <w:i/>
              </w:rPr>
              <w:t xml:space="preserve">(ejemplo ilustrativo)</w:t>
            </w:r>
            <w:r>
              <w:t xml:space="preserve"> Persona nombrada</w:t>
            </w:r>
          </w:p>
        </w:tc>
        <w:tc>
          <w:tcPr>
            <w:tcW w:w="3213" w:type="dxa"/>
          </w:tcPr>
          <w:p>
            <w:pPr>
              <w:pStyle w:val="Celda"/>
            </w:pPr>
            <w:r>
              <w:t xml:space="preserve">Directora de operaciones</w:t>
            </w:r>
          </w:p>
        </w:tc>
        <w:tc>
          <w:tcPr>
            <w:tcW w:w="3213" w:type="dxa"/>
          </w:tcPr>
          <w:p>
            <w:pPr>
              <w:pStyle w:val="Celda"/>
            </w:pPr>
            <w:r>
              <w:t xml:space="preserve">Nombrada por el consejo el 15-10-2026.</w:t>
            </w:r>
          </w:p>
        </w:tc>
      </w:tr>
    </w:tbl>
    <w:p>
      <w:pPr>
        <w:pStyle w:val="Espacio"/>
      </w:pPr>
    </w:p>
    <w:p>
      <w:pPr>
        <w:pStyle w:val="Separador"/>
      </w:pPr>
    </w:p>
    <w:p>
      <w:pPr>
        <w:pStyle w:val="Heading1"/>
      </w:pPr>
      <w:r>
        <w:t xml:space="preserve">8. Registro de miembros y nombramientos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Órgano</w:t>
            </w:r>
          </w:p>
        </w:tc>
        <w:tc>
          <w:tcPr>
            <w:tcW w:w="1205" w:type="dxa"/>
            <w:shd w:val="clear" w:color="auto" w:fill="F2DFCE"/>
          </w:tcPr>
          <w:p>
            <w:pPr>
              <w:pStyle w:val="Celda"/>
            </w:pPr>
            <w:r>
              <w:rPr>
                <w:b/>
              </w:rPr>
              <w:t xml:space="preserve">Persona</w:t>
            </w:r>
          </w:p>
        </w:tc>
        <w:tc>
          <w:tcPr>
            <w:tcW w:w="1205" w:type="dxa"/>
            <w:shd w:val="clear" w:color="auto" w:fill="F2DFCE"/>
          </w:tcPr>
          <w:p>
            <w:pPr>
              <w:pStyle w:val="Celda"/>
            </w:pPr>
            <w:r>
              <w:rPr>
                <w:b/>
              </w:rPr>
              <w:t xml:space="preserve">Cargo</w:t>
            </w:r>
          </w:p>
        </w:tc>
        <w:tc>
          <w:tcPr>
            <w:tcW w:w="1205" w:type="dxa"/>
            <w:shd w:val="clear" w:color="auto" w:fill="F2DFCE"/>
          </w:tcPr>
          <w:p>
            <w:pPr>
              <w:pStyle w:val="Celda"/>
            </w:pPr>
            <w:r>
              <w:rPr>
                <w:b/>
              </w:rPr>
              <w:t xml:space="preserve">Condición</w:t>
            </w:r>
          </w:p>
        </w:tc>
        <w:tc>
          <w:tcPr>
            <w:tcW w:w="1205" w:type="dxa"/>
            <w:shd w:val="clear" w:color="auto" w:fill="F2DFCE"/>
          </w:tcPr>
          <w:p>
            <w:pPr>
              <w:pStyle w:val="Celda"/>
            </w:pPr>
            <w:r>
              <w:rPr>
                <w:b/>
              </w:rPr>
              <w:t xml:space="preserve">Suplente</w:t>
            </w:r>
          </w:p>
        </w:tc>
        <w:tc>
          <w:tcPr>
            <w:tcW w:w="1205" w:type="dxa"/>
            <w:shd w:val="clear" w:color="auto" w:fill="F2DFCE"/>
          </w:tcPr>
          <w:p>
            <w:pPr>
              <w:pStyle w:val="Celda"/>
            </w:pPr>
            <w:r>
              <w:rPr>
                <w:b/>
              </w:rPr>
              <w:t xml:space="preserve">Fecha de alta</w:t>
            </w:r>
          </w:p>
        </w:tc>
        <w:tc>
          <w:tcPr>
            <w:tcW w:w="1205" w:type="dxa"/>
            <w:shd w:val="clear" w:color="auto" w:fill="F2DFCE"/>
          </w:tcPr>
          <w:p>
            <w:pPr>
              <w:pStyle w:val="Celda"/>
            </w:pPr>
            <w:r>
              <w:rPr>
                <w:b/>
              </w:rPr>
              <w:t xml:space="preserve">Declaración de conflictos (P41)</w:t>
            </w:r>
          </w:p>
        </w:tc>
        <w:tc>
          <w:tcPr>
            <w:tcW w:w="1205" w:type="dxa"/>
            <w:shd w:val="clear" w:color="auto" w:fill="F2DFCE"/>
          </w:tcPr>
          <w:p>
            <w:pPr>
              <w:pStyle w:val="Celda"/>
            </w:pPr>
            <w:r>
              <w:rPr>
                <w:b/>
              </w:rPr>
              <w:t xml:space="preserve">Fecha de baja</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Con voto · Voz y conformidad · Invitado · Secretario · Observador</w:t>
            </w:r>
          </w:p>
        </w:tc>
        <w:tc>
          <w:tcPr>
            <w:tcW w:w="1205" w:type="dxa"/>
          </w:tcPr>
          <w:p>
            <w:pPr>
              <w:pStyle w:val="Celda"/>
            </w:pPr>
          </w:p>
        </w:tc>
        <w:tc>
          <w:tcPr>
            <w:tcW w:w="1205" w:type="dxa"/>
          </w:tcPr>
          <w:p>
            <w:pPr>
              <w:pStyle w:val="Celda"/>
            </w:pPr>
          </w:p>
        </w:tc>
        <w:tc>
          <w:tcPr>
            <w:tcW w:w="1205" w:type="dxa"/>
          </w:tcPr>
          <w:p>
            <w:pPr>
              <w:pStyle w:val="Celda"/>
            </w:pPr>
            <w:r>
              <w:t xml:space="preserve">Referencia y fecha</w:t>
            </w:r>
          </w:p>
        </w:tc>
        <w:tc>
          <w:tcPr>
            <w:tcW w:w="1205" w:type="dxa"/>
          </w:tcPr>
          <w:p>
            <w:pPr>
              <w:pStyle w:val="Celda"/>
            </w:pPr>
          </w:p>
        </w:tc>
      </w:tr>
      <w:tr>
        <w:tc>
          <w:tcPr>
            <w:tcW w:w="1205" w:type="dxa"/>
          </w:tcPr>
          <w:p>
            <w:pPr>
              <w:pStyle w:val="Celda"/>
            </w:pPr>
            <w:r>
              <w:rPr>
                <w:i/>
              </w:rPr>
              <w:t xml:space="preserve">(ejemplo ilustrativo)</w:t>
            </w:r>
            <w:r>
              <w:t xml:space="preserve"> Comité de IA</w:t>
            </w:r>
          </w:p>
        </w:tc>
        <w:tc>
          <w:tcPr>
            <w:tcW w:w="1205" w:type="dxa"/>
          </w:tcPr>
          <w:p>
            <w:pPr>
              <w:pStyle w:val="Celda"/>
            </w:pPr>
            <w:r>
              <w:t xml:space="preserve">Persona D</w:t>
            </w:r>
          </w:p>
        </w:tc>
        <w:tc>
          <w:tcPr>
            <w:tcW w:w="1205" w:type="dxa"/>
          </w:tcPr>
          <w:p>
            <w:pPr>
              <w:pStyle w:val="Celda"/>
            </w:pPr>
            <w:r>
              <w:t xml:space="preserve">Directora de riesgos</w:t>
            </w:r>
          </w:p>
        </w:tc>
        <w:tc>
          <w:tcPr>
            <w:tcW w:w="1205" w:type="dxa"/>
          </w:tcPr>
          <w:p>
            <w:pPr>
              <w:pStyle w:val="Celda"/>
            </w:pPr>
            <w:r>
              <w:t xml:space="preserve">Voz y conformidad</w:t>
            </w:r>
          </w:p>
        </w:tc>
        <w:tc>
          <w:tcPr>
            <w:tcW w:w="1205" w:type="dxa"/>
          </w:tcPr>
          <w:p>
            <w:pPr>
              <w:pStyle w:val="Celda"/>
            </w:pPr>
            <w:r>
              <w:t xml:space="preserve">Persona E</w:t>
            </w:r>
          </w:p>
        </w:tc>
        <w:tc>
          <w:tcPr>
            <w:tcW w:w="1205" w:type="dxa"/>
          </w:tcPr>
          <w:p>
            <w:pPr>
              <w:pStyle w:val="Celda"/>
            </w:pPr>
            <w:r>
              <w:t xml:space="preserve">01-11-2026</w:t>
            </w:r>
          </w:p>
        </w:tc>
        <w:tc>
          <w:tcPr>
            <w:tcW w:w="1205" w:type="dxa"/>
          </w:tcPr>
          <w:p>
            <w:pPr>
              <w:pStyle w:val="Celda"/>
            </w:pPr>
            <w:r>
              <w:t xml:space="preserve">DCI-2026-004</w:t>
            </w:r>
          </w:p>
        </w:tc>
        <w:tc>
          <w:tcPr>
            <w:tcW w:w="1205" w:type="dxa"/>
          </w:tcPr>
          <w:p>
            <w:pPr>
              <w:pStyle w:val="Celda"/>
            </w:pPr>
          </w:p>
        </w:tc>
      </w:tr>
    </w:tbl>
    <w:p>
      <w:pPr>
        <w:pStyle w:val="Espacio"/>
      </w:pPr>
    </w:p>
    <w:p>
      <w:pPr>
        <w:pStyle w:val="Separador"/>
      </w:pPr>
    </w:p>
    <w:p>
      <w:pPr>
        <w:pStyle w:val="Heading1"/>
      </w:pPr>
      <w:r>
        <w:t xml:space="preserve">9.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Hay un miembro de la alta dirección nombrado por escrito como responsable de IA (11, D1.01).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comité de IA tiene mandato escrito aprobado (11, D1.03).</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Comité de IA, oficina de IA y comisión delegada están constituidos con las funciones de 01 §8.3 y un calendario compatible con 01 §5.2 (11, D1.07).</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competencias coinciden con la matriz de delegación de 30 §7 sin rebajar ningún nivel.</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quórum exige segunda línea para G3, G5, aceptaciones de riesgo y excepciones.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Se recogen las abstenciones e incompatibilidades I-6 a I-9 de 30 §5.2.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Toda función de 30 §3 y §7 tiene un único órgano asignado (sección 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prevé la evaluación anual de eficacia (11, D1.12).</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No quedan corchetes sin sustituir en el texto aprobado.</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Redacta</w:t>
            </w:r>
          </w:p>
        </w:tc>
        <w:tc>
          <w:tcPr>
            <w:tcW w:w="1928" w:type="dxa"/>
          </w:tcPr>
          <w:p>
            <w:pPr>
              <w:pStyle w:val="Celda"/>
            </w:pPr>
            <w:r>
              <w:t xml:space="preserve">Oficina de IA con secretaría del consejo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encaje jurídico</w:t>
            </w:r>
          </w:p>
        </w:tc>
        <w:tc>
          <w:tcPr>
            <w:tcW w:w="1928" w:type="dxa"/>
          </w:tcPr>
          <w:p>
            <w:pPr>
              <w:pStyle w:val="Celda"/>
            </w:pPr>
            <w:r>
              <w:t xml:space="preserve">Asesoría jurídica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competencias de riesgo</w:t>
            </w:r>
          </w:p>
        </w:tc>
        <w:tc>
          <w:tcPr>
            <w:tcW w:w="1928" w:type="dxa"/>
          </w:tcPr>
          <w:p>
            <w:pPr>
              <w:pStyle w:val="Celda"/>
            </w:pPr>
            <w:r>
              <w:t xml:space="preserve">Coordinador de segunda línea para la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reglamento del comité y anexo A</w:t>
            </w:r>
          </w:p>
        </w:tc>
        <w:tc>
          <w:tcPr>
            <w:tcW w:w="1928" w:type="dxa"/>
          </w:tcPr>
          <w:p>
            <w:pPr>
              <w:pStyle w:val="Celda"/>
            </w:pPr>
            <w:r>
              <w:t xml:space="preserve">Alta dirección o consejo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anexos B y C</w:t>
            </w:r>
          </w:p>
        </w:tc>
        <w:tc>
          <w:tcPr>
            <w:tcW w:w="1928" w:type="dxa"/>
          </w:tcPr>
          <w:p>
            <w:pPr>
              <w:pStyle w:val="Celda"/>
            </w:pPr>
            <w:r>
              <w:t xml:space="preserve">Consejo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redacta no aprueba, y la segunda línea verifica sin decidir sobre sus propias competencias.</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Convierte los mandatos tipo de 30 §3 y la matriz de delegación de 30 §7 en un reglamento por artículos, con anexos para la oficina de IA, la comisión delegada y el nombramiento del responsable de IA.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P38 · Reglamento de los órganos de gobierno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P38 · Reglamento de los órganos de gobierno de IA</dc:title>
  <dc:creator>Fernando García Varela</dc:creator>
  <dc:language>es</dc:language>
  <dc:description>sha256:4f525c8aa29380db9c8b3d396b56bbfe988bff51827dae23caf4dcc92b5f729d</dc:description>
  <cp:keywords>SEVEN-G</cp:keywords>
</cp:coreProperties>
</file>