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Evaluación de impacto en derechos fundamentales</w:t>
      </w:r>
    </w:p>
    <w:p>
      <w:r>
        <w:rPr>
          <w:b/>
        </w:rPr>
        <w:t xml:space="preserve">Documenta la evaluación de impacto en derechos fundamentales que el Reglamento de IA exige a determinados responsables del despliegue de sistemas de alto riesgo antes del primer uso, y prepara su notificación a la autoridad de vigilancia del mercado.</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P48 · Evaluación de impacto en derechos fundamentales</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19-09-2026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Cita"/>
      </w:pPr>
      <w:r>
        <w:rPr>
          <w:i/>
        </w:rPr>
        <w:t xml:space="preserve">Esta plantilla no constituye asesoramiento jurídico.</w:t>
      </w:r>
      <w:r>
        <w:t xml:space="preserve"> Referencias consultadas en septiembre de 2026; la obligación se aplica con el alto riesgo del anexo III (2-12-2027 tras el Reglamento (UE) 2026/1744). Verifíquese su vigencia (documento 34 §3.1 y §3.10).</w:t>
      </w: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Cita"/>
      </w:pPr>
      <w:r>
        <w:rPr>
          <w:b/>
        </w:rPr>
        <w:t xml:space="preserve">Por qué importa.</w:t>
      </w:r>
      <w:r>
        <w:t xml:space="preserve"> Un sistema de alto riesgo que decide sobre el crédito, el seguro o el acceso a servicios públicos puede perjudicar a colectivos enteros sin que ningún indicador económico lo muestre. Esta evaluación obliga a describir, antes del primer uso, en qué procesos se usará el sistema, a quién afecta, qué perjuicios puede causar y qué hará la compañía si se materializan; sin ella el sistema no puede desplegarse legalmente en los supuestos obligados y el </w:t>
      </w:r>
      <w:r>
        <w:rPr>
          <w:i/>
        </w:rPr>
        <w:t xml:space="preserve">gate</w:t>
      </w:r>
      <w:r>
        <w:t xml:space="preserve"> G5 no puede superarse. Hecha desde el diseño, además, evita rediseños tardíos.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Se abre cuando P11 §9.2 concluye que la evaluación es </w:t>
            </w:r>
            <w:r>
              <w:rPr>
                <w:b/>
              </w:rPr>
              <w:t xml:space="preserve">Requerida</w:t>
            </w:r>
            <w:r>
              <w:t xml:space="preserve">, o </w:t>
            </w:r>
            <w:r>
              <w:rPr>
                <w:b/>
              </w:rPr>
              <w:t xml:space="preserve">Recomendada</w:t>
            </w:r>
            <w:r>
              <w:t xml:space="preserve"> y la compañía decide hacerla. Se elabora en la fase 3, se actualiza en la fase 4 con el diseño, se notifica antes de G5 y se revisa en la fase 5, en cada R6 y cuando cambie alguno de sus elementos (artículo 27.2).</w:t>
            </w:r>
          </w:p>
        </w:tc>
      </w:tr>
      <w:tr>
        <w:tc>
          <w:tcPr>
            <w:tcW w:w="4819" w:type="dxa"/>
          </w:tcPr>
          <w:p>
            <w:pPr>
              <w:pStyle w:val="Celda"/>
            </w:pPr>
            <w:r>
              <w:rPr>
                <w:b/>
              </w:rPr>
              <w:t xml:space="preserve">Quién la rellena</w:t>
            </w:r>
          </w:p>
        </w:tc>
        <w:tc>
          <w:tcPr>
            <w:tcW w:w="4819" w:type="dxa"/>
          </w:tcPr>
          <w:p>
            <w:pPr>
              <w:pStyle w:val="Celda"/>
            </w:pPr>
            <w:r>
              <w:t xml:space="preserve">El responsable de riesgos de IA, con la segunda línea (asesoría jurídica y cumplimiento) y el responsable de producto de IA (34 §3.10). El área de negocio que usará el sistema describe los procesos.</w:t>
            </w:r>
          </w:p>
        </w:tc>
      </w:tr>
      <w:tr>
        <w:tc>
          <w:tcPr>
            <w:tcW w:w="4819" w:type="dxa"/>
          </w:tcPr>
          <w:p>
            <w:pPr>
              <w:pStyle w:val="Celda"/>
            </w:pPr>
            <w:r>
              <w:rPr>
                <w:b/>
              </w:rPr>
              <w:t xml:space="preserve">Quién la verifica</w:t>
            </w:r>
          </w:p>
        </w:tc>
        <w:tc>
          <w:tcPr>
            <w:tcW w:w="4819" w:type="dxa"/>
          </w:tcPr>
          <w:p>
            <w:pPr>
              <w:pStyle w:val="Celda"/>
            </w:pPr>
            <w:r>
              <w:t xml:space="preserve">Lite: oficina de IA o auditor de IA. Enterprise: auditor de IA. En la práctica, los sistemas de alto riesgo son siempre Enterprise.</w:t>
            </w:r>
          </w:p>
        </w:tc>
      </w:tr>
      <w:tr>
        <w:tc>
          <w:tcPr>
            <w:tcW w:w="4819" w:type="dxa"/>
          </w:tcPr>
          <w:p>
            <w:pPr>
              <w:pStyle w:val="Celda"/>
            </w:pPr>
            <w:r>
              <w:rPr>
                <w:b/>
              </w:rPr>
              <w:t xml:space="preserve">Quién decide o aprueba</w:t>
            </w:r>
          </w:p>
        </w:tc>
        <w:tc>
          <w:tcPr>
            <w:tcW w:w="4819" w:type="dxa"/>
          </w:tcPr>
          <w:p>
            <w:pPr>
              <w:pStyle w:val="Celda"/>
            </w:pPr>
            <w:r>
              <w:t xml:space="preserve">Comité de IA; la aceptación del riesgo residual, según P12 §6.</w:t>
            </w:r>
          </w:p>
        </w:tc>
      </w:tr>
      <w:tr>
        <w:tc>
          <w:tcPr>
            <w:tcW w:w="4819" w:type="dxa"/>
          </w:tcPr>
          <w:p>
            <w:pPr>
              <w:pStyle w:val="Celda"/>
            </w:pPr>
            <w:r>
              <w:rPr>
                <w:b/>
              </w:rPr>
              <w:t xml:space="preserve">Gate o momento</w:t>
            </w:r>
          </w:p>
        </w:tc>
        <w:tc>
          <w:tcPr>
            <w:tcW w:w="4819" w:type="dxa"/>
          </w:tcPr>
          <w:p>
            <w:pPr>
              <w:pStyle w:val="Celda"/>
            </w:pPr>
            <w:r>
              <w:t xml:space="preserve">G3 · Viabilidad (determinada e iniciada, G3.09); G4 · Diseño (completada y medidas en el diseño, G4.13); G5 · Puesta en producción (notificada, G5.15); R6 (vigente, R6.08).</w:t>
            </w:r>
          </w:p>
        </w:tc>
      </w:tr>
      <w:tr>
        <w:tc>
          <w:tcPr>
            <w:tcW w:w="4819" w:type="dxa"/>
          </w:tcPr>
          <w:p>
            <w:pPr>
              <w:pStyle w:val="Celda"/>
            </w:pPr>
            <w:r>
              <w:rPr>
                <w:b/>
              </w:rPr>
              <w:t xml:space="preserve">Herramienta</w:t>
            </w:r>
          </w:p>
        </w:tc>
        <w:tc>
          <w:tcPr>
            <w:tcW w:w="4819" w:type="dxa"/>
          </w:tcPr>
          <w:p>
            <w:pPr>
              <w:pStyle w:val="Celda"/>
            </w:pPr>
            <w:r>
              <w:t xml:space="preserve">T07 · Clasificador regulatorio (estado, fecha, enlace y fecha de notificación, 32 §3.5).</w:t>
            </w:r>
          </w:p>
        </w:tc>
      </w:tr>
      <w:tr>
        <w:tc>
          <w:tcPr>
            <w:tcW w:w="4819" w:type="dxa"/>
          </w:tcPr>
          <w:p>
            <w:pPr>
              <w:pStyle w:val="Celda"/>
            </w:pPr>
            <w:r>
              <w:rPr>
                <w:b/>
              </w:rPr>
              <w:t xml:space="preserve">Documento de referencia</w:t>
            </w:r>
          </w:p>
        </w:tc>
        <w:tc>
          <w:tcPr>
            <w:tcW w:w="4819" w:type="dxa"/>
          </w:tcPr>
          <w:p>
            <w:pPr>
              <w:pStyle w:val="Celda"/>
            </w:pPr>
            <w:r>
              <w:t xml:space="preserve">32 §6.2, 34 §3.10 y §8.2, documento 33 (escalas de riesgo), documento 50 §8 (decisiones sobre personas).</w:t>
            </w:r>
          </w:p>
        </w:tc>
      </w:tr>
      <w:tr>
        <w:tc>
          <w:tcPr>
            <w:tcW w:w="4819" w:type="dxa"/>
          </w:tcPr>
          <w:p>
            <w:pPr>
              <w:pStyle w:val="Celda"/>
            </w:pPr>
            <w:r>
              <w:rPr>
                <w:b/>
              </w:rPr>
              <w:t xml:space="preserve">Lite frente a Enterprise</w:t>
            </w:r>
          </w:p>
        </w:tc>
        <w:tc>
          <w:tcPr>
            <w:tcW w:w="4819" w:type="dxa"/>
          </w:tcPr>
          <w:p>
            <w:pPr>
              <w:pStyle w:val="Celda"/>
            </w:pPr>
            <w:r>
              <w:t xml:space="preserve">Cuando es obligatoria, todo su contenido es obligatorio. Toda iniciativa Enterprise con decisiones sobre personas </w:t>
            </w:r>
            <w:r>
              <w:rPr>
                <w:b/>
              </w:rPr>
              <w:t xml:space="preserve">debería</w:t>
            </w:r>
            <w:r>
              <w:t xml:space="preserve"> aplicar este contenido aunque no esté obligada (34 §3.10); en ese uso voluntario puede omitir la sección 10.</w:t>
            </w:r>
          </w:p>
        </w:tc>
      </w:tr>
    </w:tbl>
    <w:p>
      <w:pPr>
        <w:pStyle w:val="Espacio"/>
      </w:pPr>
    </w:p>
    <w:p>
      <w:r>
        <w:t xml:space="preserve">Reglas de cumplimentación:</w:t>
      </w:r>
    </w:p>
    <w:p>
      <w:pPr>
        <w:pStyle w:val="Lista"/>
      </w:pPr>
      <w:r>
        <w:t xml:space="preserve">• </w:t>
      </w:r>
      <w:r>
        <w:rPr>
          <w:b/>
        </w:rPr>
        <w:t xml:space="preserve">Una evaluación por sistema de alto riesgo y por uso.</w:t>
      </w:r>
      <w:r>
        <w:t xml:space="preserve"> Si el mismo sistema (SIA-AAAA-NNN) se usa en procesos distintos, se describen todos.</w:t>
      </w:r>
    </w:p>
    <w:p>
      <w:pPr>
        <w:pStyle w:val="Lista"/>
      </w:pPr>
      <w:r>
        <w:t xml:space="preserve">• La evaluación se centra en las </w:t>
      </w:r>
      <w:r>
        <w:rPr>
          <w:b/>
        </w:rPr>
        <w:t xml:space="preserve">personas y colectivos afectados</w:t>
      </w:r>
      <w:r>
        <w:t xml:space="preserve">, no en la compañía. Se apoya en la información que el proveedor facilita con las instrucciones de uso.</w:t>
      </w:r>
    </w:p>
    <w:p>
      <w:pPr>
        <w:pStyle w:val="Lista"/>
      </w:pPr>
      <w:r>
        <w:t xml:space="preserve">• </w:t>
      </w:r>
      <w:r>
        <w:rPr>
          <w:b/>
        </w:rPr>
        <w:t xml:space="preserve">Complementa, sin duplicar,</w:t>
      </w:r>
      <w:r>
        <w:t xml:space="preserve"> la evaluación de impacto en protección de datos (P47): lo que ya consta allí se referencia (sección 11).</w:t>
      </w:r>
    </w:p>
    <w:p>
      <w:pPr>
        <w:pStyle w:val="Lista"/>
      </w:pPr>
      <w:r>
        <w:t xml:space="preserve">• El Reglamento de IA prevé un cuestionario de la Oficina Europea de IA para la notificación: a fecha de consulta, la plantilla de la Oficina Europea de IA está pendiente de confirmar (34 §3.10). Cuando esté disponible, ese es el formato de notificación; </w:t>
      </w:r>
      <w:r>
        <w:rPr>
          <w:b/>
        </w:rPr>
        <w:t xml:space="preserve">esta plantilla de SEVEN-G no lo sustituye</w:t>
      </w:r>
      <w:r>
        <w:t xml:space="preserve">: sirve para preparar el contenido, integrarlo en el ciclo de la iniciativa y conservar la trazabilidad interna.</w:t>
      </w:r>
    </w:p>
    <w:p>
      <w:pPr>
        <w:pStyle w:val="Lista"/>
      </w:pPr>
      <w:r>
        <w:t xml:space="preserve">• Uso voluntario: puede apoyarse en ISO/IEC 42005:2025 (32 §6.2).</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Código y nombre del sistema</w:t>
            </w:r>
          </w:p>
        </w:tc>
        <w:tc>
          <w:tcPr>
            <w:tcW w:w="3213" w:type="dxa"/>
          </w:tcPr>
          <w:p>
            <w:pPr>
              <w:pStyle w:val="Celda"/>
            </w:pPr>
          </w:p>
        </w:tc>
        <w:tc>
          <w:tcPr>
            <w:tcW w:w="3213" w:type="dxa"/>
          </w:tcPr>
          <w:p>
            <w:pPr>
              <w:pStyle w:val="Celda"/>
            </w:pPr>
            <w:r>
              <w:t xml:space="preserve">SIA-AAAA-NNN de P05 (T02).</w:t>
            </w:r>
          </w:p>
        </w:tc>
      </w:tr>
      <w:tr>
        <w:tc>
          <w:tcPr>
            <w:tcW w:w="3213" w:type="dxa"/>
          </w:tcPr>
          <w:p>
            <w:pPr>
              <w:pStyle w:val="Celda"/>
            </w:pPr>
            <w:r>
              <w:t xml:space="preserve">Proveedor del sistema</w:t>
            </w:r>
          </w:p>
        </w:tc>
        <w:tc>
          <w:tcPr>
            <w:tcW w:w="3213" w:type="dxa"/>
          </w:tcPr>
          <w:p>
            <w:pPr>
              <w:pStyle w:val="Celda"/>
            </w:pPr>
          </w:p>
        </w:tc>
        <w:tc>
          <w:tcPr>
            <w:tcW w:w="3213" w:type="dxa"/>
          </w:tcPr>
          <w:p>
            <w:pPr>
              <w:pStyle w:val="Celda"/>
            </w:pPr>
            <w:r>
              <w:t xml:space="preserve">Interno o tercero (P14).</w:t>
            </w:r>
          </w:p>
        </w:tc>
      </w:tr>
      <w:tr>
        <w:tc>
          <w:tcPr>
            <w:tcW w:w="3213" w:type="dxa"/>
          </w:tcPr>
          <w:p>
            <w:pPr>
              <w:pStyle w:val="Celda"/>
            </w:pPr>
            <w:r>
              <w:t xml:space="preserve">Finalidad prevista</w:t>
            </w:r>
          </w:p>
        </w:tc>
        <w:tc>
          <w:tcPr>
            <w:tcW w:w="3213" w:type="dxa"/>
          </w:tcPr>
          <w:p>
            <w:pPr>
              <w:pStyle w:val="Celda"/>
            </w:pPr>
          </w:p>
        </w:tc>
        <w:tc>
          <w:tcPr>
            <w:tcW w:w="3213" w:type="dxa"/>
          </w:tcPr>
          <w:p>
            <w:pPr>
              <w:pStyle w:val="Celda"/>
            </w:pPr>
            <w:r>
              <w:t xml:space="preserve">Copiar de P05 y P11.</w:t>
            </w:r>
          </w:p>
        </w:tc>
      </w:tr>
      <w:tr>
        <w:tc>
          <w:tcPr>
            <w:tcW w:w="3213" w:type="dxa"/>
          </w:tcPr>
          <w:p>
            <w:pPr>
              <w:pStyle w:val="Celda"/>
            </w:pPr>
            <w:r>
              <w:t xml:space="preserve">Clasificación y punto del anexo III</w:t>
            </w:r>
          </w:p>
        </w:tc>
        <w:tc>
          <w:tcPr>
            <w:tcW w:w="3213" w:type="dxa"/>
          </w:tcPr>
          <w:p>
            <w:pPr>
              <w:pStyle w:val="Celda"/>
            </w:pPr>
          </w:p>
        </w:tc>
        <w:tc>
          <w:tcPr>
            <w:tcW w:w="3213" w:type="dxa"/>
          </w:tcPr>
          <w:p>
            <w:pPr>
              <w:pStyle w:val="Celda"/>
            </w:pPr>
            <w:r>
              <w:t xml:space="preserve">De P11 §6.2 (por ejemplo, 5.b o 5.c).</w:t>
            </w:r>
          </w:p>
        </w:tc>
      </w:tr>
      <w:tr>
        <w:tc>
          <w:tcPr>
            <w:tcW w:w="3213" w:type="dxa"/>
          </w:tcPr>
          <w:p>
            <w:pPr>
              <w:pStyle w:val="Celda"/>
            </w:pPr>
            <w:r>
              <w:t xml:space="preserve">Rol de la compañía</w:t>
            </w:r>
          </w:p>
        </w:tc>
        <w:tc>
          <w:tcPr>
            <w:tcW w:w="3213" w:type="dxa"/>
          </w:tcPr>
          <w:p>
            <w:pPr>
              <w:pStyle w:val="Celda"/>
            </w:pPr>
          </w:p>
        </w:tc>
        <w:tc>
          <w:tcPr>
            <w:tcW w:w="3213" w:type="dxa"/>
          </w:tcPr>
          <w:p>
            <w:pPr>
              <w:pStyle w:val="Celda"/>
            </w:pPr>
            <w:r>
              <w:t xml:space="preserve">Responsable del despliegue (y, en su caso, también proveedor).</w:t>
            </w:r>
          </w:p>
        </w:tc>
      </w:tr>
      <w:tr>
        <w:tc>
          <w:tcPr>
            <w:tcW w:w="3213" w:type="dxa"/>
          </w:tcPr>
          <w:p>
            <w:pPr>
              <w:pStyle w:val="Celda"/>
            </w:pPr>
            <w:r>
              <w:t xml:space="preserve">Referencia a P11</w:t>
            </w:r>
          </w:p>
        </w:tc>
        <w:tc>
          <w:tcPr>
            <w:tcW w:w="3213" w:type="dxa"/>
          </w:tcPr>
          <w:p>
            <w:pPr>
              <w:pStyle w:val="Celda"/>
            </w:pPr>
          </w:p>
        </w:tc>
        <w:tc>
          <w:tcPr>
            <w:tcW w:w="3213" w:type="dxa"/>
          </w:tcPr>
          <w:p>
            <w:pPr>
              <w:pStyle w:val="Celda"/>
            </w:pPr>
            <w:r>
              <w:t xml:space="preserve">Versión y fecha.</w:t>
            </w:r>
          </w:p>
        </w:tc>
      </w:tr>
      <w:tr>
        <w:tc>
          <w:tcPr>
            <w:tcW w:w="3213" w:type="dxa"/>
          </w:tcPr>
          <w:p>
            <w:pPr>
              <w:pStyle w:val="Celda"/>
            </w:pPr>
            <w:r>
              <w:t xml:space="preserve">Referencia a P47</w:t>
            </w:r>
          </w:p>
        </w:tc>
        <w:tc>
          <w:tcPr>
            <w:tcW w:w="3213" w:type="dxa"/>
          </w:tcPr>
          <w:p>
            <w:pPr>
              <w:pStyle w:val="Celda"/>
            </w:pPr>
          </w:p>
        </w:tc>
        <w:tc>
          <w:tcPr>
            <w:tcW w:w="3213" w:type="dxa"/>
          </w:tcPr>
          <w:p>
            <w:pPr>
              <w:pStyle w:val="Celda"/>
            </w:pPr>
            <w:r>
              <w:t xml:space="preserve">Si existe EIPD del mismo tratamiento.</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Estado</w:t>
            </w:r>
          </w:p>
        </w:tc>
        <w:tc>
          <w:tcPr>
            <w:tcW w:w="3213" w:type="dxa"/>
          </w:tcPr>
          <w:p>
            <w:pPr>
              <w:pStyle w:val="Celda"/>
            </w:pPr>
          </w:p>
        </w:tc>
        <w:tc>
          <w:tcPr>
            <w:tcW w:w="3213" w:type="dxa"/>
          </w:tcPr>
          <w:p>
            <w:pPr>
              <w:pStyle w:val="Celda"/>
            </w:pPr>
            <w:r>
              <w:t xml:space="preserve">Borrador · Presentada para verificación · Aprobada · Notificada · En revisión · Sustituida.</w:t>
            </w:r>
          </w:p>
        </w:tc>
      </w:tr>
    </w:tbl>
    <w:p>
      <w:pPr>
        <w:pStyle w:val="Espacio"/>
      </w:pPr>
    </w:p>
    <w:p>
      <w:pPr>
        <w:pStyle w:val="Separador"/>
      </w:pPr>
    </w:p>
    <w:p>
      <w:pPr>
        <w:pStyle w:val="Heading1"/>
      </w:pPr>
      <w:r>
        <w:t xml:space="preserve">3. Aplicabilidad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¿El sistema es de alto riesgo del artículo 6.2 (anexo III) y no del punto 2 (infraestructuras críticas)?</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¿La compañía es organismo de Derecho público o entidad privada que presta servicios públicos?</w:t>
            </w:r>
          </w:p>
        </w:tc>
        <w:tc>
          <w:tcPr>
            <w:tcW w:w="3213" w:type="dxa"/>
          </w:tcPr>
          <w:p>
            <w:pPr>
              <w:pStyle w:val="Celda"/>
            </w:pPr>
          </w:p>
        </w:tc>
        <w:tc>
          <w:tcPr>
            <w:tcW w:w="3213" w:type="dxa"/>
          </w:tcPr>
          <w:p>
            <w:pPr>
              <w:pStyle w:val="Celda"/>
            </w:pPr>
          </w:p>
        </w:tc>
      </w:tr>
      <w:tr>
        <w:tc>
          <w:tcPr>
            <w:tcW w:w="3213" w:type="dxa"/>
          </w:tcPr>
          <w:p>
            <w:pPr>
              <w:pStyle w:val="Celda"/>
            </w:pPr>
            <w:r>
              <w:t xml:space="preserve">¿El sistema está en el anexo III, punto 5, letra b) (solvencia o calificación crediticia) o letra c) (evaluación de riesgos y fijación de precios en seguros de vida y salud)?</w:t>
            </w:r>
          </w:p>
        </w:tc>
        <w:tc>
          <w:tcPr>
            <w:tcW w:w="3213" w:type="dxa"/>
          </w:tcPr>
          <w:p>
            <w:pPr>
              <w:pStyle w:val="Celda"/>
            </w:pPr>
          </w:p>
        </w:tc>
        <w:tc>
          <w:tcPr>
            <w:tcW w:w="3213" w:type="dxa"/>
          </w:tcPr>
          <w:p>
            <w:pPr>
              <w:pStyle w:val="Celda"/>
            </w:pPr>
          </w:p>
        </w:tc>
      </w:tr>
      <w:tr>
        <w:tc>
          <w:tcPr>
            <w:tcW w:w="3213" w:type="dxa"/>
          </w:tcPr>
          <w:p>
            <w:pPr>
              <w:pStyle w:val="Celda"/>
            </w:pPr>
            <w:r>
              <w:rPr>
                <w:b/>
              </w:rPr>
              <w:t xml:space="preserve">Resultado</w:t>
            </w:r>
          </w:p>
        </w:tc>
        <w:tc>
          <w:tcPr>
            <w:tcW w:w="3213" w:type="dxa"/>
          </w:tcPr>
          <w:p>
            <w:pPr>
              <w:pStyle w:val="Celda"/>
            </w:pPr>
            <w:r>
              <w:t xml:space="preserve">Obligatoria · Voluntaria · No aplica</w:t>
            </w:r>
          </w:p>
        </w:tc>
        <w:tc>
          <w:tcPr>
            <w:tcW w:w="3213" w:type="dxa"/>
          </w:tcPr>
          <w:p>
            <w:pPr>
              <w:pStyle w:val="Celda"/>
            </w:pPr>
            <w:r>
              <w:t xml:space="preserve">Obligatoria si la primera respuesta es «Sí» y alguna de las otras dos también.</w:t>
            </w:r>
          </w:p>
        </w:tc>
      </w:tr>
      <w:tr>
        <w:tc>
          <w:tcPr>
            <w:tcW w:w="3213" w:type="dxa"/>
          </w:tcPr>
          <w:p>
            <w:pPr>
              <w:pStyle w:val="Celda"/>
            </w:pPr>
            <w:r>
              <w:t xml:space="preserve">Fecha desde la que es exigible</w:t>
            </w:r>
          </w:p>
        </w:tc>
        <w:tc>
          <w:tcPr>
            <w:tcW w:w="3213" w:type="dxa"/>
          </w:tcPr>
          <w:p>
            <w:pPr>
              <w:pStyle w:val="Celda"/>
            </w:pPr>
          </w:p>
        </w:tc>
        <w:tc>
          <w:tcPr>
            <w:tcW w:w="3213" w:type="dxa"/>
          </w:tcPr>
          <w:p>
            <w:pPr>
              <w:pStyle w:val="Celda"/>
            </w:pPr>
            <w:r>
              <w:t xml:space="preserve">Con las obligaciones del anexo III. SEVEN-G recomienda realizarla desde el diseño (32 §6.2).</w:t>
            </w:r>
          </w:p>
        </w:tc>
      </w:tr>
    </w:tbl>
    <w:p>
      <w:pPr>
        <w:pStyle w:val="Espacio"/>
      </w:pPr>
    </w:p>
    <w:p>
      <w:pPr>
        <w:pStyle w:val="Separador"/>
      </w:pPr>
    </w:p>
    <w:p>
      <w:pPr>
        <w:pStyle w:val="Heading1"/>
      </w:pPr>
      <w:r>
        <w:t xml:space="preserve">4. Procesos en los que se usará el sistema (artículo 27.1.a)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Procesos del responsable del despliegue</w:t>
            </w:r>
          </w:p>
        </w:tc>
        <w:tc>
          <w:tcPr>
            <w:tcW w:w="3213" w:type="dxa"/>
          </w:tcPr>
          <w:p>
            <w:pPr>
              <w:pStyle w:val="Celda"/>
            </w:pPr>
          </w:p>
        </w:tc>
        <w:tc>
          <w:tcPr>
            <w:tcW w:w="3213" w:type="dxa"/>
          </w:tcPr>
          <w:p>
            <w:pPr>
              <w:pStyle w:val="Celda"/>
            </w:pPr>
            <w:r>
              <w:t xml:space="preserve">Descripción de cada proceso en lenguaje de negocio, conforme a la finalidad prevista.</w:t>
            </w:r>
          </w:p>
        </w:tc>
      </w:tr>
      <w:tr>
        <w:tc>
          <w:tcPr>
            <w:tcW w:w="3213" w:type="dxa"/>
          </w:tcPr>
          <w:p>
            <w:pPr>
              <w:pStyle w:val="Celda"/>
            </w:pPr>
            <w:r>
              <w:t xml:space="preserve">Decisiones que apoya o toma el sistema</w:t>
            </w:r>
          </w:p>
        </w:tc>
        <w:tc>
          <w:tcPr>
            <w:tcW w:w="3213" w:type="dxa"/>
          </w:tcPr>
          <w:p>
            <w:pPr>
              <w:pStyle w:val="Celda"/>
            </w:pPr>
          </w:p>
        </w:tc>
        <w:tc>
          <w:tcPr>
            <w:tcW w:w="3213" w:type="dxa"/>
          </w:tcPr>
          <w:p>
            <w:pPr>
              <w:pStyle w:val="Celda"/>
            </w:pPr>
            <w:r>
              <w:t xml:space="preserve">Qué decide, qué recomienda y qué valida una persona (P17 §5).</w:t>
            </w:r>
          </w:p>
        </w:tc>
      </w:tr>
      <w:tr>
        <w:tc>
          <w:tcPr>
            <w:tcW w:w="3213" w:type="dxa"/>
          </w:tcPr>
          <w:p>
            <w:pPr>
              <w:pStyle w:val="Celda"/>
            </w:pPr>
            <w:r>
              <w:t xml:space="preserve">Nivel de autonomía</w:t>
            </w:r>
          </w:p>
        </w:tc>
        <w:tc>
          <w:tcPr>
            <w:tcW w:w="3213" w:type="dxa"/>
          </w:tcPr>
          <w:p>
            <w:pPr>
              <w:pStyle w:val="Celda"/>
            </w:pPr>
          </w:p>
        </w:tc>
        <w:tc>
          <w:tcPr>
            <w:tcW w:w="3213" w:type="dxa"/>
          </w:tcPr>
          <w:p>
            <w:pPr>
              <w:pStyle w:val="Celda"/>
            </w:pPr>
            <w:r>
              <w:t xml:space="preserve">A0–A3.</w:t>
            </w:r>
          </w:p>
        </w:tc>
      </w:tr>
      <w:tr>
        <w:tc>
          <w:tcPr>
            <w:tcW w:w="3213" w:type="dxa"/>
          </w:tcPr>
          <w:p>
            <w:pPr>
              <w:pStyle w:val="Celda"/>
            </w:pPr>
            <w:r>
              <w:t xml:space="preserve">Usos excluidos</w:t>
            </w:r>
          </w:p>
        </w:tc>
        <w:tc>
          <w:tcPr>
            <w:tcW w:w="3213" w:type="dxa"/>
          </w:tcPr>
          <w:p>
            <w:pPr>
              <w:pStyle w:val="Celda"/>
            </w:pPr>
          </w:p>
        </w:tc>
        <w:tc>
          <w:tcPr>
            <w:tcW w:w="3213" w:type="dxa"/>
          </w:tcPr>
          <w:p>
            <w:pPr>
              <w:pStyle w:val="Celda"/>
            </w:pPr>
            <w:r>
              <w:t xml:space="preserve">Usos que no están permitidos aunque el sistema pueda hacerlos.</w:t>
            </w:r>
          </w:p>
        </w:tc>
      </w:tr>
    </w:tbl>
    <w:p>
      <w:pPr>
        <w:pStyle w:val="Espacio"/>
      </w:pPr>
    </w:p>
    <w:p>
      <w:pPr>
        <w:pStyle w:val="Separador"/>
      </w:pPr>
    </w:p>
    <w:p>
      <w:pPr>
        <w:pStyle w:val="Heading1"/>
      </w:pPr>
      <w:r>
        <w:t xml:space="preserve">5. Periodo y frecuencia de uso (artículo 27.1.b)</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Fecha prevista de primer uso</w:t>
            </w:r>
          </w:p>
        </w:tc>
        <w:tc>
          <w:tcPr>
            <w:tcW w:w="3213" w:type="dxa"/>
          </w:tcPr>
          <w:p>
            <w:pPr>
              <w:pStyle w:val="Celda"/>
            </w:pPr>
          </w:p>
        </w:tc>
        <w:tc>
          <w:tcPr>
            <w:tcW w:w="3213" w:type="dxa"/>
          </w:tcPr>
          <w:p>
            <w:pPr>
              <w:pStyle w:val="Celda"/>
            </w:pPr>
            <w:r>
              <w:t xml:space="preserve">Fecha de G5.</w:t>
            </w:r>
          </w:p>
        </w:tc>
      </w:tr>
      <w:tr>
        <w:tc>
          <w:tcPr>
            <w:tcW w:w="3213" w:type="dxa"/>
          </w:tcPr>
          <w:p>
            <w:pPr>
              <w:pStyle w:val="Celda"/>
            </w:pPr>
            <w:r>
              <w:t xml:space="preserve">Periodo de uso</w:t>
            </w:r>
          </w:p>
        </w:tc>
        <w:tc>
          <w:tcPr>
            <w:tcW w:w="3213" w:type="dxa"/>
          </w:tcPr>
          <w:p>
            <w:pPr>
              <w:pStyle w:val="Celda"/>
            </w:pPr>
          </w:p>
        </w:tc>
        <w:tc>
          <w:tcPr>
            <w:tcW w:w="3213" w:type="dxa"/>
          </w:tcPr>
          <w:p>
            <w:pPr>
              <w:pStyle w:val="Celda"/>
            </w:pPr>
            <w:r>
              <w:t xml:space="preserve">Indefinido con revisión en R6, o fecha de fin.</w:t>
            </w:r>
          </w:p>
        </w:tc>
      </w:tr>
      <w:tr>
        <w:tc>
          <w:tcPr>
            <w:tcW w:w="3213" w:type="dxa"/>
          </w:tcPr>
          <w:p>
            <w:pPr>
              <w:pStyle w:val="Celda"/>
            </w:pPr>
            <w:r>
              <w:t xml:space="preserve">Frecuencia</w:t>
            </w:r>
          </w:p>
        </w:tc>
        <w:tc>
          <w:tcPr>
            <w:tcW w:w="3213" w:type="dxa"/>
          </w:tcPr>
          <w:p>
            <w:pPr>
              <w:pStyle w:val="Celda"/>
            </w:pPr>
          </w:p>
        </w:tc>
        <w:tc>
          <w:tcPr>
            <w:tcW w:w="3213" w:type="dxa"/>
          </w:tcPr>
          <w:p>
            <w:pPr>
              <w:pStyle w:val="Celda"/>
            </w:pPr>
            <w:r>
              <w:t xml:space="preserve">Continua, diaria, por solicitud, por campaña.</w:t>
            </w:r>
          </w:p>
        </w:tc>
      </w:tr>
      <w:tr>
        <w:tc>
          <w:tcPr>
            <w:tcW w:w="3213" w:type="dxa"/>
          </w:tcPr>
          <w:p>
            <w:pPr>
              <w:pStyle w:val="Celda"/>
            </w:pPr>
            <w:r>
              <w:t xml:space="preserve">Volumen</w:t>
            </w:r>
          </w:p>
        </w:tc>
        <w:tc>
          <w:tcPr>
            <w:tcW w:w="3213" w:type="dxa"/>
          </w:tcPr>
          <w:p>
            <w:pPr>
              <w:pStyle w:val="Celda"/>
            </w:pPr>
          </w:p>
        </w:tc>
        <w:tc>
          <w:tcPr>
            <w:tcW w:w="3213" w:type="dxa"/>
          </w:tcPr>
          <w:p>
            <w:pPr>
              <w:pStyle w:val="Celda"/>
            </w:pPr>
            <w:r>
              <w:t xml:space="preserve">Decisiones o personas evaluadas por periodo (orden de magnitud).</w:t>
            </w:r>
          </w:p>
        </w:tc>
      </w:tr>
    </w:tbl>
    <w:p>
      <w:pPr>
        <w:pStyle w:val="Espacio"/>
      </w:pPr>
    </w:p>
    <w:p>
      <w:pPr>
        <w:pStyle w:val="Separador"/>
      </w:pPr>
    </w:p>
    <w:p>
      <w:pPr>
        <w:pStyle w:val="Heading1"/>
      </w:pPr>
      <w:r>
        <w:t xml:space="preserve">6. Personas y colectivos afectados (artículo 27.1.c)</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Categoría de personas o colectivo</w:t>
            </w:r>
          </w:p>
        </w:tc>
        <w:tc>
          <w:tcPr>
            <w:tcW w:w="1928" w:type="dxa"/>
            <w:shd w:val="clear" w:color="auto" w:fill="F2DFCE"/>
          </w:tcPr>
          <w:p>
            <w:pPr>
              <w:pStyle w:val="Celda"/>
            </w:pPr>
            <w:r>
              <w:rPr>
                <w:b/>
              </w:rPr>
              <w:t xml:space="preserve">Cómo les afecta el sistema</w:t>
            </w:r>
          </w:p>
        </w:tc>
        <w:tc>
          <w:tcPr>
            <w:tcW w:w="1928" w:type="dxa"/>
            <w:shd w:val="clear" w:color="auto" w:fill="F2DFCE"/>
          </w:tcPr>
          <w:p>
            <w:pPr>
              <w:pStyle w:val="Celda"/>
            </w:pPr>
            <w:r>
              <w:rPr>
                <w:b/>
              </w:rPr>
              <w:t xml:space="preserve">Volumen aproximado</w:t>
            </w:r>
          </w:p>
        </w:tc>
        <w:tc>
          <w:tcPr>
            <w:tcW w:w="1928" w:type="dxa"/>
            <w:shd w:val="clear" w:color="auto" w:fill="F2DFCE"/>
          </w:tcPr>
          <w:p>
            <w:pPr>
              <w:pStyle w:val="Celda"/>
            </w:pPr>
            <w:r>
              <w:rPr>
                <w:b/>
              </w:rPr>
              <w:t xml:space="preserve">¿Colectivo vulnerable?</w:t>
            </w:r>
          </w:p>
        </w:tc>
        <w:tc>
          <w:tcPr>
            <w:tcW w:w="1928" w:type="dxa"/>
            <w:shd w:val="clear" w:color="auto" w:fill="F2DFCE"/>
          </w:tcPr>
          <w:p>
            <w:pPr>
              <w:pStyle w:val="Celda"/>
            </w:pPr>
            <w:r>
              <w:rPr>
                <w:b/>
              </w:rPr>
              <w:t xml:space="preserve">Guía</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r>
              <w:t xml:space="preserve">Sí · No</w:t>
            </w:r>
          </w:p>
        </w:tc>
        <w:tc>
          <w:tcPr>
            <w:tcW w:w="1928" w:type="dxa"/>
          </w:tcPr>
          <w:p>
            <w:pPr>
              <w:pStyle w:val="Celda"/>
            </w:pPr>
            <w:r>
              <w:t xml:space="preserve">Por edad, discapacidad, situación económica o social, u otras.</w:t>
            </w:r>
          </w:p>
        </w:tc>
      </w:tr>
      <w:tr>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rPr>
                <w:i/>
              </w:rPr>
              <w:t xml:space="preserve">(ejemplo ilustrativo)</w:t>
            </w:r>
            <w:r>
              <w:t xml:space="preserve"> Solicitantes de préstamos personales</w:t>
            </w:r>
          </w:p>
        </w:tc>
        <w:tc>
          <w:tcPr>
            <w:tcW w:w="1928" w:type="dxa"/>
          </w:tcPr>
          <w:p>
            <w:pPr>
              <w:pStyle w:val="Celda"/>
            </w:pPr>
            <w:r>
              <w:t xml:space="preserve">Su puntuación condiciona la aprobación y el precio</w:t>
            </w:r>
          </w:p>
        </w:tc>
        <w:tc>
          <w:tcPr>
            <w:tcW w:w="1928" w:type="dxa"/>
          </w:tcPr>
          <w:p>
            <w:pPr>
              <w:pStyle w:val="Celda"/>
            </w:pPr>
            <w:r>
              <w:t xml:space="preserve">Unas 40.000 solicitudes al año</w:t>
            </w:r>
          </w:p>
        </w:tc>
        <w:tc>
          <w:tcPr>
            <w:tcW w:w="1928" w:type="dxa"/>
          </w:tcPr>
          <w:p>
            <w:pPr>
              <w:pStyle w:val="Celda"/>
            </w:pPr>
            <w:r>
              <w:t xml:space="preserve">Sí: personas con historial crediticio corto</w:t>
            </w:r>
          </w:p>
        </w:tc>
        <w:tc>
          <w:tcPr>
            <w:tcW w:w="1928" w:type="dxa"/>
          </w:tcPr>
          <w:p>
            <w:pPr>
              <w:pStyle w:val="Celda"/>
            </w:pPr>
          </w:p>
        </w:tc>
      </w:tr>
    </w:tbl>
    <w:p>
      <w:pPr>
        <w:pStyle w:val="Espacio"/>
      </w:pPr>
    </w:p>
    <w:p>
      <w:pPr>
        <w:pStyle w:val="Separador"/>
      </w:pPr>
    </w:p>
    <w:p>
      <w:pPr>
        <w:pStyle w:val="Heading1"/>
      </w:pPr>
      <w:r>
        <w:t xml:space="preserve">7. Riesgos específicos de perjuicio (artículo 27.1.d)</w:t>
      </w:r>
    </w:p>
    <w:p>
      <w:r>
        <w:t xml:space="preserve">Considere la información facilitada por el proveedor (instrucciones de uso) y valore con la </w:t>
      </w:r>
      <w:r>
        <w:rPr>
          <w:b/>
        </w:rPr>
        <w:t xml:space="preserve">escala común</w:t>
      </w:r>
      <w:r>
        <w:t xml:space="preserve"> (documento 33): </w:t>
      </w:r>
      <w:r>
        <w:rPr>
          <w:b/>
        </w:rPr>
        <w:t xml:space="preserve">Nivel = Probabilidad × Impacto</w:t>
      </w:r>
      <w:r>
        <w:t xml:space="preserve">; Bajo 1–4 · Medio 5–9 · Alto 10–15 · Crítico 16–25. El eje dominante será normalmente «Personas y derechos». Los riesgos de nivel Medio o superior se trasladan a P12.</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Nº</w:t>
            </w:r>
          </w:p>
        </w:tc>
        <w:tc>
          <w:tcPr>
            <w:tcW w:w="964" w:type="dxa"/>
            <w:shd w:val="clear" w:color="auto" w:fill="F2DFCE"/>
          </w:tcPr>
          <w:p>
            <w:pPr>
              <w:pStyle w:val="Celda"/>
            </w:pPr>
            <w:r>
              <w:rPr>
                <w:b/>
              </w:rPr>
              <w:t xml:space="preserve">Riesgo de perjuicio (causa, evento y consecuencia)</w:t>
            </w:r>
          </w:p>
        </w:tc>
        <w:tc>
          <w:tcPr>
            <w:tcW w:w="964" w:type="dxa"/>
            <w:shd w:val="clear" w:color="auto" w:fill="F2DFCE"/>
          </w:tcPr>
          <w:p>
            <w:pPr>
              <w:pStyle w:val="Celda"/>
            </w:pPr>
            <w:r>
              <w:rPr>
                <w:b/>
              </w:rPr>
              <w:t xml:space="preserve">Colectivo afectado</w:t>
            </w:r>
          </w:p>
        </w:tc>
        <w:tc>
          <w:tcPr>
            <w:tcW w:w="964" w:type="dxa"/>
            <w:shd w:val="clear" w:color="auto" w:fill="F2DFCE"/>
          </w:tcPr>
          <w:p>
            <w:pPr>
              <w:pStyle w:val="Celda"/>
            </w:pPr>
            <w:r>
              <w:rPr>
                <w:b/>
              </w:rPr>
              <w:t xml:space="preserve">Derecho o interés afectado</w:t>
            </w:r>
          </w:p>
        </w:tc>
        <w:tc>
          <w:tcPr>
            <w:tcW w:w="964" w:type="dxa"/>
            <w:shd w:val="clear" w:color="auto" w:fill="F2DFCE"/>
          </w:tcPr>
          <w:p>
            <w:pPr>
              <w:pStyle w:val="Celda"/>
            </w:pPr>
            <w:r>
              <w:rPr>
                <w:b/>
              </w:rPr>
              <w:t xml:space="preserve">P inh.</w:t>
            </w:r>
          </w:p>
        </w:tc>
        <w:tc>
          <w:tcPr>
            <w:tcW w:w="964" w:type="dxa"/>
            <w:shd w:val="clear" w:color="auto" w:fill="F2DFCE"/>
          </w:tcPr>
          <w:p>
            <w:pPr>
              <w:pStyle w:val="Celda"/>
            </w:pPr>
            <w:r>
              <w:rPr>
                <w:b/>
              </w:rPr>
              <w:t xml:space="preserve">I inh.</w:t>
            </w:r>
          </w:p>
        </w:tc>
        <w:tc>
          <w:tcPr>
            <w:tcW w:w="964" w:type="dxa"/>
            <w:shd w:val="clear" w:color="auto" w:fill="F2DFCE"/>
          </w:tcPr>
          <w:p>
            <w:pPr>
              <w:pStyle w:val="Celda"/>
            </w:pPr>
            <w:r>
              <w:rPr>
                <w:b/>
              </w:rPr>
              <w:t xml:space="preserve">Nivel inherente</w:t>
            </w:r>
          </w:p>
        </w:tc>
        <w:tc>
          <w:tcPr>
            <w:tcW w:w="964" w:type="dxa"/>
            <w:shd w:val="clear" w:color="auto" w:fill="F2DFCE"/>
          </w:tcPr>
          <w:p>
            <w:pPr>
              <w:pStyle w:val="Celda"/>
            </w:pPr>
            <w:r>
              <w:rPr>
                <w:b/>
              </w:rPr>
              <w:t xml:space="preserve">Medidas (secciones 8 y 9)</w:t>
            </w:r>
          </w:p>
        </w:tc>
        <w:tc>
          <w:tcPr>
            <w:tcW w:w="964" w:type="dxa"/>
            <w:shd w:val="clear" w:color="auto" w:fill="F2DFCE"/>
          </w:tcPr>
          <w:p>
            <w:pPr>
              <w:pStyle w:val="Celda"/>
            </w:pPr>
            <w:r>
              <w:rPr>
                <w:b/>
              </w:rPr>
              <w:t xml:space="preserve">Nivel residual</w:t>
            </w:r>
          </w:p>
        </w:tc>
        <w:tc>
          <w:tcPr>
            <w:tcW w:w="964" w:type="dxa"/>
            <w:shd w:val="clear" w:color="auto" w:fill="F2DFCE"/>
          </w:tcPr>
          <w:p>
            <w:pPr>
              <w:pStyle w:val="Celda"/>
            </w:pPr>
            <w:r>
              <w:rPr>
                <w:b/>
              </w:rPr>
              <w:t xml:space="preserve">Código en P12</w:t>
            </w:r>
          </w:p>
        </w:tc>
      </w:tr>
      <w:tr>
        <w:tc>
          <w:tcPr>
            <w:tcW w:w="964" w:type="dxa"/>
          </w:tcPr>
          <w:p>
            <w:pPr>
              <w:pStyle w:val="Celda"/>
            </w:pPr>
            <w:r>
              <w:t xml:space="preserve">F01</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1–5</w:t>
            </w:r>
          </w:p>
        </w:tc>
        <w:tc>
          <w:tcPr>
            <w:tcW w:w="964" w:type="dxa"/>
          </w:tcPr>
          <w:p>
            <w:pPr>
              <w:pStyle w:val="Celda"/>
            </w:pPr>
            <w:r>
              <w:t xml:space="preserve">1–5</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r>
              <w:t xml:space="preserve">IA-AAAA-NNN · Rnn</w:t>
            </w:r>
          </w:p>
        </w:tc>
      </w:tr>
      <w:tr>
        <w:tc>
          <w:tcPr>
            <w:tcW w:w="964" w:type="dxa"/>
          </w:tcPr>
          <w:p>
            <w:pPr>
              <w:pStyle w:val="Celda"/>
            </w:pPr>
            <w:r>
              <w:t xml:space="preserve">F02</w:t>
            </w: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(ejemplo ilustrativo)</w:t>
            </w:r>
            <w:r>
              <w:t xml:space="preserve"> F01</w:t>
            </w:r>
          </w:p>
        </w:tc>
        <w:tc>
          <w:tcPr>
            <w:tcW w:w="964" w:type="dxa"/>
          </w:tcPr>
          <w:p>
            <w:pPr>
              <w:pStyle w:val="Celda"/>
            </w:pPr>
            <w:r>
              <w:t xml:space="preserve">Variables que actúan como sustitutas del origen o la edad hacen que un colectivo reciba peores puntuaciones y se le deniegue o encarezca el crédito.</w:t>
            </w:r>
          </w:p>
        </w:tc>
        <w:tc>
          <w:tcPr>
            <w:tcW w:w="964" w:type="dxa"/>
          </w:tcPr>
          <w:p>
            <w:pPr>
              <w:pStyle w:val="Celda"/>
            </w:pPr>
            <w:r>
              <w:t xml:space="preserve">Solicitantes con historial crediticio corto</w:t>
            </w:r>
          </w:p>
        </w:tc>
        <w:tc>
          <w:tcPr>
            <w:tcW w:w="964" w:type="dxa"/>
          </w:tcPr>
          <w:p>
            <w:pPr>
              <w:pStyle w:val="Celda"/>
            </w:pPr>
            <w:r>
              <w:t xml:space="preserve">No discriminación; acceso a servicios esenciales</w:t>
            </w:r>
          </w:p>
        </w:tc>
        <w:tc>
          <w:tcPr>
            <w:tcW w:w="964" w:type="dxa"/>
          </w:tcPr>
          <w:p>
            <w:pPr>
              <w:pStyle w:val="Celda"/>
            </w:pPr>
            <w:r>
              <w:t xml:space="preserve">3</w:t>
            </w:r>
          </w:p>
        </w:tc>
        <w:tc>
          <w:tcPr>
            <w:tcW w:w="964" w:type="dxa"/>
          </w:tcPr>
          <w:p>
            <w:pPr>
              <w:pStyle w:val="Celda"/>
            </w:pPr>
            <w:r>
              <w:t xml:space="preserve">4</w:t>
            </w:r>
          </w:p>
        </w:tc>
        <w:tc>
          <w:tcPr>
            <w:tcW w:w="964" w:type="dxa"/>
          </w:tcPr>
          <w:p>
            <w:pPr>
              <w:pStyle w:val="Celda"/>
            </w:pPr>
            <w:r>
              <w:t xml:space="preserve">12 Alto</w:t>
            </w:r>
          </w:p>
        </w:tc>
        <w:tc>
          <w:tcPr>
            <w:tcW w:w="964" w:type="dxa"/>
          </w:tcPr>
          <w:p>
            <w:pPr>
              <w:pStyle w:val="Celda"/>
            </w:pPr>
            <w:r>
              <w:t xml:space="preserve">Exclusión de variables sustitutas (P16); pruebas de sesgo antes del piloto y en producción (P22, P25); revisión humana de denegaciones (P17)</w:t>
            </w:r>
          </w:p>
        </w:tc>
        <w:tc>
          <w:tcPr>
            <w:tcW w:w="964" w:type="dxa"/>
          </w:tcPr>
          <w:p>
            <w:pPr>
              <w:pStyle w:val="Celda"/>
            </w:pPr>
            <w:r>
              <w:t xml:space="preserve">6 Medio</w:t>
            </w:r>
          </w:p>
        </w:tc>
        <w:tc>
          <w:tcPr>
            <w:tcW w:w="964" w:type="dxa"/>
          </w:tcPr>
          <w:p>
            <w:pPr>
              <w:pStyle w:val="Celda"/>
            </w:pPr>
            <w:r>
              <w:t xml:space="preserve">IA-2026-021 · R02</w:t>
            </w:r>
          </w:p>
        </w:tc>
      </w:tr>
    </w:tbl>
    <w:p>
      <w:pPr>
        <w:pStyle w:val="Espacio"/>
      </w:pPr>
    </w:p>
    <w:p>
      <w:pPr>
        <w:pStyle w:val="Separador"/>
      </w:pPr>
    </w:p>
    <w:p>
      <w:pPr>
        <w:pStyle w:val="Heading1"/>
      </w:pPr>
      <w:r>
        <w:t xml:space="preserve">8. Medidas de supervisión humana (artículo 27.1.e)</w:t>
      </w:r>
    </w:p>
    <w:p>
      <w:r>
        <w:t xml:space="preserve">Según las instrucciones de uso del proveedor y el diseño de P17.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Modos de supervisión</w:t>
            </w:r>
          </w:p>
        </w:tc>
        <w:tc>
          <w:tcPr>
            <w:tcW w:w="3213" w:type="dxa"/>
          </w:tcPr>
          <w:p>
            <w:pPr>
              <w:pStyle w:val="Celda"/>
            </w:pPr>
          </w:p>
        </w:tc>
        <w:tc>
          <w:tcPr>
            <w:tcW w:w="3213" w:type="dxa"/>
          </w:tcPr>
          <w:p>
            <w:pPr>
              <w:pStyle w:val="Celda"/>
            </w:pPr>
            <w:r>
              <w:t xml:space="preserve">Validación previa · Supervisión en tiempo real · Revisión a posteriori por muestreo · Supervisión agregada (P17 §6).</w:t>
            </w:r>
          </w:p>
        </w:tc>
      </w:tr>
      <w:tr>
        <w:tc>
          <w:tcPr>
            <w:tcW w:w="3213" w:type="dxa"/>
          </w:tcPr>
          <w:p>
            <w:pPr>
              <w:pStyle w:val="Celda"/>
            </w:pPr>
            <w:r>
              <w:t xml:space="preserve">Personas que supervisan</w:t>
            </w:r>
          </w:p>
        </w:tc>
        <w:tc>
          <w:tcPr>
            <w:tcW w:w="3213" w:type="dxa"/>
          </w:tcPr>
          <w:p>
            <w:pPr>
              <w:pStyle w:val="Celda"/>
            </w:pPr>
          </w:p>
        </w:tc>
        <w:tc>
          <w:tcPr>
            <w:tcW w:w="3213" w:type="dxa"/>
          </w:tcPr>
          <w:p>
            <w:pPr>
              <w:pStyle w:val="Celda"/>
            </w:pPr>
            <w:r>
              <w:t xml:space="preserve">Rol, competencia, formación y autoridad (artículo 26.2; P20).</w:t>
            </w:r>
          </w:p>
        </w:tc>
      </w:tr>
      <w:tr>
        <w:tc>
          <w:tcPr>
            <w:tcW w:w="3213" w:type="dxa"/>
          </w:tcPr>
          <w:p>
            <w:pPr>
              <w:pStyle w:val="Celda"/>
            </w:pPr>
            <w:r>
              <w:t xml:space="preserve">Capacidad de no usar, anular o detener el sistema</w:t>
            </w:r>
          </w:p>
        </w:tc>
        <w:tc>
          <w:tcPr>
            <w:tcW w:w="3213" w:type="dxa"/>
          </w:tcPr>
          <w:p>
            <w:pPr>
              <w:pStyle w:val="Celda"/>
            </w:pPr>
          </w:p>
        </w:tc>
        <w:tc>
          <w:tcPr>
            <w:tcW w:w="3213" w:type="dxa"/>
          </w:tcPr>
          <w:p>
            <w:pPr>
              <w:pStyle w:val="Celda"/>
            </w:pPr>
            <w:r>
              <w:t xml:space="preserve">P17 §7; interruptor de parada (P18, P19).</w:t>
            </w:r>
          </w:p>
        </w:tc>
      </w:tr>
      <w:tr>
        <w:tc>
          <w:tcPr>
            <w:tcW w:w="3213" w:type="dxa"/>
          </w:tcPr>
          <w:p>
            <w:pPr>
              <w:pStyle w:val="Celda"/>
            </w:pPr>
            <w:r>
              <w:t xml:space="preserve">Coherencia con las instrucciones de uso del proveedor</w:t>
            </w:r>
          </w:p>
        </w:tc>
        <w:tc>
          <w:tcPr>
            <w:tcW w:w="3213" w:type="dxa"/>
          </w:tcPr>
          <w:p>
            <w:pPr>
              <w:pStyle w:val="Celda"/>
            </w:pPr>
          </w:p>
        </w:tc>
        <w:tc>
          <w:tcPr>
            <w:tcW w:w="3213" w:type="dxa"/>
          </w:tcPr>
          <w:p>
            <w:pPr>
              <w:pStyle w:val="Celda"/>
            </w:pPr>
            <w:r>
              <w:t xml:space="preserve">Qué exige el proveedor y cómo se cumple.</w:t>
            </w:r>
          </w:p>
        </w:tc>
      </w:tr>
    </w:tbl>
    <w:p>
      <w:pPr>
        <w:pStyle w:val="Espacio"/>
      </w:pPr>
    </w:p>
    <w:p>
      <w:pPr>
        <w:pStyle w:val="Separador"/>
      </w:pPr>
    </w:p>
    <w:p>
      <w:pPr>
        <w:pStyle w:val="Heading1"/>
      </w:pPr>
      <w:r>
        <w:t xml:space="preserve">9. Medidas si los riesgos se materializan (artículo 27.1.f)</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Gobierno interno</w:t>
            </w:r>
          </w:p>
        </w:tc>
        <w:tc>
          <w:tcPr>
            <w:tcW w:w="3213" w:type="dxa"/>
          </w:tcPr>
          <w:p>
            <w:pPr>
              <w:pStyle w:val="Celda"/>
            </w:pPr>
          </w:p>
        </w:tc>
        <w:tc>
          <w:tcPr>
            <w:tcW w:w="3213" w:type="dxa"/>
          </w:tcPr>
          <w:p>
            <w:pPr>
              <w:pStyle w:val="Celda"/>
            </w:pPr>
            <w:r>
              <w:t xml:space="preserve">Quién decide suspender o limitar el uso, escalado y plazos (P26, documento 30).</w:t>
            </w:r>
          </w:p>
        </w:tc>
      </w:tr>
      <w:tr>
        <w:tc>
          <w:tcPr>
            <w:tcW w:w="3213" w:type="dxa"/>
          </w:tcPr>
          <w:p>
            <w:pPr>
              <w:pStyle w:val="Celda"/>
            </w:pPr>
            <w:r>
              <w:t xml:space="preserve">Mecanismos de reclamación</w:t>
            </w:r>
          </w:p>
        </w:tc>
        <w:tc>
          <w:tcPr>
            <w:tcW w:w="3213" w:type="dxa"/>
          </w:tcPr>
          <w:p>
            <w:pPr>
              <w:pStyle w:val="Celda"/>
            </w:pPr>
          </w:p>
        </w:tc>
        <w:tc>
          <w:tcPr>
            <w:tcW w:w="3213" w:type="dxa"/>
          </w:tcPr>
          <w:p>
            <w:pPr>
              <w:pStyle w:val="Celda"/>
            </w:pPr>
            <w:r>
              <w:t xml:space="preserve">Canal, plazo interno de respuesta y rol que revisa (P17 §8; P49).</w:t>
            </w:r>
          </w:p>
        </w:tc>
      </w:tr>
      <w:tr>
        <w:tc>
          <w:tcPr>
            <w:tcW w:w="3213" w:type="dxa"/>
          </w:tcPr>
          <w:p>
            <w:pPr>
              <w:pStyle w:val="Celda"/>
            </w:pPr>
            <w:r>
              <w:t xml:space="preserve">Explicación de decisiones individuales</w:t>
            </w:r>
          </w:p>
        </w:tc>
        <w:tc>
          <w:tcPr>
            <w:tcW w:w="3213" w:type="dxa"/>
          </w:tcPr>
          <w:p>
            <w:pPr>
              <w:pStyle w:val="Celda"/>
            </w:pPr>
          </w:p>
        </w:tc>
        <w:tc>
          <w:tcPr>
            <w:tcW w:w="3213" w:type="dxa"/>
          </w:tcPr>
          <w:p>
            <w:pPr>
              <w:pStyle w:val="Celda"/>
            </w:pPr>
            <w:r>
              <w:t xml:space="preserve">Cómo se atienden las solicitudes (artículo 86; P49).</w:t>
            </w:r>
          </w:p>
        </w:tc>
      </w:tr>
      <w:tr>
        <w:tc>
          <w:tcPr>
            <w:tcW w:w="3213" w:type="dxa"/>
          </w:tcPr>
          <w:p>
            <w:pPr>
              <w:pStyle w:val="Celda"/>
            </w:pPr>
            <w:r>
              <w:t xml:space="preserve">Reparación de las personas afectadas</w:t>
            </w:r>
          </w:p>
        </w:tc>
        <w:tc>
          <w:tcPr>
            <w:tcW w:w="3213" w:type="dxa"/>
          </w:tcPr>
          <w:p>
            <w:pPr>
              <w:pStyle w:val="Celda"/>
            </w:pPr>
          </w:p>
        </w:tc>
        <w:tc>
          <w:tcPr>
            <w:tcW w:w="3213" w:type="dxa"/>
          </w:tcPr>
          <w:p>
            <w:pPr>
              <w:pStyle w:val="Celda"/>
            </w:pPr>
            <w:r>
              <w:t xml:space="preserve">Revisión de decisiones ya tomadas, corrección y comunicación.</w:t>
            </w:r>
          </w:p>
        </w:tc>
      </w:tr>
      <w:tr>
        <w:tc>
          <w:tcPr>
            <w:tcW w:w="3213" w:type="dxa"/>
          </w:tcPr>
          <w:p>
            <w:pPr>
              <w:pStyle w:val="Celda"/>
            </w:pPr>
            <w:r>
              <w:t xml:space="preserve">Información al proveedor y a las autoridades</w:t>
            </w:r>
          </w:p>
        </w:tc>
        <w:tc>
          <w:tcPr>
            <w:tcW w:w="3213" w:type="dxa"/>
          </w:tcPr>
          <w:p>
            <w:pPr>
              <w:pStyle w:val="Celda"/>
            </w:pPr>
          </w:p>
        </w:tc>
        <w:tc>
          <w:tcPr>
            <w:tcW w:w="3213" w:type="dxa"/>
          </w:tcPr>
          <w:p>
            <w:pPr>
              <w:pStyle w:val="Celda"/>
            </w:pPr>
            <w:r>
              <w:t xml:space="preserve">Vigilancia y comunicación de incidentes graves (artículo 26.5; P26, P27).</w:t>
            </w:r>
          </w:p>
        </w:tc>
      </w:tr>
    </w:tbl>
    <w:p>
      <w:pPr>
        <w:pStyle w:val="Espacio"/>
      </w:pPr>
    </w:p>
    <w:p>
      <w:pPr>
        <w:pStyle w:val="Separador"/>
      </w:pPr>
    </w:p>
    <w:p>
      <w:pPr>
        <w:pStyle w:val="Heading1"/>
      </w:pPr>
      <w:r>
        <w:t xml:space="preserve">10. Notificación a la autoridad de vigilancia del mercado (artículo 27.3)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Autoridad competente</w:t>
            </w:r>
          </w:p>
        </w:tc>
        <w:tc>
          <w:tcPr>
            <w:tcW w:w="3213" w:type="dxa"/>
          </w:tcPr>
          <w:p>
            <w:pPr>
              <w:pStyle w:val="Celda"/>
            </w:pPr>
          </w:p>
        </w:tc>
        <w:tc>
          <w:tcPr>
            <w:tcW w:w="3213" w:type="dxa"/>
          </w:tcPr>
          <w:p>
            <w:pPr>
              <w:pStyle w:val="Celda"/>
            </w:pPr>
            <w:r>
              <w:t xml:space="preserve">Identificada en P11 (AESIA o autoridad sectorial; 34 §8.2).</w:t>
            </w:r>
          </w:p>
        </w:tc>
      </w:tr>
      <w:tr>
        <w:tc>
          <w:tcPr>
            <w:tcW w:w="3213" w:type="dxa"/>
          </w:tcPr>
          <w:p>
            <w:pPr>
              <w:pStyle w:val="Celda"/>
            </w:pPr>
            <w:r>
              <w:t xml:space="preserve">Formato utilizado</w:t>
            </w:r>
          </w:p>
        </w:tc>
        <w:tc>
          <w:tcPr>
            <w:tcW w:w="3213" w:type="dxa"/>
          </w:tcPr>
          <w:p>
            <w:pPr>
              <w:pStyle w:val="Celda"/>
            </w:pPr>
          </w:p>
        </w:tc>
        <w:tc>
          <w:tcPr>
            <w:tcW w:w="3213" w:type="dxa"/>
          </w:tcPr>
          <w:p>
            <w:pPr>
              <w:pStyle w:val="Celda"/>
            </w:pPr>
            <w:r>
              <w:t xml:space="preserve">El modelo que facilite la Oficina Europea de IA, cuando esté disponible; mientras tanto, el que indique la autoridad.</w:t>
            </w:r>
          </w:p>
        </w:tc>
      </w:tr>
      <w:tr>
        <w:tc>
          <w:tcPr>
            <w:tcW w:w="3213" w:type="dxa"/>
          </w:tcPr>
          <w:p>
            <w:pPr>
              <w:pStyle w:val="Celda"/>
            </w:pPr>
            <w:r>
              <w:t xml:space="preserve">Fecha de notificación</w:t>
            </w:r>
          </w:p>
        </w:tc>
        <w:tc>
          <w:tcPr>
            <w:tcW w:w="3213" w:type="dxa"/>
          </w:tcPr>
          <w:p>
            <w:pPr>
              <w:pStyle w:val="Celda"/>
            </w:pPr>
          </w:p>
        </w:tc>
        <w:tc>
          <w:tcPr>
            <w:tcW w:w="3213" w:type="dxa"/>
          </w:tcPr>
          <w:p>
            <w:pPr>
              <w:pStyle w:val="Celda"/>
            </w:pPr>
            <w:r>
              <w:t xml:space="preserve">Antes de G5 (P23).</w:t>
            </w:r>
          </w:p>
        </w:tc>
      </w:tr>
      <w:tr>
        <w:tc>
          <w:tcPr>
            <w:tcW w:w="3213" w:type="dxa"/>
          </w:tcPr>
          <w:p>
            <w:pPr>
              <w:pStyle w:val="Celda"/>
            </w:pPr>
            <w:r>
              <w:t xml:space="preserve">Referencia o acuse</w:t>
            </w:r>
          </w:p>
        </w:tc>
        <w:tc>
          <w:tcPr>
            <w:tcW w:w="3213" w:type="dxa"/>
          </w:tcPr>
          <w:p>
            <w:pPr>
              <w:pStyle w:val="Celda"/>
            </w:pPr>
          </w:p>
        </w:tc>
        <w:tc>
          <w:tcPr>
            <w:tcW w:w="3213" w:type="dxa"/>
          </w:tcPr>
          <w:p>
            <w:pPr>
              <w:pStyle w:val="Celda"/>
            </w:pPr>
          </w:p>
        </w:tc>
      </w:tr>
      <w:tr>
        <w:tc>
          <w:tcPr>
            <w:tcW w:w="3213" w:type="dxa"/>
          </w:tcPr>
          <w:p>
            <w:pPr>
              <w:pStyle w:val="Celda"/>
            </w:pPr>
            <w:r>
              <w:t xml:space="preserve">Notificaciones de actualización</w:t>
            </w:r>
          </w:p>
        </w:tc>
        <w:tc>
          <w:tcPr>
            <w:tcW w:w="3213" w:type="dxa"/>
          </w:tcPr>
          <w:p>
            <w:pPr>
              <w:pStyle w:val="Celda"/>
            </w:pPr>
          </w:p>
        </w:tc>
        <w:tc>
          <w:tcPr>
            <w:tcW w:w="3213" w:type="dxa"/>
          </w:tcPr>
          <w:p>
            <w:pPr>
              <w:pStyle w:val="Celda"/>
            </w:pPr>
            <w:r>
              <w:t xml:space="preserve">Fecha y motivo de cada actualización notificada.</w:t>
            </w:r>
          </w:p>
        </w:tc>
      </w:tr>
    </w:tbl>
    <w:p>
      <w:pPr>
        <w:pStyle w:val="Espacio"/>
      </w:pPr>
    </w:p>
    <w:p>
      <w:pPr>
        <w:pStyle w:val="Separador"/>
      </w:pPr>
    </w:p>
    <w:p>
      <w:pPr>
        <w:pStyle w:val="Heading1"/>
      </w:pPr>
      <w:r>
        <w:t xml:space="preserve">11. Relación con la evaluación de impacto en protección de datos (P47)</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Elemento</w:t>
            </w:r>
          </w:p>
        </w:tc>
        <w:tc>
          <w:tcPr>
            <w:tcW w:w="3213" w:type="dxa"/>
            <w:shd w:val="clear" w:color="auto" w:fill="F2DFCE"/>
          </w:tcPr>
          <w:p>
            <w:pPr>
              <w:pStyle w:val="Celda"/>
            </w:pPr>
            <w:r>
              <w:rPr>
                <w:b/>
              </w:rPr>
              <w:t xml:space="preserve">¿Consta ya en P47?</w:t>
            </w:r>
          </w:p>
        </w:tc>
        <w:tc>
          <w:tcPr>
            <w:tcW w:w="3213" w:type="dxa"/>
            <w:shd w:val="clear" w:color="auto" w:fill="F2DFCE"/>
          </w:tcPr>
          <w:p>
            <w:pPr>
              <w:pStyle w:val="Celda"/>
            </w:pPr>
            <w:r>
              <w:rPr>
                <w:b/>
              </w:rPr>
              <w:t xml:space="preserve">Referencia o complemento en esta evaluación</w:t>
            </w:r>
          </w:p>
        </w:tc>
      </w:tr>
      <w:tr>
        <w:tc>
          <w:tcPr>
            <w:tcW w:w="3213" w:type="dxa"/>
          </w:tcPr>
          <w:p>
            <w:pPr>
              <w:pStyle w:val="Celda"/>
            </w:pPr>
            <w:r>
              <w:t xml:space="preserve">Descripción del tratamiento y de los datos</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Riesgos para la protección de datos</w:t>
            </w:r>
          </w:p>
        </w:tc>
        <w:tc>
          <w:tcPr>
            <w:tcW w:w="3213" w:type="dxa"/>
          </w:tcPr>
          <w:p>
            <w:pPr>
              <w:pStyle w:val="Celda"/>
            </w:pPr>
          </w:p>
        </w:tc>
        <w:tc>
          <w:tcPr>
            <w:tcW w:w="3213" w:type="dxa"/>
          </w:tcPr>
          <w:p>
            <w:pPr>
              <w:pStyle w:val="Celda"/>
            </w:pPr>
          </w:p>
        </w:tc>
      </w:tr>
      <w:tr>
        <w:tc>
          <w:tcPr>
            <w:tcW w:w="3213" w:type="dxa"/>
          </w:tcPr>
          <w:p>
            <w:pPr>
              <w:pStyle w:val="Celda"/>
            </w:pPr>
            <w:r>
              <w:t xml:space="preserve">Riesgos para otros derechos (no discriminación, acceso a servicios, tutela, otros)</w:t>
            </w:r>
          </w:p>
        </w:tc>
        <w:tc>
          <w:tcPr>
            <w:tcW w:w="3213" w:type="dxa"/>
          </w:tcPr>
          <w:p>
            <w:pPr>
              <w:pStyle w:val="Celda"/>
            </w:pPr>
          </w:p>
        </w:tc>
        <w:tc>
          <w:tcPr>
            <w:tcW w:w="3213" w:type="dxa"/>
          </w:tcPr>
          <w:p>
            <w:pPr>
              <w:pStyle w:val="Celda"/>
            </w:pPr>
            <w:r>
              <w:t xml:space="preserve">Solo en esta evaluación.</w:t>
            </w:r>
          </w:p>
        </w:tc>
      </w:tr>
      <w:tr>
        <w:tc>
          <w:tcPr>
            <w:tcW w:w="3213" w:type="dxa"/>
          </w:tcPr>
          <w:p>
            <w:pPr>
              <w:pStyle w:val="Celda"/>
            </w:pPr>
            <w:r>
              <w:t xml:space="preserve">Medidas comunes</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12. Conclusión y revisión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Nivel residual más alto</w:t>
            </w:r>
          </w:p>
        </w:tc>
        <w:tc>
          <w:tcPr>
            <w:tcW w:w="3213" w:type="dxa"/>
          </w:tcPr>
          <w:p>
            <w:pPr>
              <w:pStyle w:val="Celda"/>
            </w:pPr>
          </w:p>
        </w:tc>
        <w:tc>
          <w:tcPr>
            <w:tcW w:w="3213" w:type="dxa"/>
          </w:tcPr>
          <w:p>
            <w:pPr>
              <w:pStyle w:val="Celda"/>
            </w:pPr>
            <w:r>
              <w:t xml:space="preserve">De la sección 7.</w:t>
            </w:r>
          </w:p>
        </w:tc>
      </w:tr>
      <w:tr>
        <w:tc>
          <w:tcPr>
            <w:tcW w:w="3213" w:type="dxa"/>
          </w:tcPr>
          <w:p>
            <w:pPr>
              <w:pStyle w:val="Celda"/>
            </w:pPr>
            <w:r>
              <w:t xml:space="preserve">Conclusión</w:t>
            </w:r>
          </w:p>
        </w:tc>
        <w:tc>
          <w:tcPr>
            <w:tcW w:w="3213" w:type="dxa"/>
          </w:tcPr>
          <w:p>
            <w:pPr>
              <w:pStyle w:val="Celda"/>
            </w:pPr>
          </w:p>
        </w:tc>
        <w:tc>
          <w:tcPr>
            <w:tcW w:w="3213" w:type="dxa"/>
          </w:tcPr>
          <w:p>
            <w:pPr>
              <w:pStyle w:val="Celda"/>
            </w:pPr>
            <w:r>
              <w:t xml:space="preserve">El sistema puede desplegarse · Puede desplegarse con condiciones · No puede desplegarse.</w:t>
            </w:r>
          </w:p>
        </w:tc>
      </w:tr>
      <w:tr>
        <w:tc>
          <w:tcPr>
            <w:tcW w:w="3213" w:type="dxa"/>
          </w:tcPr>
          <w:p>
            <w:pPr>
              <w:pStyle w:val="Celda"/>
            </w:pPr>
            <w:r>
              <w:t xml:space="preserve">Condiciones</w:t>
            </w:r>
          </w:p>
        </w:tc>
        <w:tc>
          <w:tcPr>
            <w:tcW w:w="3213" w:type="dxa"/>
          </w:tcPr>
          <w:p>
            <w:pPr>
              <w:pStyle w:val="Celda"/>
            </w:pPr>
          </w:p>
        </w:tc>
        <w:tc>
          <w:tcPr>
            <w:tcW w:w="3213" w:type="dxa"/>
          </w:tcPr>
          <w:p>
            <w:pPr>
              <w:pStyle w:val="Celda"/>
            </w:pPr>
            <w:r>
              <w:t xml:space="preserve">Medidas que deben estar verificadas antes de G5.</w:t>
            </w:r>
          </w:p>
        </w:tc>
      </w:tr>
      <w:tr>
        <w:tc>
          <w:tcPr>
            <w:tcW w:w="3213" w:type="dxa"/>
          </w:tcPr>
          <w:p>
            <w:pPr>
              <w:pStyle w:val="Celda"/>
            </w:pPr>
            <w:r>
              <w:t xml:space="preserve">Aceptación del riesgo residual</w:t>
            </w:r>
          </w:p>
        </w:tc>
        <w:tc>
          <w:tcPr>
            <w:tcW w:w="3213" w:type="dxa"/>
          </w:tcPr>
          <w:p>
            <w:pPr>
              <w:pStyle w:val="Celda"/>
            </w:pPr>
          </w:p>
        </w:tc>
        <w:tc>
          <w:tcPr>
            <w:tcW w:w="3213" w:type="dxa"/>
          </w:tcPr>
          <w:p>
            <w:pPr>
              <w:pStyle w:val="Celda"/>
            </w:pPr>
            <w:r>
              <w:t xml:space="preserve">Órgano según P12 §6. Un residual Crítico sin aprobación del consejo o de su comisión delegada bloquea G3 y G5.</w:t>
            </w:r>
          </w:p>
        </w:tc>
      </w:tr>
      <w:tr>
        <w:tc>
          <w:tcPr>
            <w:tcW w:w="3213" w:type="dxa"/>
          </w:tcPr>
          <w:p>
            <w:pPr>
              <w:pStyle w:val="Celda"/>
            </w:pPr>
            <w:r>
              <w:t xml:space="preserve">Próxima revisión</w:t>
            </w:r>
          </w:p>
        </w:tc>
        <w:tc>
          <w:tcPr>
            <w:tcW w:w="3213" w:type="dxa"/>
          </w:tcPr>
          <w:p>
            <w:pPr>
              <w:pStyle w:val="Celda"/>
            </w:pPr>
          </w:p>
        </w:tc>
        <w:tc>
          <w:tcPr>
            <w:tcW w:w="3213" w:type="dxa"/>
          </w:tcPr>
          <w:p>
            <w:pPr>
              <w:pStyle w:val="Celda"/>
            </w:pPr>
            <w:r>
              <w:t xml:space="preserve">Siguiente R6 o cambio de proceso, colectivo, frecuencia, proveedor o instrucciones de uso (artículo 27.2; P27).</w:t>
            </w:r>
          </w:p>
        </w:tc>
      </w:tr>
    </w:tbl>
    <w:p>
      <w:pPr>
        <w:pStyle w:val="Espacio"/>
      </w:pP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Fecha</w:t>
            </w:r>
          </w:p>
        </w:tc>
        <w:tc>
          <w:tcPr>
            <w:tcW w:w="1606" w:type="dxa"/>
            <w:shd w:val="clear" w:color="auto" w:fill="F2DFCE"/>
          </w:tcPr>
          <w:p>
            <w:pPr>
              <w:pStyle w:val="Celda"/>
            </w:pPr>
            <w:r>
              <w:rPr>
                <w:b/>
              </w:rPr>
              <w:t xml:space="preserve">Motivo</w:t>
            </w:r>
          </w:p>
        </w:tc>
        <w:tc>
          <w:tcPr>
            <w:tcW w:w="1606" w:type="dxa"/>
            <w:shd w:val="clear" w:color="auto" w:fill="F2DFCE"/>
          </w:tcPr>
          <w:p>
            <w:pPr>
              <w:pStyle w:val="Celda"/>
            </w:pPr>
            <w:r>
              <w:rPr>
                <w:b/>
              </w:rPr>
              <w:t xml:space="preserve">Cambios</w:t>
            </w:r>
          </w:p>
        </w:tc>
        <w:tc>
          <w:tcPr>
            <w:tcW w:w="1606" w:type="dxa"/>
            <w:shd w:val="clear" w:color="auto" w:fill="F2DFCE"/>
          </w:tcPr>
          <w:p>
            <w:pPr>
              <w:pStyle w:val="Celda"/>
            </w:pPr>
            <w:r>
              <w:rPr>
                <w:b/>
              </w:rPr>
              <w:t xml:space="preserve">Nivel residual</w:t>
            </w:r>
          </w:p>
        </w:tc>
        <w:tc>
          <w:tcPr>
            <w:tcW w:w="1606" w:type="dxa"/>
            <w:shd w:val="clear" w:color="auto" w:fill="F2DFCE"/>
          </w:tcPr>
          <w:p>
            <w:pPr>
              <w:pStyle w:val="Celda"/>
            </w:pPr>
            <w:r>
              <w:rPr>
                <w:b/>
              </w:rPr>
              <w:t xml:space="preserve">¿Se notifica la actualización?</w:t>
            </w:r>
          </w:p>
        </w:tc>
        <w:tc>
          <w:tcPr>
            <w:tcW w:w="1606" w:type="dxa"/>
            <w:shd w:val="clear" w:color="auto" w:fill="F2DFCE"/>
          </w:tcPr>
          <w:p>
            <w:pPr>
              <w:pStyle w:val="Celda"/>
            </w:pPr>
            <w:r>
              <w:rPr>
                <w:b/>
              </w:rPr>
              <w:t xml:space="preserve">Revisado por</w:t>
            </w:r>
          </w:p>
        </w:tc>
      </w:tr>
      <w:tr>
        <w:tc>
          <w:tcPr>
            <w:tcW w:w="1606" w:type="dxa"/>
          </w:tcPr>
          <w:p>
            <w:pPr>
              <w:pStyle w:val="Celda"/>
            </w:pPr>
          </w:p>
        </w:tc>
        <w:tc>
          <w:tcPr>
            <w:tcW w:w="1606" w:type="dxa"/>
          </w:tcPr>
          <w:p>
            <w:pPr>
              <w:pStyle w:val="Celda"/>
            </w:pPr>
            <w:r>
              <w:t xml:space="preserve">Fase 5 · R6 · Cambio · Incidente</w:t>
            </w:r>
          </w:p>
        </w:tc>
        <w:tc>
          <w:tcPr>
            <w:tcW w:w="1606" w:type="dxa"/>
          </w:tcPr>
          <w:p>
            <w:pPr>
              <w:pStyle w:val="Celda"/>
            </w:pPr>
          </w:p>
        </w:tc>
        <w:tc>
          <w:tcPr>
            <w:tcW w:w="1606" w:type="dxa"/>
          </w:tcPr>
          <w:p>
            <w:pPr>
              <w:pStyle w:val="Celda"/>
            </w:pPr>
          </w:p>
        </w:tc>
        <w:tc>
          <w:tcPr>
            <w:tcW w:w="1606" w:type="dxa"/>
          </w:tcPr>
          <w:p>
            <w:pPr>
              <w:pStyle w:val="Celda"/>
            </w:pPr>
            <w:r>
              <w:t xml:space="preserve">Sí · No</w:t>
            </w:r>
          </w:p>
        </w:tc>
        <w:tc>
          <w:tcPr>
            <w:tcW w:w="1606" w:type="dxa"/>
          </w:tcPr>
          <w:p>
            <w:pPr>
              <w:pStyle w:val="Celda"/>
            </w:pPr>
          </w:p>
        </w:tc>
      </w:tr>
    </w:tbl>
    <w:p>
      <w:pPr>
        <w:pStyle w:val="Espacio"/>
      </w:pPr>
    </w:p>
    <w:p>
      <w:pPr>
        <w:pStyle w:val="Separador"/>
      </w:pPr>
    </w:p>
    <w:p>
      <w:pPr>
        <w:pStyle w:val="Heading1"/>
      </w:pPr>
      <w:r>
        <w:t xml:space="preserve">13. Criterios de calidad</w:t>
      </w:r>
    </w:p>
    <w:p>
      <w:r>
        <w:t xml:space="preserve">Los criterios formales están en el documento 21 (G3.09, G4.13, G5.15 y R6.08).</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aplicabilidad coincide con P11 §9.2 y está justificada.</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Están los seis elementos del artículo 27.1: procesos, periodo y frecuencia, personas afectadas, riesgos, supervisión humana y medidas ante materialización.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Se ha usado la información del proveedor y sus instrucciones de uso.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Los riesgos se valoran con la escala común y los de nivel Medio o superior están en P12.</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Hay mecanismo de reclamación y vía de explicación operativos (P17, P49).</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Se reutiliza la EIPD (P47) sin duplicarla.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La notificación a la autoridad consta antes de G5, con fecha y referencia.</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Está vigente en la última R6 y se notifican las actualizaciones.</w:t>
            </w:r>
          </w:p>
        </w:tc>
        <w:tc>
          <w:tcPr>
            <w:tcW w:w="3213" w:type="dxa"/>
          </w:tcPr>
          <w:p>
            <w:pPr>
              <w:pStyle w:val="Celda"/>
            </w:pPr>
          </w:p>
        </w:tc>
      </w:tr>
    </w:tbl>
    <w:p>
      <w:pPr>
        <w:pStyle w:val="Espacio"/>
      </w:pPr>
    </w:p>
    <w:p>
      <w:pPr>
        <w:pStyle w:val="Separador"/>
      </w:pPr>
    </w:p>
    <w:p>
      <w:pPr>
        <w:pStyle w:val="Heading1"/>
      </w:pPr>
      <w:r>
        <w:t xml:space="preserve">14.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Coordina y elabora</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Describe procesos y supervisión</w:t>
            </w:r>
          </w:p>
        </w:tc>
        <w:tc>
          <w:tcPr>
            <w:tcW w:w="1928" w:type="dxa"/>
          </w:tcPr>
          <w:p>
            <w:pPr>
              <w:pStyle w:val="Celda"/>
            </w:pPr>
            <w:r>
              <w:t xml:space="preserve">Responsable de producto de IA y área de negocio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jurídicamente</w:t>
            </w:r>
          </w:p>
        </w:tc>
        <w:tc>
          <w:tcPr>
            <w:tcW w:w="1928" w:type="dxa"/>
          </w:tcPr>
          <w:p>
            <w:pPr>
              <w:pStyle w:val="Celda"/>
            </w:pPr>
            <w:r>
              <w:t xml:space="preserve">Segunda línea (asesoría jurídica o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Auditor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Aprueba</w:t>
            </w:r>
          </w:p>
        </w:tc>
        <w:tc>
          <w:tcPr>
            <w:tcW w:w="1928" w:type="dxa"/>
          </w:tcPr>
          <w:p>
            <w:pPr>
              <w:pStyle w:val="Celda"/>
            </w:pPr>
            <w:r>
              <w:t xml:space="preserve">Comité de IA; aceptación del residual según P12 §6</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Declaración: «La organización confirma que esta evaluación se ha realizado con asesoramiento cualificado y asume su responsabilidad; SEVEN-G es solo una referencia metodológica.»</w:t>
            </w:r>
          </w:p>
        </w:tc>
        <w:tc>
          <w:tcPr>
            <w:tcW w:w="1928" w:type="dxa"/>
          </w:tcPr>
          <w:p>
            <w:pPr>
              <w:pStyle w:val="Celda"/>
            </w:pPr>
            <w:r>
              <w:t xml:space="preserve">Mismo órgano que aprueba</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quien elabora la evaluación no la verifica; el área que usará el sistema no acepta su riesgo residual.</w:t>
      </w:r>
    </w:p>
    <w:p>
      <w:pPr>
        <w:pStyle w:val="Separador"/>
      </w:pPr>
    </w:p>
    <w:p>
      <w:pPr>
        <w:pStyle w:val="Heading1"/>
      </w:pPr>
      <w:r>
        <w:t xml:space="preserve">15.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Primera versión. Desarrolla la evaluación que P11 §9.2 declara necesaria, con los elementos del artículo 27 recogidos en 32 §6.2 y 34 §3.10, la notificación a la autoridad y el enlace con P47 y P12. Referencias consultadas en septiembre de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P48 · Evaluación de impacto en derechos fundamentales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P48 · Evaluación de impacto en derechos fundamentales</dc:title>
  <dc:creator>Fernando García Varela</dc:creator>
  <dc:language>es</dc:language>
  <dc:description>sha256:8d1399bfaed6165daa4f871c3a93a579d87666383c21c7bda4c4c611d2612d71</dc:description>
  <cp:keywords>SEVEN-G</cp:keywords>
</cp:coreProperties>
</file>