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anual de auditoría de IA</w:t>
      </w:r>
    </w:p>
    <w:p>
      <w:r>
        <w:rPr>
          <w:b/>
        </w:rPr>
        <w:t xml:space="preserve">Construye el universo auditable, prioriza cada unidad por riesgo, asigna los trabajos del ejercicio con su capacidad y deja constancia de la aprobación y del grado de ejecución trimestral.</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P58 · Plan anual de auditoría de IA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tercera línea no puede auditarlo todo cada año: el plan decide dónde se mira y dónde no. Sin un universo completo y una puntuación explícita, la cobertura depende de la disponibilidad del auditor y los sistemas de mayor riesgo pueden quedar años sin auditar. El plan hace visible a la comisión delegada qué queda sin cubrir y le obliga a decidir si amplía recursos o acepta ese riesgo. Es también el programa de auditoría interna que exige ISO/IEC 42001 (cláusula 9.2).</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elabora una vez al año, antes del inicio del ejercicio, con los resultados de la revisión C5 del ejercicio anterior. Se actualiza cuando se incorpora al universo un sistema de prioridad Alta o se produce una auditoría no planificada (incidente S1, requerimiento de una autoridad).</w:t>
            </w:r>
          </w:p>
        </w:tc>
      </w:tr>
      <w:tr>
        <w:tc>
          <w:tcPr>
            <w:tcW w:w="4819" w:type="dxa"/>
          </w:tcPr>
          <w:p>
            <w:pPr>
              <w:pStyle w:val="Celda"/>
            </w:pPr>
            <w:r>
              <w:rPr>
                <w:b/>
              </w:rPr>
              <w:t xml:space="preserve">Quién la rellena</w:t>
            </w:r>
          </w:p>
        </w:tc>
        <w:tc>
          <w:tcPr>
            <w:tcW w:w="4819" w:type="dxa"/>
          </w:tcPr>
          <w:p>
            <w:pPr>
              <w:pStyle w:val="Celda"/>
            </w:pPr>
            <w:r>
              <w:t xml:space="preserve">Auditoría interna (responsable de auditoría de IA), con los datos de T02, T01 y T09 que facilita la oficina de IA.</w:t>
            </w:r>
          </w:p>
        </w:tc>
      </w:tr>
      <w:tr>
        <w:tc>
          <w:tcPr>
            <w:tcW w:w="4819" w:type="dxa"/>
          </w:tcPr>
          <w:p>
            <w:pPr>
              <w:pStyle w:val="Celda"/>
            </w:pPr>
            <w:r>
              <w:rPr>
                <w:b/>
              </w:rPr>
              <w:t xml:space="preserve">Quién la verifica</w:t>
            </w:r>
          </w:p>
        </w:tc>
        <w:tc>
          <w:tcPr>
            <w:tcW w:w="4819" w:type="dxa"/>
          </w:tcPr>
          <w:p>
            <w:pPr>
              <w:pStyle w:val="Celda"/>
            </w:pPr>
            <w:r>
              <w:t xml:space="preserve">La revisión de calidad de auditoría interna comprueba el universo y las puntuaciones antes de presentar el plan.</w:t>
            </w:r>
          </w:p>
        </w:tc>
      </w:tr>
      <w:tr>
        <w:tc>
          <w:tcPr>
            <w:tcW w:w="4819" w:type="dxa"/>
          </w:tcPr>
          <w:p>
            <w:pPr>
              <w:pStyle w:val="Celda"/>
            </w:pPr>
            <w:r>
              <w:rPr>
                <w:b/>
              </w:rPr>
              <w:t xml:space="preserve">Quién decide o aprueba</w:t>
            </w:r>
          </w:p>
        </w:tc>
        <w:tc>
          <w:tcPr>
            <w:tcW w:w="4819" w:type="dxa"/>
          </w:tcPr>
          <w:p>
            <w:pPr>
              <w:pStyle w:val="Celda"/>
            </w:pPr>
            <w:r>
              <w:t xml:space="preserve">La comisión delegada del consejo (38 §5.3; documento 30 §7.5). Si la auditoría de IA se integra en el plan de auditoría interna corporativa, se aprueba de forma conjunta o coordinada (38 §12.2).</w:t>
            </w:r>
          </w:p>
        </w:tc>
      </w:tr>
      <w:tr>
        <w:tc>
          <w:tcPr>
            <w:tcW w:w="4819" w:type="dxa"/>
          </w:tcPr>
          <w:p>
            <w:pPr>
              <w:pStyle w:val="Celda"/>
            </w:pPr>
            <w:r>
              <w:rPr>
                <w:b/>
              </w:rPr>
              <w:t xml:space="preserve">Etapa del ciclo corporativo</w:t>
            </w:r>
          </w:p>
        </w:tc>
        <w:tc>
          <w:tcPr>
            <w:tcW w:w="4819" w:type="dxa"/>
          </w:tcPr>
          <w:p>
            <w:pPr>
              <w:pStyle w:val="Celda"/>
            </w:pPr>
            <w:r>
              <w:t xml:space="preserve">Preparación tras C5; aprobación antes del inicio del ejercicio; seguimiento trimestral de su ejecución junto con la supervisión C4.</w:t>
            </w:r>
          </w:p>
        </w:tc>
      </w:tr>
      <w:tr>
        <w:tc>
          <w:tcPr>
            <w:tcW w:w="4819" w:type="dxa"/>
          </w:tcPr>
          <w:p>
            <w:pPr>
              <w:pStyle w:val="Celda"/>
            </w:pPr>
            <w:r>
              <w:rPr>
                <w:b/>
              </w:rPr>
              <w:t xml:space="preserve">Herramienta</w:t>
            </w:r>
          </w:p>
        </w:tc>
        <w:tc>
          <w:tcPr>
            <w:tcW w:w="4819" w:type="dxa"/>
          </w:tcPr>
          <w:p>
            <w:pPr>
              <w:pStyle w:val="Celda"/>
            </w:pPr>
            <w:r>
              <w:t xml:space="preserve">No tiene herramienta propia. El universo se extrae de T02 (inventario), T01 (registro de iniciativas) y T09 (proveedores); los hallazgos abiertos, de T08. Las fórmulas de la sección 4 permiten llevarla a una hoja de cálculo.</w:t>
            </w:r>
          </w:p>
        </w:tc>
      </w:tr>
      <w:tr>
        <w:tc>
          <w:tcPr>
            <w:tcW w:w="4819" w:type="dxa"/>
          </w:tcPr>
          <w:p>
            <w:pPr>
              <w:pStyle w:val="Celda"/>
            </w:pPr>
            <w:r>
              <w:rPr>
                <w:b/>
              </w:rPr>
              <w:t xml:space="preserve">Documento de referencia</w:t>
            </w:r>
          </w:p>
        </w:tc>
        <w:tc>
          <w:tcPr>
            <w:tcW w:w="4819" w:type="dxa"/>
          </w:tcPr>
          <w:p>
            <w:pPr>
              <w:pStyle w:val="Celda"/>
            </w:pPr>
            <w:r>
              <w:t xml:space="preserve">Documento 38 §4, §5 y §12; documento 21 §10.3 (muestra de </w:t>
            </w:r>
            <w:r>
              <w:rPr>
                <w:i/>
              </w:rPr>
              <w:t xml:space="preserve">gates</w:t>
            </w:r>
            <w:r>
              <w:t xml:space="preserve">); documento 43 §12 (auditoría del valor).</w:t>
            </w:r>
          </w:p>
        </w:tc>
      </w:tr>
      <w:tr>
        <w:tc>
          <w:tcPr>
            <w:tcW w:w="4819" w:type="dxa"/>
          </w:tcPr>
          <w:p>
            <w:pPr>
              <w:pStyle w:val="Celda"/>
            </w:pPr>
            <w:r>
              <w:rPr>
                <w:b/>
              </w:rPr>
              <w:t xml:space="preserve">Lite frente a Enterprise</w:t>
            </w:r>
          </w:p>
        </w:tc>
        <w:tc>
          <w:tcPr>
            <w:tcW w:w="4819" w:type="dxa"/>
          </w:tcPr>
          <w:p>
            <w:pPr>
              <w:pStyle w:val="Celda"/>
            </w:pPr>
            <w:r>
              <w:t xml:space="preserve">Los </w:t>
            </w:r>
            <w:r>
              <w:rPr>
                <w:i/>
              </w:rPr>
              <w:t xml:space="preserve">gates</w:t>
            </w:r>
            <w:r>
              <w:t xml:space="preserve"> Enterprise se verifican todos; los </w:t>
            </w:r>
            <w:r>
              <w:rPr>
                <w:i/>
              </w:rPr>
              <w:t xml:space="preserve">gates</w:t>
            </w:r>
            <w:r>
              <w:t xml:space="preserve"> Lite se auditan por muestra (21 §10.3: al menos el 10 % con un mínimo de tres, incluido al menos un G5). La intensidad es además un factor de la puntuación.</w:t>
            </w:r>
          </w:p>
        </w:tc>
      </w:tr>
    </w:tbl>
    <w:p>
      <w:pPr>
        <w:pStyle w:val="Espacio"/>
      </w:pPr>
    </w:p>
    <w:p>
      <w:r>
        <w:t xml:space="preserve">Reglas de cumplimentación:</w:t>
      </w:r>
    </w:p>
    <w:p>
      <w:pPr>
        <w:pStyle w:val="Lista"/>
      </w:pPr>
      <w:r>
        <w:t xml:space="preserve">• El universo incluye </w:t>
      </w:r>
      <w:r>
        <w:rPr>
          <w:b/>
        </w:rPr>
        <w:t xml:space="preserve">todas</w:t>
      </w:r>
      <w:r>
        <w:t xml:space="preserve"> las unidades de 38 §5.1. Un sistema no inventariado no puede puntuarse: por eso la conciliación del inventario (32 §9) es una prueba recurrente de la auditoría del marco.</w:t>
      </w:r>
    </w:p>
    <w:p>
      <w:pPr>
        <w:pStyle w:val="Lista"/>
      </w:pPr>
      <w:r>
        <w:t xml:space="preserve">• La tabla de factores es </w:t>
      </w:r>
      <w:r>
        <w:rPr>
          <w:b/>
        </w:rPr>
        <w:t xml:space="preserve">de referencia</w:t>
      </w:r>
      <w:r>
        <w:t xml:space="preserve">. Si la compañía la ajusta, lo declara en la sección 4.1 y el ajuste lo aprueba la comisión delegada con el plan.</w:t>
      </w:r>
    </w:p>
    <w:p>
      <w:pPr>
        <w:pStyle w:val="Lista"/>
      </w:pPr>
      <w:r>
        <w:t xml:space="preserve">• La prioridad </w:t>
      </w:r>
      <w:r>
        <w:rPr>
          <w:b/>
        </w:rPr>
        <w:t xml:space="preserve">Alta</w:t>
      </w:r>
      <w:r>
        <w:t xml:space="preserve"> se asigna también, sin mirar la puntuación, a todo sistema de alto riesgo en producción y a todo sistema con autonomía A3 y exposición directa.</w:t>
      </w:r>
    </w:p>
    <w:p>
      <w:pPr>
        <w:pStyle w:val="Lista"/>
      </w:pPr>
      <w:r>
        <w:t xml:space="preserve">• Se reserva entre el </w:t>
      </w:r>
      <w:r>
        <w:rPr>
          <w:b/>
        </w:rPr>
        <w:t xml:space="preserve">10 % y el 20 %</w:t>
      </w:r>
      <w:r>
        <w:t xml:space="preserve"> de la capacidad para auditorías no planificadas.</w:t>
      </w:r>
    </w:p>
    <w:p>
      <w:pPr>
        <w:pStyle w:val="Lista"/>
      </w:pPr>
      <w:r>
        <w:t xml:space="preserve">• Si la capacidad no alcanza para cubrir los sistemas de prioridad Alta, la limitación se escribe en la sección 7 y la decide la comisión delegada.</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y perímetro</w:t>
            </w:r>
          </w:p>
        </w:tc>
        <w:tc>
          <w:tcPr>
            <w:tcW w:w="3213" w:type="dxa"/>
          </w:tcPr>
          <w:p>
            <w:pPr>
              <w:pStyle w:val="Celda"/>
            </w:pPr>
          </w:p>
        </w:tc>
        <w:tc>
          <w:tcPr>
            <w:tcW w:w="3213" w:type="dxa"/>
          </w:tcPr>
          <w:p>
            <w:pPr>
              <w:pStyle w:val="Celda"/>
            </w:pPr>
            <w:r>
              <w:t xml:space="preserve">Sociedades y áreas cubiertas por el plan.</w:t>
            </w:r>
          </w:p>
        </w:tc>
      </w:tr>
      <w:tr>
        <w:tc>
          <w:tcPr>
            <w:tcW w:w="3213" w:type="dxa"/>
          </w:tcPr>
          <w:p>
            <w:pPr>
              <w:pStyle w:val="Celda"/>
            </w:pPr>
            <w:r>
              <w:t xml:space="preserve">Ejercicio</w:t>
            </w:r>
          </w:p>
        </w:tc>
        <w:tc>
          <w:tcPr>
            <w:tcW w:w="3213" w:type="dxa"/>
          </w:tcPr>
          <w:p>
            <w:pPr>
              <w:pStyle w:val="Celda"/>
            </w:pPr>
          </w:p>
        </w:tc>
        <w:tc>
          <w:tcPr>
            <w:tcW w:w="3213" w:type="dxa"/>
          </w:tcPr>
          <w:p>
            <w:pPr>
              <w:pStyle w:val="Celda"/>
            </w:pPr>
            <w:r>
              <w:t xml:space="preserve">Año o periodo de doce meses.</w:t>
            </w:r>
          </w:p>
        </w:tc>
      </w:tr>
      <w:tr>
        <w:tc>
          <w:tcPr>
            <w:tcW w:w="3213" w:type="dxa"/>
          </w:tcPr>
          <w:p>
            <w:pPr>
              <w:pStyle w:val="Celda"/>
            </w:pPr>
            <w:r>
              <w:t xml:space="preserve">Versión del plan</w:t>
            </w:r>
          </w:p>
        </w:tc>
        <w:tc>
          <w:tcPr>
            <w:tcW w:w="3213" w:type="dxa"/>
          </w:tcPr>
          <w:p>
            <w:pPr>
              <w:pStyle w:val="Celda"/>
            </w:pPr>
          </w:p>
        </w:tc>
        <w:tc>
          <w:tcPr>
            <w:tcW w:w="3213" w:type="dxa"/>
          </w:tcPr>
          <w:p>
            <w:pPr>
              <w:pStyle w:val="Celda"/>
            </w:pPr>
            <w:r>
              <w:t xml:space="preserve">1.0 al aprobarse; 1.1, 1.2… en cada modificación aprobada.</w:t>
            </w:r>
          </w:p>
        </w:tc>
      </w:tr>
      <w:tr>
        <w:tc>
          <w:tcPr>
            <w:tcW w:w="3213" w:type="dxa"/>
          </w:tcPr>
          <w:p>
            <w:pPr>
              <w:pStyle w:val="Celda"/>
            </w:pPr>
            <w:r>
              <w:t xml:space="preserve">Responsable de auditoría de IA</w:t>
            </w:r>
          </w:p>
        </w:tc>
        <w:tc>
          <w:tcPr>
            <w:tcW w:w="3213" w:type="dxa"/>
          </w:tcPr>
          <w:p>
            <w:pPr>
              <w:pStyle w:val="Celda"/>
            </w:pPr>
          </w:p>
        </w:tc>
        <w:tc>
          <w:tcPr>
            <w:tcW w:w="3213" w:type="dxa"/>
          </w:tcPr>
          <w:p>
            <w:pPr>
              <w:pStyle w:val="Celda"/>
            </w:pPr>
            <w:r>
              <w:t xml:space="preserve">Nombre y cargo.</w:t>
            </w:r>
          </w:p>
        </w:tc>
      </w:tr>
      <w:tr>
        <w:tc>
          <w:tcPr>
            <w:tcW w:w="3213" w:type="dxa"/>
          </w:tcPr>
          <w:p>
            <w:pPr>
              <w:pStyle w:val="Celda"/>
            </w:pPr>
            <w:r>
              <w:t xml:space="preserve">Fecha de corte del universo</w:t>
            </w:r>
          </w:p>
        </w:tc>
        <w:tc>
          <w:tcPr>
            <w:tcW w:w="3213" w:type="dxa"/>
          </w:tcPr>
          <w:p>
            <w:pPr>
              <w:pStyle w:val="Celda"/>
            </w:pPr>
          </w:p>
        </w:tc>
        <w:tc>
          <w:tcPr>
            <w:tcW w:w="3213" w:type="dxa"/>
          </w:tcPr>
          <w:p>
            <w:pPr>
              <w:pStyle w:val="Celda"/>
            </w:pPr>
            <w:r>
              <w:t xml:space="preserve">DD-MM-AAAA. Fecha de extracción de T02, T01 y T09.</w:t>
            </w:r>
          </w:p>
        </w:tc>
      </w:tr>
      <w:tr>
        <w:tc>
          <w:tcPr>
            <w:tcW w:w="3213" w:type="dxa"/>
          </w:tcPr>
          <w:p>
            <w:pPr>
              <w:pStyle w:val="Celda"/>
            </w:pPr>
            <w:r>
              <w:t xml:space="preserve">Relación con el plan de auditoría interna corporativa</w:t>
            </w:r>
          </w:p>
        </w:tc>
        <w:tc>
          <w:tcPr>
            <w:tcW w:w="3213" w:type="dxa"/>
          </w:tcPr>
          <w:p>
            <w:pPr>
              <w:pStyle w:val="Celda"/>
            </w:pPr>
          </w:p>
        </w:tc>
        <w:tc>
          <w:tcPr>
            <w:tcW w:w="3213" w:type="dxa"/>
          </w:tcPr>
          <w:p>
            <w:pPr>
              <w:pStyle w:val="Celda"/>
            </w:pPr>
            <w:r>
              <w:t xml:space="preserve">Integrado · Coordinado.</w:t>
            </w:r>
          </w:p>
        </w:tc>
      </w:tr>
      <w:tr>
        <w:tc>
          <w:tcPr>
            <w:tcW w:w="3213" w:type="dxa"/>
          </w:tcPr>
          <w:p>
            <w:pPr>
              <w:pStyle w:val="Celda"/>
            </w:pPr>
            <w:r>
              <w:t xml:space="preserve">Tabla de factores aplicada</w:t>
            </w:r>
          </w:p>
        </w:tc>
        <w:tc>
          <w:tcPr>
            <w:tcW w:w="3213" w:type="dxa"/>
          </w:tcPr>
          <w:p>
            <w:pPr>
              <w:pStyle w:val="Celda"/>
            </w:pPr>
          </w:p>
        </w:tc>
        <w:tc>
          <w:tcPr>
            <w:tcW w:w="3213" w:type="dxa"/>
          </w:tcPr>
          <w:p>
            <w:pPr>
              <w:pStyle w:val="Celda"/>
            </w:pPr>
            <w:r>
              <w:t xml:space="preserve">De referencia (38 §5.2) · Ajustada (describir en 4.1).</w:t>
            </w:r>
          </w:p>
        </w:tc>
      </w:tr>
      <w:tr>
        <w:tc>
          <w:tcPr>
            <w:tcW w:w="3213" w:type="dxa"/>
          </w:tcPr>
          <w:p>
            <w:pPr>
              <w:pStyle w:val="Celda"/>
            </w:pPr>
            <w:r>
              <w:t xml:space="preserve">Resultado de la última auditoría del marco</w:t>
            </w:r>
          </w:p>
        </w:tc>
        <w:tc>
          <w:tcPr>
            <w:tcW w:w="3213" w:type="dxa"/>
          </w:tcPr>
          <w:p>
            <w:pPr>
              <w:pStyle w:val="Celda"/>
            </w:pPr>
          </w:p>
        </w:tc>
        <w:tc>
          <w:tcPr>
            <w:tcW w:w="3213" w:type="dxa"/>
          </w:tcPr>
          <w:p>
            <w:pPr>
              <w:pStyle w:val="Celda"/>
            </w:pPr>
            <w:r>
              <w:t xml:space="preserve">Conforme · Conforme con observaciones · No conforme, con su código AUD-AAAA-NNN.</w:t>
            </w:r>
          </w:p>
        </w:tc>
      </w:tr>
    </w:tbl>
    <w:p>
      <w:pPr>
        <w:pStyle w:val="Espacio"/>
      </w:pPr>
    </w:p>
    <w:p>
      <w:pPr>
        <w:pStyle w:val="Separador"/>
      </w:pPr>
    </w:p>
    <w:p>
      <w:pPr>
        <w:pStyle w:val="Heading1"/>
      </w:pPr>
      <w:r>
        <w:t xml:space="preserve">3. Universo auditable</w:t>
      </w:r>
    </w:p>
    <w:p>
      <w:r>
        <w:t xml:space="preserve">Se numera cada unidad de forma correlativa dentro del plan (U01, U02…). Una unidad es un sistema, una iniciativa, un proveedor, un proceso del marco o un tema transversal (38 §5.1).</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Tipo de unidad</w:t>
            </w:r>
          </w:p>
        </w:tc>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Nombre</w:t>
            </w:r>
          </w:p>
        </w:tc>
        <w:tc>
          <w:tcPr>
            <w:tcW w:w="1205" w:type="dxa"/>
            <w:shd w:val="clear" w:color="auto" w:fill="F2DFCE"/>
          </w:tcPr>
          <w:p>
            <w:pPr>
              <w:pStyle w:val="Celda"/>
            </w:pPr>
            <w:r>
              <w:rPr>
                <w:b/>
              </w:rPr>
              <w:t xml:space="preserve">Fuente</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Estado o fase</w:t>
            </w:r>
          </w:p>
        </w:tc>
        <w:tc>
          <w:tcPr>
            <w:tcW w:w="1205" w:type="dxa"/>
            <w:shd w:val="clear" w:color="auto" w:fill="F2DFCE"/>
          </w:tcPr>
          <w:p>
            <w:pPr>
              <w:pStyle w:val="Celda"/>
            </w:pPr>
            <w:r>
              <w:rPr>
                <w:b/>
              </w:rPr>
              <w:t xml:space="preserve">Última auditoría (código y fecha)</w:t>
            </w:r>
          </w:p>
        </w:tc>
      </w:tr>
      <w:tr>
        <w:tc>
          <w:tcPr>
            <w:tcW w:w="1205" w:type="dxa"/>
          </w:tcPr>
          <w:p>
            <w:pPr>
              <w:pStyle w:val="Celda"/>
            </w:pPr>
            <w:r>
              <w:t xml:space="preserve">U01</w:t>
            </w:r>
          </w:p>
        </w:tc>
        <w:tc>
          <w:tcPr>
            <w:tcW w:w="1205" w:type="dxa"/>
          </w:tcPr>
          <w:p>
            <w:pPr>
              <w:pStyle w:val="Celda"/>
            </w:pPr>
            <w:r>
              <w:t xml:space="preserve">Sistema · Iniciativa · Proveedor · Proceso · Tema</w:t>
            </w:r>
          </w:p>
        </w:tc>
        <w:tc>
          <w:tcPr>
            <w:tcW w:w="1205" w:type="dxa"/>
          </w:tcPr>
          <w:p>
            <w:pPr>
              <w:pStyle w:val="Celda"/>
            </w:pPr>
            <w:r>
              <w:t xml:space="preserve">SIA-AAAA-NNN · IA-AAAA-NNN · código de T09 · nombre del proceso</w:t>
            </w:r>
          </w:p>
        </w:tc>
        <w:tc>
          <w:tcPr>
            <w:tcW w:w="1205" w:type="dxa"/>
          </w:tcPr>
          <w:p>
            <w:pPr>
              <w:pStyle w:val="Celda"/>
            </w:pPr>
          </w:p>
        </w:tc>
        <w:tc>
          <w:tcPr>
            <w:tcW w:w="1205" w:type="dxa"/>
          </w:tcPr>
          <w:p>
            <w:pPr>
              <w:pStyle w:val="Celda"/>
            </w:pPr>
            <w:r>
              <w:t xml:space="preserve">T02 · T01 · T09 · Documento · Informe de riesgos · T08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U02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U03</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U01</w:t>
            </w:r>
          </w:p>
        </w:tc>
        <w:tc>
          <w:tcPr>
            <w:tcW w:w="1205" w:type="dxa"/>
          </w:tcPr>
          <w:p>
            <w:pPr>
              <w:pStyle w:val="Celda"/>
            </w:pPr>
            <w:r>
              <w:t xml:space="preserve">Sistema</w:t>
            </w:r>
          </w:p>
        </w:tc>
        <w:tc>
          <w:tcPr>
            <w:tcW w:w="1205" w:type="dxa"/>
          </w:tcPr>
          <w:p>
            <w:pPr>
              <w:pStyle w:val="Celda"/>
            </w:pPr>
            <w:r>
              <w:t xml:space="preserve">SIA-2026-014</w:t>
            </w:r>
          </w:p>
        </w:tc>
        <w:tc>
          <w:tcPr>
            <w:tcW w:w="1205" w:type="dxa"/>
          </w:tcPr>
          <w:p>
            <w:pPr>
              <w:pStyle w:val="Celda"/>
            </w:pPr>
            <w:r>
              <w:t xml:space="preserve">Asistente de consultas de clientes</w:t>
            </w:r>
          </w:p>
        </w:tc>
        <w:tc>
          <w:tcPr>
            <w:tcW w:w="1205" w:type="dxa"/>
          </w:tcPr>
          <w:p>
            <w:pPr>
              <w:pStyle w:val="Celda"/>
            </w:pPr>
            <w:r>
              <w:t xml:space="preserve">T02</w:t>
            </w:r>
          </w:p>
        </w:tc>
        <w:tc>
          <w:tcPr>
            <w:tcW w:w="1205" w:type="dxa"/>
          </w:tcPr>
          <w:p>
            <w:pPr>
              <w:pStyle w:val="Celda"/>
            </w:pPr>
            <w:r>
              <w:t xml:space="preserve">Responsable de operación de IA del área de clientes</w:t>
            </w:r>
          </w:p>
        </w:tc>
        <w:tc>
          <w:tcPr>
            <w:tcW w:w="1205" w:type="dxa"/>
          </w:tcPr>
          <w:p>
            <w:pPr>
              <w:pStyle w:val="Celda"/>
            </w:pPr>
            <w:r>
              <w:t xml:space="preserve">En producción</w:t>
            </w:r>
          </w:p>
        </w:tc>
        <w:tc>
          <w:tcPr>
            <w:tcW w:w="1205" w:type="dxa"/>
          </w:tcPr>
          <w:p>
            <w:pPr>
              <w:pStyle w:val="Celda"/>
            </w:pPr>
            <w:r>
              <w:t xml:space="preserve">Nunca auditado</w:t>
            </w:r>
          </w:p>
        </w:tc>
      </w:tr>
      <w:tr>
        <w:tc>
          <w:tcPr>
            <w:tcW w:w="1205" w:type="dxa"/>
          </w:tcPr>
          <w:p>
            <w:pPr>
              <w:pStyle w:val="Celda"/>
            </w:pPr>
            <w:r>
              <w:rPr>
                <w:i/>
              </w:rPr>
              <w:t xml:space="preserve">(ejemplo ilustrativo)</w:t>
            </w:r>
            <w:r>
              <w:t xml:space="preserve"> U02</w:t>
            </w:r>
          </w:p>
        </w:tc>
        <w:tc>
          <w:tcPr>
            <w:tcW w:w="1205" w:type="dxa"/>
          </w:tcPr>
          <w:p>
            <w:pPr>
              <w:pStyle w:val="Celda"/>
            </w:pPr>
            <w:r>
              <w:t xml:space="preserve">Proceso</w:t>
            </w:r>
          </w:p>
        </w:tc>
        <w:tc>
          <w:tcPr>
            <w:tcW w:w="1205" w:type="dxa"/>
          </w:tcPr>
          <w:p>
            <w:pPr>
              <w:pStyle w:val="Celda"/>
            </w:pPr>
            <w:r>
              <w:t xml:space="preserve">—</w:t>
            </w:r>
          </w:p>
        </w:tc>
        <w:tc>
          <w:tcPr>
            <w:tcW w:w="1205" w:type="dxa"/>
          </w:tcPr>
          <w:p>
            <w:pPr>
              <w:pStyle w:val="Celda"/>
            </w:pPr>
            <w:r>
              <w:t xml:space="preserve">Inventario y clasificación regulatoria</w:t>
            </w:r>
          </w:p>
        </w:tc>
        <w:tc>
          <w:tcPr>
            <w:tcW w:w="1205" w:type="dxa"/>
          </w:tcPr>
          <w:p>
            <w:pPr>
              <w:pStyle w:val="Celda"/>
            </w:pPr>
            <w:r>
              <w:t xml:space="preserve">Documento 32</w:t>
            </w:r>
          </w:p>
        </w:tc>
        <w:tc>
          <w:tcPr>
            <w:tcW w:w="1205" w:type="dxa"/>
          </w:tcPr>
          <w:p>
            <w:pPr>
              <w:pStyle w:val="Celda"/>
            </w:pPr>
            <w:r>
              <w:t xml:space="preserve">Oficina de IA</w:t>
            </w:r>
          </w:p>
        </w:tc>
        <w:tc>
          <w:tcPr>
            <w:tcW w:w="1205" w:type="dxa"/>
          </w:tcPr>
          <w:p>
            <w:pPr>
              <w:pStyle w:val="Celda"/>
            </w:pPr>
            <w:r>
              <w:t xml:space="preserve">Operativo</w:t>
            </w:r>
          </w:p>
        </w:tc>
        <w:tc>
          <w:tcPr>
            <w:tcW w:w="1205" w:type="dxa"/>
          </w:tcPr>
          <w:p>
            <w:pPr>
              <w:pStyle w:val="Celda"/>
            </w:pPr>
            <w:r>
              <w:t xml:space="preserve">AUD-2026-003 · 20-11-2026</w:t>
            </w:r>
          </w:p>
        </w:tc>
      </w:tr>
    </w:tbl>
    <w:p>
      <w:pPr>
        <w:pStyle w:val="Espacio"/>
      </w:pPr>
    </w:p>
    <w:p>
      <w:r>
        <w:t xml:space="preserve">Unidades que deben figurar como mínimo: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Unidad</w:t>
            </w:r>
          </w:p>
        </w:tc>
        <w:tc>
          <w:tcPr>
            <w:tcW w:w="2410" w:type="dxa"/>
            <w:shd w:val="clear" w:color="auto" w:fill="F2DFCE"/>
          </w:tcPr>
          <w:p>
            <w:pPr>
              <w:pStyle w:val="Celda"/>
            </w:pPr>
            <w:r>
              <w:rPr>
                <w:b/>
              </w:rPr>
              <w:t xml:space="preserve">Fuente</w:t>
            </w:r>
          </w:p>
        </w:tc>
        <w:tc>
          <w:tcPr>
            <w:tcW w:w="2410" w:type="dxa"/>
            <w:shd w:val="clear" w:color="auto" w:fill="F2DFCE"/>
          </w:tcPr>
          <w:p>
            <w:pPr>
              <w:pStyle w:val="Celda"/>
            </w:pPr>
            <w:r>
              <w:rPr>
                <w:b/>
              </w:rPr>
              <w:t xml:space="preserve">¿Incluidas todas? (Sí · No)</w:t>
            </w:r>
          </w:p>
        </w:tc>
        <w:tc>
          <w:tcPr>
            <w:tcW w:w="2410" w:type="dxa"/>
            <w:shd w:val="clear" w:color="auto" w:fill="F2DFCE"/>
          </w:tcPr>
          <w:p>
            <w:pPr>
              <w:pStyle w:val="Celda"/>
            </w:pPr>
            <w:r>
              <w:rPr>
                <w:b/>
              </w:rPr>
              <w:t xml:space="preserve">Si No, motivo</w:t>
            </w:r>
          </w:p>
        </w:tc>
      </w:tr>
      <w:tr>
        <w:tc>
          <w:tcPr>
            <w:tcW w:w="2410" w:type="dxa"/>
          </w:tcPr>
          <w:p>
            <w:pPr>
              <w:pStyle w:val="Celda"/>
            </w:pPr>
            <w:r>
              <w:t xml:space="preserve">Cada sistema de IA en desarrollo, piloto o producción</w:t>
            </w:r>
          </w:p>
        </w:tc>
        <w:tc>
          <w:tcPr>
            <w:tcW w:w="2410" w:type="dxa"/>
          </w:tcPr>
          <w:p>
            <w:pPr>
              <w:pStyle w:val="Celda"/>
            </w:pPr>
            <w:r>
              <w:t xml:space="preserve">T02</w:t>
            </w:r>
          </w:p>
        </w:tc>
        <w:tc>
          <w:tcPr>
            <w:tcW w:w="2410" w:type="dxa"/>
          </w:tcPr>
          <w:p>
            <w:pPr>
              <w:pStyle w:val="Celda"/>
            </w:pPr>
          </w:p>
        </w:tc>
        <w:tc>
          <w:tcPr>
            <w:tcW w:w="2410" w:type="dxa"/>
          </w:tcPr>
          <w:p>
            <w:pPr>
              <w:pStyle w:val="Celda"/>
            </w:pPr>
          </w:p>
        </w:tc>
      </w:tr>
      <w:tr>
        <w:tc>
          <w:tcPr>
            <w:tcW w:w="2410" w:type="dxa"/>
          </w:tcPr>
          <w:p>
            <w:pPr>
              <w:pStyle w:val="Celda"/>
            </w:pPr>
            <w:r>
              <w:t xml:space="preserve">Cada iniciativa con </w:t>
            </w:r>
            <w:r>
              <w:rPr>
                <w:i/>
              </w:rPr>
              <w:t xml:space="preserve">gates</w:t>
            </w:r>
            <w:r>
              <w:t xml:space="preserve"> planificados en el ejercicio</w:t>
            </w:r>
          </w:p>
        </w:tc>
        <w:tc>
          <w:tcPr>
            <w:tcW w:w="2410" w:type="dxa"/>
          </w:tcPr>
          <w:p>
            <w:pPr>
              <w:pStyle w:val="Celda"/>
            </w:pPr>
            <w:r>
              <w:t xml:space="preserve">T01</w:t>
            </w:r>
          </w:p>
        </w:tc>
        <w:tc>
          <w:tcPr>
            <w:tcW w:w="2410" w:type="dxa"/>
          </w:tcPr>
          <w:p>
            <w:pPr>
              <w:pStyle w:val="Celda"/>
            </w:pPr>
          </w:p>
        </w:tc>
        <w:tc>
          <w:tcPr>
            <w:tcW w:w="2410" w:type="dxa"/>
          </w:tcPr>
          <w:p>
            <w:pPr>
              <w:pStyle w:val="Celda"/>
            </w:pPr>
          </w:p>
        </w:tc>
      </w:tr>
      <w:tr>
        <w:tc>
          <w:tcPr>
            <w:tcW w:w="2410" w:type="dxa"/>
          </w:tcPr>
          <w:p>
            <w:pPr>
              <w:pStyle w:val="Celda"/>
            </w:pPr>
            <w:r>
              <w:t xml:space="preserve">Cada proveedor de IA con nivel N2 o N3</w:t>
            </w:r>
          </w:p>
        </w:tc>
        <w:tc>
          <w:tcPr>
            <w:tcW w:w="2410" w:type="dxa"/>
          </w:tcPr>
          <w:p>
            <w:pPr>
              <w:pStyle w:val="Celda"/>
            </w:pPr>
            <w:r>
              <w:t xml:space="preserve">T09</w:t>
            </w:r>
          </w:p>
        </w:tc>
        <w:tc>
          <w:tcPr>
            <w:tcW w:w="2410" w:type="dxa"/>
          </w:tcPr>
          <w:p>
            <w:pPr>
              <w:pStyle w:val="Celda"/>
            </w:pPr>
          </w:p>
        </w:tc>
        <w:tc>
          <w:tcPr>
            <w:tcW w:w="2410" w:type="dxa"/>
          </w:tcPr>
          <w:p>
            <w:pPr>
              <w:pStyle w:val="Celda"/>
            </w:pPr>
          </w:p>
        </w:tc>
      </w:tr>
      <w:tr>
        <w:tc>
          <w:tcPr>
            <w:tcW w:w="2410" w:type="dxa"/>
          </w:tcPr>
          <w:p>
            <w:pPr>
              <w:pStyle w:val="Celda"/>
            </w:pPr>
            <w:r>
              <w:t xml:space="preserve">Procesos del marco: ciclo corporativo, gestión de cartera, inventario, riesgos, medición, no conformidades, políticas y alfabetización</w:t>
            </w:r>
          </w:p>
        </w:tc>
        <w:tc>
          <w:tcPr>
            <w:tcW w:w="2410" w:type="dxa"/>
          </w:tcPr>
          <w:p>
            <w:pPr>
              <w:pStyle w:val="Celda"/>
            </w:pPr>
            <w:r>
              <w:t xml:space="preserve">Documentos 01, 14, 31, 32, 33, 37 y 40</w:t>
            </w:r>
          </w:p>
        </w:tc>
        <w:tc>
          <w:tcPr>
            <w:tcW w:w="2410" w:type="dxa"/>
          </w:tcPr>
          <w:p>
            <w:pPr>
              <w:pStyle w:val="Celda"/>
            </w:pPr>
          </w:p>
        </w:tc>
        <w:tc>
          <w:tcPr>
            <w:tcW w:w="2410" w:type="dxa"/>
          </w:tcPr>
          <w:p>
            <w:pPr>
              <w:pStyle w:val="Celda"/>
            </w:pPr>
          </w:p>
        </w:tc>
      </w:tr>
      <w:tr>
        <w:tc>
          <w:tcPr>
            <w:tcW w:w="2410" w:type="dxa"/>
          </w:tcPr>
          <w:p>
            <w:pPr>
              <w:pStyle w:val="Celda"/>
            </w:pPr>
            <w:r>
              <w:t xml:space="preserve">Temas transversales identificados por la segunda línea o por incidentes</w:t>
            </w:r>
          </w:p>
        </w:tc>
        <w:tc>
          <w:tcPr>
            <w:tcW w:w="2410" w:type="dxa"/>
          </w:tcPr>
          <w:p>
            <w:pPr>
              <w:pStyle w:val="Celda"/>
            </w:pPr>
            <w:r>
              <w:t xml:space="preserve">Informes de riesgos; T08</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4. Puntuación de prioridad</w:t>
      </w:r>
    </w:p>
    <w:p>
      <w:pPr>
        <w:pStyle w:val="Heading2"/>
      </w:pPr>
      <w:r>
        <w:t xml:space="preserve">4.1 Factores</w:t>
      </w:r>
    </w:p>
    <w:p>
      <w:r>
        <w:t xml:space="preserve">Cada sistema del universo se puntúa de 1 a 3 en nueve factores (38 §5.2).</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Nº</w:t>
            </w:r>
          </w:p>
        </w:tc>
        <w:tc>
          <w:tcPr>
            <w:tcW w:w="1928" w:type="dxa"/>
            <w:shd w:val="clear" w:color="auto" w:fill="F2DFCE"/>
          </w:tcPr>
          <w:p>
            <w:pPr>
              <w:pStyle w:val="Celda"/>
            </w:pPr>
            <w:r>
              <w:rPr>
                <w:b/>
              </w:rPr>
              <w:t xml:space="preserve">Factor</w:t>
            </w:r>
          </w:p>
        </w:tc>
        <w:tc>
          <w:tcPr>
            <w:tcW w:w="1928" w:type="dxa"/>
            <w:shd w:val="clear" w:color="auto" w:fill="F2DFCE"/>
          </w:tcPr>
          <w:p>
            <w:pPr>
              <w:pStyle w:val="Celda"/>
            </w:pPr>
            <w:r>
              <w:rPr>
                <w:b/>
              </w:rPr>
              <w:t xml:space="preserve">1</w:t>
            </w:r>
          </w:p>
        </w:tc>
        <w:tc>
          <w:tcPr>
            <w:tcW w:w="1928" w:type="dxa"/>
            <w:shd w:val="clear" w:color="auto" w:fill="F2DFCE"/>
          </w:tcPr>
          <w:p>
            <w:pPr>
              <w:pStyle w:val="Celda"/>
            </w:pPr>
            <w:r>
              <w:rPr>
                <w:b/>
              </w:rPr>
              <w:t xml:space="preserve">2</w:t>
            </w:r>
          </w:p>
        </w:tc>
        <w:tc>
          <w:tcPr>
            <w:tcW w:w="1928" w:type="dxa"/>
            <w:shd w:val="clear" w:color="auto" w:fill="F2DFCE"/>
          </w:tcPr>
          <w:p>
            <w:pPr>
              <w:pStyle w:val="Celda"/>
            </w:pPr>
            <w:r>
              <w:rPr>
                <w:b/>
              </w:rPr>
              <w:t xml:space="preserve">3</w:t>
            </w:r>
          </w:p>
        </w:tc>
      </w:tr>
      <w:tr>
        <w:tc>
          <w:tcPr>
            <w:tcW w:w="1928" w:type="dxa"/>
          </w:tcPr>
          <w:p>
            <w:pPr>
              <w:pStyle w:val="Celda"/>
            </w:pPr>
            <w:r>
              <w:t xml:space="preserve">F1</w:t>
            </w:r>
          </w:p>
        </w:tc>
        <w:tc>
          <w:tcPr>
            <w:tcW w:w="1928" w:type="dxa"/>
          </w:tcPr>
          <w:p>
            <w:pPr>
              <w:pStyle w:val="Celda"/>
            </w:pPr>
            <w:r>
              <w:t xml:space="preserve">Clasificación regulatoria</w:t>
            </w:r>
          </w:p>
        </w:tc>
        <w:tc>
          <w:tcPr>
            <w:tcW w:w="1928" w:type="dxa"/>
          </w:tcPr>
          <w:p>
            <w:pPr>
              <w:pStyle w:val="Celda"/>
            </w:pPr>
            <w:r>
              <w:t xml:space="preserve">Riesgo mínimo o fuera de ámbito</w:t>
            </w:r>
          </w:p>
        </w:tc>
        <w:tc>
          <w:tcPr>
            <w:tcW w:w="1928" w:type="dxa"/>
          </w:tcPr>
          <w:p>
            <w:pPr>
              <w:pStyle w:val="Celda"/>
            </w:pPr>
            <w:r>
              <w:t xml:space="preserve">Obligaciones de transparencia o excepción del artículo 6.3</w:t>
            </w:r>
          </w:p>
        </w:tc>
        <w:tc>
          <w:tcPr>
            <w:tcW w:w="1928" w:type="dxa"/>
          </w:tcPr>
          <w:p>
            <w:pPr>
              <w:pStyle w:val="Celda"/>
            </w:pPr>
            <w:r>
              <w:t xml:space="preserve">Alto riesgo</w:t>
            </w:r>
          </w:p>
        </w:tc>
      </w:tr>
      <w:tr>
        <w:tc>
          <w:tcPr>
            <w:tcW w:w="1928" w:type="dxa"/>
          </w:tcPr>
          <w:p>
            <w:pPr>
              <w:pStyle w:val="Celda"/>
            </w:pPr>
            <w:r>
              <w:t xml:space="preserve">F2</w:t>
            </w:r>
          </w:p>
        </w:tc>
        <w:tc>
          <w:tcPr>
            <w:tcW w:w="1928" w:type="dxa"/>
          </w:tcPr>
          <w:p>
            <w:pPr>
              <w:pStyle w:val="Celda"/>
            </w:pPr>
            <w:r>
              <w:t xml:space="preserve">Intensidad</w:t>
            </w:r>
          </w:p>
        </w:tc>
        <w:tc>
          <w:tcPr>
            <w:tcW w:w="1928" w:type="dxa"/>
          </w:tcPr>
          <w:p>
            <w:pPr>
              <w:pStyle w:val="Celda"/>
            </w:pPr>
            <w:r>
              <w:t xml:space="preserve">Lite</w:t>
            </w:r>
          </w:p>
        </w:tc>
        <w:tc>
          <w:tcPr>
            <w:tcW w:w="1928" w:type="dxa"/>
          </w:tcPr>
          <w:p>
            <w:pPr>
              <w:pStyle w:val="Celda"/>
            </w:pPr>
            <w:r>
              <w:t xml:space="preserve">—</w:t>
            </w:r>
          </w:p>
        </w:tc>
        <w:tc>
          <w:tcPr>
            <w:tcW w:w="1928" w:type="dxa"/>
          </w:tcPr>
          <w:p>
            <w:pPr>
              <w:pStyle w:val="Celda"/>
            </w:pPr>
            <w:r>
              <w:t xml:space="preserve">Enterprise</w:t>
            </w:r>
          </w:p>
        </w:tc>
      </w:tr>
      <w:tr>
        <w:tc>
          <w:tcPr>
            <w:tcW w:w="1928" w:type="dxa"/>
          </w:tcPr>
          <w:p>
            <w:pPr>
              <w:pStyle w:val="Celda"/>
            </w:pPr>
            <w:r>
              <w:t xml:space="preserve">F3</w:t>
            </w:r>
          </w:p>
        </w:tc>
        <w:tc>
          <w:tcPr>
            <w:tcW w:w="1928" w:type="dxa"/>
          </w:tcPr>
          <w:p>
            <w:pPr>
              <w:pStyle w:val="Celda"/>
            </w:pPr>
            <w:r>
              <w:t xml:space="preserve">Autonomía</w:t>
            </w:r>
          </w:p>
        </w:tc>
        <w:tc>
          <w:tcPr>
            <w:tcW w:w="1928" w:type="dxa"/>
          </w:tcPr>
          <w:p>
            <w:pPr>
              <w:pStyle w:val="Celda"/>
            </w:pPr>
            <w:r>
              <w:t xml:space="preserve">A0</w:t>
            </w:r>
          </w:p>
        </w:tc>
        <w:tc>
          <w:tcPr>
            <w:tcW w:w="1928" w:type="dxa"/>
          </w:tcPr>
          <w:p>
            <w:pPr>
              <w:pStyle w:val="Celda"/>
            </w:pPr>
            <w:r>
              <w:t xml:space="preserve">A1</w:t>
            </w:r>
          </w:p>
        </w:tc>
        <w:tc>
          <w:tcPr>
            <w:tcW w:w="1928" w:type="dxa"/>
          </w:tcPr>
          <w:p>
            <w:pPr>
              <w:pStyle w:val="Celda"/>
            </w:pPr>
            <w:r>
              <w:t xml:space="preserve">A2 o A3</w:t>
            </w:r>
          </w:p>
        </w:tc>
      </w:tr>
      <w:tr>
        <w:tc>
          <w:tcPr>
            <w:tcW w:w="1928" w:type="dxa"/>
          </w:tcPr>
          <w:p>
            <w:pPr>
              <w:pStyle w:val="Celda"/>
            </w:pPr>
            <w:r>
              <w:t xml:space="preserve">F4</w:t>
            </w:r>
          </w:p>
        </w:tc>
        <w:tc>
          <w:tcPr>
            <w:tcW w:w="1928" w:type="dxa"/>
          </w:tcPr>
          <w:p>
            <w:pPr>
              <w:pStyle w:val="Celda"/>
            </w:pPr>
            <w:r>
              <w:t xml:space="preserve">Exposición</w:t>
            </w:r>
          </w:p>
        </w:tc>
        <w:tc>
          <w:tcPr>
            <w:tcW w:w="1928" w:type="dxa"/>
          </w:tcPr>
          <w:p>
            <w:pPr>
              <w:pStyle w:val="Celda"/>
            </w:pPr>
            <w:r>
              <w:t xml:space="preserve">Interna</w:t>
            </w:r>
          </w:p>
        </w:tc>
        <w:tc>
          <w:tcPr>
            <w:tcW w:w="1928" w:type="dxa"/>
          </w:tcPr>
          <w:p>
            <w:pPr>
              <w:pStyle w:val="Celda"/>
            </w:pPr>
            <w:r>
              <w:t xml:space="preserve">Empleados o clientes indirectamente</w:t>
            </w:r>
          </w:p>
        </w:tc>
        <w:tc>
          <w:tcPr>
            <w:tcW w:w="1928" w:type="dxa"/>
          </w:tcPr>
          <w:p>
            <w:pPr>
              <w:pStyle w:val="Celda"/>
            </w:pPr>
            <w:r>
              <w:t xml:space="preserve">Clientes o personas externas directamente</w:t>
            </w:r>
          </w:p>
        </w:tc>
      </w:tr>
      <w:tr>
        <w:tc>
          <w:tcPr>
            <w:tcW w:w="1928" w:type="dxa"/>
          </w:tcPr>
          <w:p>
            <w:pPr>
              <w:pStyle w:val="Celda"/>
            </w:pPr>
            <w:r>
              <w:t xml:space="preserve">F5</w:t>
            </w:r>
          </w:p>
        </w:tc>
        <w:tc>
          <w:tcPr>
            <w:tcW w:w="1928" w:type="dxa"/>
          </w:tcPr>
          <w:p>
            <w:pPr>
              <w:pStyle w:val="Celda"/>
            </w:pPr>
            <w:r>
              <w:t xml:space="preserve">Riesgo residual principal</w:t>
            </w:r>
          </w:p>
        </w:tc>
        <w:tc>
          <w:tcPr>
            <w:tcW w:w="1928" w:type="dxa"/>
          </w:tcPr>
          <w:p>
            <w:pPr>
              <w:pStyle w:val="Celda"/>
            </w:pPr>
            <w:r>
              <w:t xml:space="preserve">Bajo</w:t>
            </w:r>
          </w:p>
        </w:tc>
        <w:tc>
          <w:tcPr>
            <w:tcW w:w="1928" w:type="dxa"/>
          </w:tcPr>
          <w:p>
            <w:pPr>
              <w:pStyle w:val="Celda"/>
            </w:pPr>
            <w:r>
              <w:t xml:space="preserve">Medio</w:t>
            </w:r>
          </w:p>
        </w:tc>
        <w:tc>
          <w:tcPr>
            <w:tcW w:w="1928" w:type="dxa"/>
          </w:tcPr>
          <w:p>
            <w:pPr>
              <w:pStyle w:val="Celda"/>
            </w:pPr>
            <w:r>
              <w:t xml:space="preserve">Alto o Crítico</w:t>
            </w:r>
          </w:p>
        </w:tc>
      </w:tr>
      <w:tr>
        <w:tc>
          <w:tcPr>
            <w:tcW w:w="1928" w:type="dxa"/>
          </w:tcPr>
          <w:p>
            <w:pPr>
              <w:pStyle w:val="Celda"/>
            </w:pPr>
            <w:r>
              <w:t xml:space="preserve">F6</w:t>
            </w:r>
          </w:p>
        </w:tc>
        <w:tc>
          <w:tcPr>
            <w:tcW w:w="1928" w:type="dxa"/>
          </w:tcPr>
          <w:p>
            <w:pPr>
              <w:pStyle w:val="Celda"/>
            </w:pPr>
            <w:r>
              <w:t xml:space="preserve">Incidentes y no conformidades en 12 meses</w:t>
            </w:r>
          </w:p>
        </w:tc>
        <w:tc>
          <w:tcPr>
            <w:tcW w:w="1928" w:type="dxa"/>
          </w:tcPr>
          <w:p>
            <w:pPr>
              <w:pStyle w:val="Celda"/>
            </w:pPr>
            <w:r>
              <w:t xml:space="preserve">Ninguno</w:t>
            </w:r>
          </w:p>
        </w:tc>
        <w:tc>
          <w:tcPr>
            <w:tcW w:w="1928" w:type="dxa"/>
          </w:tcPr>
          <w:p>
            <w:pPr>
              <w:pStyle w:val="Celda"/>
            </w:pPr>
            <w:r>
              <w:t xml:space="preserve">S3–S4 o no conformidades menores</w:t>
            </w:r>
          </w:p>
        </w:tc>
        <w:tc>
          <w:tcPr>
            <w:tcW w:w="1928" w:type="dxa"/>
          </w:tcPr>
          <w:p>
            <w:pPr>
              <w:pStyle w:val="Celda"/>
            </w:pPr>
            <w:r>
              <w:t xml:space="preserve">S1–S2 o no conformidades mayores o críticas</w:t>
            </w:r>
          </w:p>
        </w:tc>
      </w:tr>
      <w:tr>
        <w:tc>
          <w:tcPr>
            <w:tcW w:w="1928" w:type="dxa"/>
          </w:tcPr>
          <w:p>
            <w:pPr>
              <w:pStyle w:val="Celda"/>
            </w:pPr>
            <w:r>
              <w:t xml:space="preserve">F7</w:t>
            </w:r>
          </w:p>
        </w:tc>
        <w:tc>
          <w:tcPr>
            <w:tcW w:w="1928" w:type="dxa"/>
          </w:tcPr>
          <w:p>
            <w:pPr>
              <w:pStyle w:val="Celda"/>
            </w:pPr>
            <w:r>
              <w:t xml:space="preserve">Cambios relevantes desde la última auditoría</w:t>
            </w:r>
          </w:p>
        </w:tc>
        <w:tc>
          <w:tcPr>
            <w:tcW w:w="1928" w:type="dxa"/>
          </w:tcPr>
          <w:p>
            <w:pPr>
              <w:pStyle w:val="Celda"/>
            </w:pPr>
            <w:r>
              <w:t xml:space="preserve">Ninguno</w:t>
            </w:r>
          </w:p>
        </w:tc>
        <w:tc>
          <w:tcPr>
            <w:tcW w:w="1928" w:type="dxa"/>
          </w:tcPr>
          <w:p>
            <w:pPr>
              <w:pStyle w:val="Celda"/>
            </w:pPr>
            <w:r>
              <w:t xml:space="preserve">Cambios menores</w:t>
            </w:r>
          </w:p>
        </w:tc>
        <w:tc>
          <w:tcPr>
            <w:tcW w:w="1928" w:type="dxa"/>
          </w:tcPr>
          <w:p>
            <w:pPr>
              <w:pStyle w:val="Celda"/>
            </w:pPr>
            <w:r>
              <w:t xml:space="preserve">Nuevo modelo, proveedor, finalidad, datos o autonomía</w:t>
            </w:r>
          </w:p>
        </w:tc>
      </w:tr>
      <w:tr>
        <w:tc>
          <w:tcPr>
            <w:tcW w:w="1928" w:type="dxa"/>
          </w:tcPr>
          <w:p>
            <w:pPr>
              <w:pStyle w:val="Celda"/>
            </w:pPr>
            <w:r>
              <w:t xml:space="preserve">F8</w:t>
            </w:r>
          </w:p>
        </w:tc>
        <w:tc>
          <w:tcPr>
            <w:tcW w:w="1928" w:type="dxa"/>
          </w:tcPr>
          <w:p>
            <w:pPr>
              <w:pStyle w:val="Celda"/>
            </w:pPr>
            <w:r>
              <w:t xml:space="preserve">Materialidad económica (coste recurrente o valor declarado)</w:t>
            </w:r>
          </w:p>
        </w:tc>
        <w:tc>
          <w:tcPr>
            <w:tcW w:w="1928" w:type="dxa"/>
          </w:tcPr>
          <w:p>
            <w:pPr>
              <w:pStyle w:val="Celda"/>
            </w:pPr>
            <w:r>
              <w:t xml:space="preserve">Baja según umbral C2</w:t>
            </w:r>
          </w:p>
        </w:tc>
        <w:tc>
          <w:tcPr>
            <w:tcW w:w="1928" w:type="dxa"/>
          </w:tcPr>
          <w:p>
            <w:pPr>
              <w:pStyle w:val="Celda"/>
            </w:pPr>
            <w:r>
              <w:t xml:space="preserve">Media</w:t>
            </w:r>
          </w:p>
        </w:tc>
        <w:tc>
          <w:tcPr>
            <w:tcW w:w="1928" w:type="dxa"/>
          </w:tcPr>
          <w:p>
            <w:pPr>
              <w:pStyle w:val="Celda"/>
            </w:pPr>
            <w:r>
              <w:t xml:space="preserve">Alta</w:t>
            </w:r>
          </w:p>
        </w:tc>
      </w:tr>
      <w:tr>
        <w:tc>
          <w:tcPr>
            <w:tcW w:w="1928" w:type="dxa"/>
          </w:tcPr>
          <w:p>
            <w:pPr>
              <w:pStyle w:val="Celda"/>
            </w:pPr>
            <w:r>
              <w:t xml:space="preserve">F9</w:t>
            </w:r>
          </w:p>
        </w:tc>
        <w:tc>
          <w:tcPr>
            <w:tcW w:w="1928" w:type="dxa"/>
          </w:tcPr>
          <w:p>
            <w:pPr>
              <w:pStyle w:val="Celda"/>
            </w:pPr>
            <w:r>
              <w:t xml:space="preserve">Tiempo desde la última auditoría</w:t>
            </w:r>
          </w:p>
        </w:tc>
        <w:tc>
          <w:tcPr>
            <w:tcW w:w="1928" w:type="dxa"/>
          </w:tcPr>
          <w:p>
            <w:pPr>
              <w:pStyle w:val="Celda"/>
            </w:pPr>
            <w:r>
              <w:t xml:space="preserve">Menos de 12 meses</w:t>
            </w:r>
          </w:p>
        </w:tc>
        <w:tc>
          <w:tcPr>
            <w:tcW w:w="1928" w:type="dxa"/>
          </w:tcPr>
          <w:p>
            <w:pPr>
              <w:pStyle w:val="Celda"/>
            </w:pPr>
            <w:r>
              <w:t xml:space="preserve">12–24 meses</w:t>
            </w:r>
          </w:p>
        </w:tc>
        <w:tc>
          <w:tcPr>
            <w:tcW w:w="1928" w:type="dxa"/>
          </w:tcPr>
          <w:p>
            <w:pPr>
              <w:pStyle w:val="Celda"/>
            </w:pPr>
            <w:r>
              <w:t xml:space="preserve">Más de 24 meses o nunca</w:t>
            </w:r>
          </w:p>
        </w:tc>
      </w:tr>
    </w:tbl>
    <w:p>
      <w:pPr>
        <w:pStyle w:val="Espacio"/>
      </w:pPr>
    </w:p>
    <w:p>
      <w:r>
        <w:t xml:space="preserve">Ajustes de la compañía a la tabla (si los hay) y motivo: ______.</w:t>
      </w:r>
    </w:p>
    <w:p>
      <w:pPr>
        <w:pStyle w:val="Heading2"/>
      </w:pPr>
      <w:r>
        <w:t xml:space="preserve">4.2 Puntuación por unidad</w:t>
      </w:r>
    </w:p>
    <w:p>
      <w:r>
        <w:rPr>
          <w:b/>
        </w:rPr>
        <w:t xml:space="preserve">Puntuación</w:t>
      </w:r>
      <w:r>
        <w:t xml:space="preserve"> = F1 + F2 + … + F9 (de 9 a 27). </w:t>
      </w:r>
      <w:r>
        <w:rPr>
          <w:b/>
        </w:rPr>
        <w:t xml:space="preserve">Prioridad</w:t>
      </w:r>
      <w:r>
        <w:t xml:space="preserve">: </w:t>
      </w:r>
      <w:r>
        <w:rPr>
          <w:b/>
        </w:rPr>
        <w:t xml:space="preserve">Alta</w:t>
      </w:r>
      <w:r>
        <w:t xml:space="preserve"> 21–27, o prioridad forzada · </w:t>
      </w:r>
      <w:r>
        <w:rPr>
          <w:b/>
        </w:rPr>
        <w:t xml:space="preserve">Media</w:t>
      </w:r>
      <w:r>
        <w:t xml:space="preserve"> 15–20 · </w:t>
      </w:r>
      <w:r>
        <w:rPr>
          <w:b/>
        </w:rPr>
        <w:t xml:space="preserve">Baja</w:t>
      </w:r>
      <w:r>
        <w:t xml:space="preserve"> 9–14.</w:t>
      </w:r>
    </w:p>
    <w:tbl>
      <w:tblPr>
        <w:tblStyle w:val="TablaSG"/>
        <w:tblW w:w="5000" w:type="pct"/>
        <w:tblLayout w:type="autofit"/>
        <w:tblLook w:val="04A0" w:firstRow="1" w:lastRow="0" w:firstColumn="0" w:lastColumn="0" w:noHBand="1" w:noVBand="1"/>
      </w:tblPr>
      <w:tblGrid>
        <w:gridCol w:w="688"/>
        <w:gridCol w:w="688"/>
        <w:gridCol w:w="688"/>
        <w:gridCol w:w="688"/>
        <w:gridCol w:w="688"/>
        <w:gridCol w:w="688"/>
        <w:gridCol w:w="688"/>
        <w:gridCol w:w="688"/>
        <w:gridCol w:w="688"/>
        <w:gridCol w:w="688"/>
        <w:gridCol w:w="688"/>
        <w:gridCol w:w="688"/>
        <w:gridCol w:w="688"/>
        <w:gridCol w:w="688"/>
      </w:tblGrid>
      <w:tr>
        <w:trPr>
          <w:tblHeader/>
        </w:trPr>
        <w:tc>
          <w:tcPr>
            <w:tcW w:w="688" w:type="dxa"/>
            <w:shd w:val="clear" w:color="auto" w:fill="F2DFCE"/>
          </w:tcPr>
          <w:p>
            <w:pPr>
              <w:pStyle w:val="Celda"/>
            </w:pPr>
            <w:r>
              <w:rPr>
                <w:b/>
              </w:rPr>
              <w:t xml:space="preserve">Nº</w:t>
            </w:r>
          </w:p>
        </w:tc>
        <w:tc>
          <w:tcPr>
            <w:tcW w:w="688" w:type="dxa"/>
            <w:shd w:val="clear" w:color="auto" w:fill="F2DFCE"/>
          </w:tcPr>
          <w:p>
            <w:pPr>
              <w:pStyle w:val="Celda"/>
            </w:pPr>
            <w:r>
              <w:rPr>
                <w:b/>
              </w:rPr>
              <w:t xml:space="preserve">F1</w:t>
            </w:r>
          </w:p>
        </w:tc>
        <w:tc>
          <w:tcPr>
            <w:tcW w:w="688" w:type="dxa"/>
            <w:shd w:val="clear" w:color="auto" w:fill="F2DFCE"/>
          </w:tcPr>
          <w:p>
            <w:pPr>
              <w:pStyle w:val="Celda"/>
            </w:pPr>
            <w:r>
              <w:rPr>
                <w:b/>
              </w:rPr>
              <w:t xml:space="preserve">F2</w:t>
            </w:r>
          </w:p>
        </w:tc>
        <w:tc>
          <w:tcPr>
            <w:tcW w:w="688" w:type="dxa"/>
            <w:shd w:val="clear" w:color="auto" w:fill="F2DFCE"/>
          </w:tcPr>
          <w:p>
            <w:pPr>
              <w:pStyle w:val="Celda"/>
            </w:pPr>
            <w:r>
              <w:rPr>
                <w:b/>
              </w:rPr>
              <w:t xml:space="preserve">F3</w:t>
            </w:r>
          </w:p>
        </w:tc>
        <w:tc>
          <w:tcPr>
            <w:tcW w:w="688" w:type="dxa"/>
            <w:shd w:val="clear" w:color="auto" w:fill="F2DFCE"/>
          </w:tcPr>
          <w:p>
            <w:pPr>
              <w:pStyle w:val="Celda"/>
            </w:pPr>
            <w:r>
              <w:rPr>
                <w:b/>
              </w:rPr>
              <w:t xml:space="preserve">F4</w:t>
            </w:r>
          </w:p>
        </w:tc>
        <w:tc>
          <w:tcPr>
            <w:tcW w:w="688" w:type="dxa"/>
            <w:shd w:val="clear" w:color="auto" w:fill="F2DFCE"/>
          </w:tcPr>
          <w:p>
            <w:pPr>
              <w:pStyle w:val="Celda"/>
            </w:pPr>
            <w:r>
              <w:rPr>
                <w:b/>
              </w:rPr>
              <w:t xml:space="preserve">F5</w:t>
            </w:r>
          </w:p>
        </w:tc>
        <w:tc>
          <w:tcPr>
            <w:tcW w:w="688" w:type="dxa"/>
            <w:shd w:val="clear" w:color="auto" w:fill="F2DFCE"/>
          </w:tcPr>
          <w:p>
            <w:pPr>
              <w:pStyle w:val="Celda"/>
            </w:pPr>
            <w:r>
              <w:rPr>
                <w:b/>
              </w:rPr>
              <w:t xml:space="preserve">F6</w:t>
            </w:r>
          </w:p>
        </w:tc>
        <w:tc>
          <w:tcPr>
            <w:tcW w:w="688" w:type="dxa"/>
            <w:shd w:val="clear" w:color="auto" w:fill="F2DFCE"/>
          </w:tcPr>
          <w:p>
            <w:pPr>
              <w:pStyle w:val="Celda"/>
            </w:pPr>
            <w:r>
              <w:rPr>
                <w:b/>
              </w:rPr>
              <w:t xml:space="preserve">F7</w:t>
            </w:r>
          </w:p>
        </w:tc>
        <w:tc>
          <w:tcPr>
            <w:tcW w:w="688" w:type="dxa"/>
            <w:shd w:val="clear" w:color="auto" w:fill="F2DFCE"/>
          </w:tcPr>
          <w:p>
            <w:pPr>
              <w:pStyle w:val="Celda"/>
            </w:pPr>
            <w:r>
              <w:rPr>
                <w:b/>
              </w:rPr>
              <w:t xml:space="preserve">F8</w:t>
            </w:r>
          </w:p>
        </w:tc>
        <w:tc>
          <w:tcPr>
            <w:tcW w:w="688" w:type="dxa"/>
            <w:shd w:val="clear" w:color="auto" w:fill="F2DFCE"/>
          </w:tcPr>
          <w:p>
            <w:pPr>
              <w:pStyle w:val="Celda"/>
            </w:pPr>
            <w:r>
              <w:rPr>
                <w:b/>
              </w:rPr>
              <w:t xml:space="preserve">F9</w:t>
            </w:r>
          </w:p>
        </w:tc>
        <w:tc>
          <w:tcPr>
            <w:tcW w:w="688" w:type="dxa"/>
            <w:shd w:val="clear" w:color="auto" w:fill="F2DFCE"/>
          </w:tcPr>
          <w:p>
            <w:pPr>
              <w:pStyle w:val="Celda"/>
            </w:pPr>
            <w:r>
              <w:rPr>
                <w:b/>
              </w:rPr>
              <w:t xml:space="preserve">Puntuación</w:t>
            </w:r>
          </w:p>
        </w:tc>
        <w:tc>
          <w:tcPr>
            <w:tcW w:w="688" w:type="dxa"/>
            <w:shd w:val="clear" w:color="auto" w:fill="F2DFCE"/>
          </w:tcPr>
          <w:p>
            <w:pPr>
              <w:pStyle w:val="Celda"/>
            </w:pPr>
            <w:r>
              <w:rPr>
                <w:b/>
              </w:rPr>
              <w:t xml:space="preserve">Prioridad forzada (Sí · No)</w:t>
            </w:r>
          </w:p>
        </w:tc>
        <w:tc>
          <w:tcPr>
            <w:tcW w:w="688" w:type="dxa"/>
            <w:shd w:val="clear" w:color="auto" w:fill="F2DFCE"/>
          </w:tcPr>
          <w:p>
            <w:pPr>
              <w:pStyle w:val="Celda"/>
            </w:pPr>
            <w:r>
              <w:rPr>
                <w:b/>
              </w:rPr>
              <w:t xml:space="preserve">Prioridad</w:t>
            </w:r>
          </w:p>
        </w:tc>
        <w:tc>
          <w:tcPr>
            <w:tcW w:w="688" w:type="dxa"/>
            <w:shd w:val="clear" w:color="auto" w:fill="F2DFCE"/>
          </w:tcPr>
          <w:p>
            <w:pPr>
              <w:pStyle w:val="Celda"/>
            </w:pPr>
            <w:r>
              <w:rPr>
                <w:b/>
              </w:rPr>
              <w:t xml:space="preserve">Cobertura exigida</w:t>
            </w:r>
          </w:p>
        </w:tc>
      </w:tr>
      <w:tr>
        <w:tc>
          <w:tcPr>
            <w:tcW w:w="688" w:type="dxa"/>
          </w:tcPr>
          <w:p>
            <w:pPr>
              <w:pStyle w:val="Celda"/>
            </w:pPr>
            <w:r>
              <w:t xml:space="preserve">U01</w:t>
            </w: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r>
              <w:t xml:space="preserve">Alta · Media · Baja</w:t>
            </w:r>
          </w:p>
        </w:tc>
        <w:tc>
          <w:tcPr>
            <w:tcW w:w="688" w:type="dxa"/>
          </w:tcPr>
          <w:p>
            <w:pPr>
              <w:pStyle w:val="Celda"/>
            </w:pPr>
          </w:p>
        </w:tc>
      </w:tr>
      <w:tr>
        <w:tc>
          <w:tcPr>
            <w:tcW w:w="688" w:type="dxa"/>
          </w:tcPr>
          <w:p>
            <w:pPr>
              <w:pStyle w:val="Celda"/>
            </w:pPr>
            <w:r>
              <w:t xml:space="preserve">U03</w:t>
            </w: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r>
      <w:tr>
        <w:tc>
          <w:tcPr>
            <w:tcW w:w="688" w:type="dxa"/>
          </w:tcPr>
          <w:p>
            <w:pPr>
              <w:pStyle w:val="Celda"/>
            </w:pPr>
            <w:r>
              <w:rPr>
                <w:i/>
              </w:rPr>
              <w:t xml:space="preserve">(ejemplo ilustrativo)</w:t>
            </w:r>
            <w:r>
              <w:t xml:space="preserve"> U01</w:t>
            </w:r>
          </w:p>
        </w:tc>
        <w:tc>
          <w:tcPr>
            <w:tcW w:w="688" w:type="dxa"/>
          </w:tcPr>
          <w:p>
            <w:pPr>
              <w:pStyle w:val="Celda"/>
            </w:pPr>
            <w:r>
              <w:t xml:space="preserve">2</w:t>
            </w:r>
          </w:p>
        </w:tc>
        <w:tc>
          <w:tcPr>
            <w:tcW w:w="688" w:type="dxa"/>
          </w:tcPr>
          <w:p>
            <w:pPr>
              <w:pStyle w:val="Celda"/>
            </w:pPr>
            <w:r>
              <w:t xml:space="preserve">3</w:t>
            </w:r>
          </w:p>
        </w:tc>
        <w:tc>
          <w:tcPr>
            <w:tcW w:w="688" w:type="dxa"/>
          </w:tcPr>
          <w:p>
            <w:pPr>
              <w:pStyle w:val="Celda"/>
            </w:pPr>
            <w:r>
              <w:t xml:space="preserve">1</w:t>
            </w:r>
          </w:p>
        </w:tc>
        <w:tc>
          <w:tcPr>
            <w:tcW w:w="688" w:type="dxa"/>
          </w:tcPr>
          <w:p>
            <w:pPr>
              <w:pStyle w:val="Celda"/>
            </w:pPr>
            <w:r>
              <w:t xml:space="preserve">3</w:t>
            </w:r>
          </w:p>
        </w:tc>
        <w:tc>
          <w:tcPr>
            <w:tcW w:w="688" w:type="dxa"/>
          </w:tcPr>
          <w:p>
            <w:pPr>
              <w:pStyle w:val="Celda"/>
            </w:pPr>
            <w:r>
              <w:t xml:space="preserve">2</w:t>
            </w:r>
          </w:p>
        </w:tc>
        <w:tc>
          <w:tcPr>
            <w:tcW w:w="688" w:type="dxa"/>
          </w:tcPr>
          <w:p>
            <w:pPr>
              <w:pStyle w:val="Celda"/>
            </w:pPr>
            <w:r>
              <w:t xml:space="preserve">2</w:t>
            </w:r>
          </w:p>
        </w:tc>
        <w:tc>
          <w:tcPr>
            <w:tcW w:w="688" w:type="dxa"/>
          </w:tcPr>
          <w:p>
            <w:pPr>
              <w:pStyle w:val="Celda"/>
            </w:pPr>
            <w:r>
              <w:t xml:space="preserve">3</w:t>
            </w:r>
          </w:p>
        </w:tc>
        <w:tc>
          <w:tcPr>
            <w:tcW w:w="688" w:type="dxa"/>
          </w:tcPr>
          <w:p>
            <w:pPr>
              <w:pStyle w:val="Celda"/>
            </w:pPr>
            <w:r>
              <w:t xml:space="preserve">2</w:t>
            </w:r>
          </w:p>
        </w:tc>
        <w:tc>
          <w:tcPr>
            <w:tcW w:w="688" w:type="dxa"/>
          </w:tcPr>
          <w:p>
            <w:pPr>
              <w:pStyle w:val="Celda"/>
            </w:pPr>
            <w:r>
              <w:t xml:space="preserve">3</w:t>
            </w:r>
          </w:p>
        </w:tc>
        <w:tc>
          <w:tcPr>
            <w:tcW w:w="688" w:type="dxa"/>
          </w:tcPr>
          <w:p>
            <w:pPr>
              <w:pStyle w:val="Celda"/>
            </w:pPr>
            <w:r>
              <w:t xml:space="preserve">21</w:t>
            </w:r>
          </w:p>
        </w:tc>
        <w:tc>
          <w:tcPr>
            <w:tcW w:w="688" w:type="dxa"/>
          </w:tcPr>
          <w:p>
            <w:pPr>
              <w:pStyle w:val="Celda"/>
            </w:pPr>
            <w:r>
              <w:t xml:space="preserve">No</w:t>
            </w:r>
          </w:p>
        </w:tc>
        <w:tc>
          <w:tcPr>
            <w:tcW w:w="688" w:type="dxa"/>
          </w:tcPr>
          <w:p>
            <w:pPr>
              <w:pStyle w:val="Celda"/>
            </w:pPr>
            <w:r>
              <w:t xml:space="preserve">Alta</w:t>
            </w:r>
          </w:p>
        </w:tc>
        <w:tc>
          <w:tcPr>
            <w:tcW w:w="688" w:type="dxa"/>
          </w:tcPr>
          <w:p>
            <w:pPr>
              <w:pStyle w:val="Celda"/>
            </w:pPr>
            <w:r>
              <w:t xml:space="preserve">Continuidad en profundidad este ejercicio</w:t>
            </w:r>
          </w:p>
        </w:tc>
      </w:tr>
    </w:tbl>
    <w:p>
      <w:pPr>
        <w:pStyle w:val="Espacio"/>
      </w:pPr>
    </w:p>
    <w:p>
      <w:r>
        <w:t xml:space="preserve">En una hoja de cálculo, con los factores en las columnas B a J y la prioridad forzada en la columna L:</w:t>
      </w:r>
    </w:p>
    <w:p>
      <w:pPr>
        <w:pStyle w:val="Lista"/>
      </w:pPr>
      <w:r>
        <w:t xml:space="preserve">• Puntuación (K): </w:t>
      </w:r>
      <w:r>
        <w:rPr>
          <w:rFonts w:ascii="Consolas" w:hAnsi="Consolas"/>
          <w:sz w:val="18"/>
        </w:rPr>
        <w:t xml:space="preserve">=SUMA(B2:J2)</w:t>
      </w:r>
    </w:p>
    <w:p>
      <w:pPr>
        <w:pStyle w:val="Lista"/>
      </w:pPr>
      <w:r>
        <w:t xml:space="preserve">• Prioridad (M): </w:t>
      </w:r>
      <w:r>
        <w:rPr>
          <w:rFonts w:ascii="Consolas" w:hAnsi="Consolas"/>
          <w:sz w:val="18"/>
        </w:rPr>
        <w:t xml:space="preserve">=SI(O(L2="Sí";K2&gt;=21);"Alta";SI(K2&gt;=15;"Media";"Baja"))</w:t>
      </w:r>
    </w:p>
    <w:p>
      <w:r>
        <w:t xml:space="preserve">Cobertura orientativa por prioridad (38 §5.2):</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Prioridad</w:t>
            </w:r>
          </w:p>
        </w:tc>
        <w:tc>
          <w:tcPr>
            <w:tcW w:w="4819" w:type="dxa"/>
            <w:shd w:val="clear" w:color="auto" w:fill="F2DFCE"/>
          </w:tcPr>
          <w:p>
            <w:pPr>
              <w:pStyle w:val="Celda"/>
            </w:pPr>
            <w:r>
              <w:rPr>
                <w:b/>
              </w:rPr>
              <w:t xml:space="preserve">Cobertura</w:t>
            </w:r>
          </w:p>
        </w:tc>
      </w:tr>
      <w:tr>
        <w:tc>
          <w:tcPr>
            <w:tcW w:w="4819" w:type="dxa"/>
          </w:tcPr>
          <w:p>
            <w:pPr>
              <w:pStyle w:val="Celda"/>
            </w:pPr>
            <w:r>
              <w:rPr>
                <w:b/>
              </w:rPr>
              <w:t xml:space="preserve">Alta</w:t>
            </w:r>
          </w:p>
        </w:tc>
        <w:tc>
          <w:tcPr>
            <w:tcW w:w="4819" w:type="dxa"/>
          </w:tcPr>
          <w:p>
            <w:pPr>
              <w:pStyle w:val="Celda"/>
            </w:pPr>
            <w:r>
              <w:t xml:space="preserve">Auditoría de continuidad en profundidad al menos anual.</w:t>
            </w:r>
          </w:p>
        </w:tc>
      </w:tr>
      <w:tr>
        <w:tc>
          <w:tcPr>
            <w:tcW w:w="4819" w:type="dxa"/>
          </w:tcPr>
          <w:p>
            <w:pPr>
              <w:pStyle w:val="Celda"/>
            </w:pPr>
            <w:r>
              <w:rPr>
                <w:b/>
              </w:rPr>
              <w:t xml:space="preserve">Media</w:t>
            </w:r>
          </w:p>
        </w:tc>
        <w:tc>
          <w:tcPr>
            <w:tcW w:w="4819" w:type="dxa"/>
          </w:tcPr>
          <w:p>
            <w:pPr>
              <w:pStyle w:val="Celda"/>
            </w:pPr>
            <w:r>
              <w:t xml:space="preserve">Auditoría de continuidad al menos cada dos años; incluida en temáticas.</w:t>
            </w:r>
          </w:p>
        </w:tc>
      </w:tr>
      <w:tr>
        <w:tc>
          <w:tcPr>
            <w:tcW w:w="4819" w:type="dxa"/>
          </w:tcPr>
          <w:p>
            <w:pPr>
              <w:pStyle w:val="Celda"/>
            </w:pPr>
            <w:r>
              <w:rPr>
                <w:b/>
              </w:rPr>
              <w:t xml:space="preserve">Baja</w:t>
            </w:r>
          </w:p>
        </w:tc>
        <w:tc>
          <w:tcPr>
            <w:tcW w:w="4819" w:type="dxa"/>
          </w:tcPr>
          <w:p>
            <w:pPr>
              <w:pStyle w:val="Celda"/>
            </w:pPr>
            <w:r>
              <w:t xml:space="preserve">Por muestreo en temáticas o en la auditoría del marco; al menos cada tres años.</w:t>
            </w:r>
          </w:p>
        </w:tc>
      </w:tr>
    </w:tbl>
    <w:p>
      <w:pPr>
        <w:pStyle w:val="Espacio"/>
      </w:pPr>
    </w:p>
    <w:p>
      <w:r>
        <w:t xml:space="preserve">Los procesos del marco, los proveedores y los temas no se puntúan con esta tabla: los procesos se cubren con la auditoría anual del marco y los proveedores según su nivel N1–N3 (38 §4).</w:t>
      </w:r>
    </w:p>
    <w:p>
      <w:pPr>
        <w:pStyle w:val="Separador"/>
      </w:pPr>
    </w:p>
    <w:p>
      <w:pPr>
        <w:pStyle w:val="Heading1"/>
      </w:pPr>
      <w:r>
        <w:t xml:space="preserve">5. Plan de trabajos del ejercicio</w:t>
      </w:r>
    </w:p>
    <w:p>
      <w:pPr>
        <w:pStyle w:val="Heading2"/>
      </w:pPr>
      <w:r>
        <w:t xml:space="preserve">5.1 Cobertura por bloque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Bloque (38 §5.3)</w:t>
            </w:r>
          </w:p>
        </w:tc>
        <w:tc>
          <w:tcPr>
            <w:tcW w:w="2410" w:type="dxa"/>
            <w:shd w:val="clear" w:color="auto" w:fill="F2DFCE"/>
          </w:tcPr>
          <w:p>
            <w:pPr>
              <w:pStyle w:val="Celda"/>
            </w:pPr>
            <w:r>
              <w:rPr>
                <w:b/>
              </w:rPr>
              <w:t xml:space="preserve">Regla de cobertura</w:t>
            </w:r>
          </w:p>
        </w:tc>
        <w:tc>
          <w:tcPr>
            <w:tcW w:w="2410" w:type="dxa"/>
            <w:shd w:val="clear" w:color="auto" w:fill="F2DFCE"/>
          </w:tcPr>
          <w:p>
            <w:pPr>
              <w:pStyle w:val="Celda"/>
            </w:pPr>
            <w:r>
              <w:rPr>
                <w:b/>
              </w:rPr>
              <w:t xml:space="preserve">Trabajos planificados</w:t>
            </w:r>
          </w:p>
        </w:tc>
        <w:tc>
          <w:tcPr>
            <w:tcW w:w="2410" w:type="dxa"/>
            <w:shd w:val="clear" w:color="auto" w:fill="F2DFCE"/>
          </w:tcPr>
          <w:p>
            <w:pPr>
              <w:pStyle w:val="Celda"/>
            </w:pPr>
            <w:r>
              <w:rPr>
                <w:b/>
              </w:rPr>
              <w:t xml:space="preserve">¿Cumple la regla? (Sí · No)</w:t>
            </w:r>
          </w:p>
        </w:tc>
      </w:tr>
      <w:tr>
        <w:tc>
          <w:tcPr>
            <w:tcW w:w="2410" w:type="dxa"/>
          </w:tcPr>
          <w:p>
            <w:pPr>
              <w:pStyle w:val="Celda"/>
            </w:pPr>
            <w:r>
              <w:t xml:space="preserve">Auditorías de </w:t>
            </w:r>
            <w:r>
              <w:rPr>
                <w:i/>
              </w:rPr>
              <w:t xml:space="preserve">gate</w:t>
            </w:r>
            <w:r>
              <w:t xml:space="preserve"> Enterprise</w:t>
            </w:r>
          </w:p>
        </w:tc>
        <w:tc>
          <w:tcPr>
            <w:tcW w:w="2410" w:type="dxa"/>
          </w:tcPr>
          <w:p>
            <w:pPr>
              <w:pStyle w:val="Celda"/>
            </w:pPr>
            <w:r>
              <w:t xml:space="preserve">100 % de los </w:t>
            </w:r>
            <w:r>
              <w:rPr>
                <w:i/>
              </w:rPr>
              <w:t xml:space="preserve">gates</w:t>
            </w:r>
            <w:r>
              <w:t xml:space="preserve"> Enterprise planificados en T01</w:t>
            </w:r>
          </w:p>
        </w:tc>
        <w:tc>
          <w:tcPr>
            <w:tcW w:w="2410" w:type="dxa"/>
          </w:tcPr>
          <w:p>
            <w:pPr>
              <w:pStyle w:val="Celda"/>
            </w:pPr>
          </w:p>
        </w:tc>
        <w:tc>
          <w:tcPr>
            <w:tcW w:w="2410" w:type="dxa"/>
          </w:tcPr>
          <w:p>
            <w:pPr>
              <w:pStyle w:val="Celda"/>
            </w:pPr>
          </w:p>
        </w:tc>
      </w:tr>
      <w:tr>
        <w:tc>
          <w:tcPr>
            <w:tcW w:w="2410" w:type="dxa"/>
          </w:tcPr>
          <w:p>
            <w:pPr>
              <w:pStyle w:val="Celda"/>
            </w:pPr>
            <w:r>
              <w:t xml:space="preserve">Auditorías de </w:t>
            </w:r>
            <w:r>
              <w:rPr>
                <w:i/>
              </w:rPr>
              <w:t xml:space="preserve">gate</w:t>
            </w:r>
            <w:r>
              <w:t xml:space="preserve"> Lite</w:t>
            </w:r>
          </w:p>
        </w:tc>
        <w:tc>
          <w:tcPr>
            <w:tcW w:w="2410" w:type="dxa"/>
          </w:tcPr>
          <w:p>
            <w:pPr>
              <w:pStyle w:val="Celda"/>
            </w:pPr>
            <w:r>
              <w:t xml:space="preserve">Muestra de 21 §10.3</w:t>
            </w:r>
          </w:p>
        </w:tc>
        <w:tc>
          <w:tcPr>
            <w:tcW w:w="2410" w:type="dxa"/>
          </w:tcPr>
          <w:p>
            <w:pPr>
              <w:pStyle w:val="Celda"/>
            </w:pPr>
          </w:p>
        </w:tc>
        <w:tc>
          <w:tcPr>
            <w:tcW w:w="2410" w:type="dxa"/>
          </w:tcPr>
          <w:p>
            <w:pPr>
              <w:pStyle w:val="Celda"/>
            </w:pPr>
          </w:p>
        </w:tc>
      </w:tr>
      <w:tr>
        <w:tc>
          <w:tcPr>
            <w:tcW w:w="2410" w:type="dxa"/>
          </w:tcPr>
          <w:p>
            <w:pPr>
              <w:pStyle w:val="Celda"/>
            </w:pPr>
            <w:r>
              <w:t xml:space="preserve">Auditorías de continuidad</w:t>
            </w:r>
          </w:p>
        </w:tc>
        <w:tc>
          <w:tcPr>
            <w:tcW w:w="2410" w:type="dxa"/>
          </w:tcPr>
          <w:p>
            <w:pPr>
              <w:pStyle w:val="Celda"/>
            </w:pPr>
            <w:r>
              <w:t xml:space="preserve">Sistemas de prioridad Alta y los de Media que correspondan por rotación</w:t>
            </w:r>
          </w:p>
        </w:tc>
        <w:tc>
          <w:tcPr>
            <w:tcW w:w="2410" w:type="dxa"/>
          </w:tcPr>
          <w:p>
            <w:pPr>
              <w:pStyle w:val="Celda"/>
            </w:pPr>
          </w:p>
        </w:tc>
        <w:tc>
          <w:tcPr>
            <w:tcW w:w="2410" w:type="dxa"/>
          </w:tcPr>
          <w:p>
            <w:pPr>
              <w:pStyle w:val="Celda"/>
            </w:pPr>
          </w:p>
        </w:tc>
      </w:tr>
      <w:tr>
        <w:tc>
          <w:tcPr>
            <w:tcW w:w="2410" w:type="dxa"/>
          </w:tcPr>
          <w:p>
            <w:pPr>
              <w:pStyle w:val="Celda"/>
            </w:pPr>
            <w:r>
              <w:t xml:space="preserve">Auditoría del marco</w:t>
            </w:r>
          </w:p>
        </w:tc>
        <w:tc>
          <w:tcPr>
            <w:tcW w:w="2410" w:type="dxa"/>
          </w:tcPr>
          <w:p>
            <w:pPr>
              <w:pStyle w:val="Celda"/>
            </w:pPr>
            <w:r>
              <w:t xml:space="preserve">Anual, incluida la declaración de aplicación (P61)</w:t>
            </w:r>
          </w:p>
        </w:tc>
        <w:tc>
          <w:tcPr>
            <w:tcW w:w="2410" w:type="dxa"/>
          </w:tcPr>
          <w:p>
            <w:pPr>
              <w:pStyle w:val="Celda"/>
            </w:pPr>
          </w:p>
        </w:tc>
        <w:tc>
          <w:tcPr>
            <w:tcW w:w="2410" w:type="dxa"/>
          </w:tcPr>
          <w:p>
            <w:pPr>
              <w:pStyle w:val="Celda"/>
            </w:pPr>
          </w:p>
        </w:tc>
      </w:tr>
      <w:tr>
        <w:tc>
          <w:tcPr>
            <w:tcW w:w="2410" w:type="dxa"/>
          </w:tcPr>
          <w:p>
            <w:pPr>
              <w:pStyle w:val="Celda"/>
            </w:pPr>
            <w:r>
              <w:t xml:space="preserve">Auditoría del valor</w:t>
            </w:r>
          </w:p>
        </w:tc>
        <w:tc>
          <w:tcPr>
            <w:tcW w:w="2410" w:type="dxa"/>
          </w:tcPr>
          <w:p>
            <w:pPr>
              <w:pStyle w:val="Celda"/>
            </w:pPr>
            <w:r>
              <w:t xml:space="preserve">Al menos una vez al año antes de C5 (43 §12)</w:t>
            </w:r>
          </w:p>
        </w:tc>
        <w:tc>
          <w:tcPr>
            <w:tcW w:w="2410" w:type="dxa"/>
          </w:tcPr>
          <w:p>
            <w:pPr>
              <w:pStyle w:val="Celda"/>
            </w:pPr>
          </w:p>
        </w:tc>
        <w:tc>
          <w:tcPr>
            <w:tcW w:w="2410" w:type="dxa"/>
          </w:tcPr>
          <w:p>
            <w:pPr>
              <w:pStyle w:val="Celda"/>
            </w:pPr>
          </w:p>
        </w:tc>
      </w:tr>
      <w:tr>
        <w:tc>
          <w:tcPr>
            <w:tcW w:w="2410" w:type="dxa"/>
          </w:tcPr>
          <w:p>
            <w:pPr>
              <w:pStyle w:val="Celda"/>
            </w:pPr>
            <w:r>
              <w:t xml:space="preserve">Temáticas</w:t>
            </w:r>
          </w:p>
        </w:tc>
        <w:tc>
          <w:tcPr>
            <w:tcW w:w="2410" w:type="dxa"/>
          </w:tcPr>
          <w:p>
            <w:pPr>
              <w:pStyle w:val="Celda"/>
            </w:pPr>
            <w:r>
              <w:t xml:space="preserve">Entre una y tres al año</w:t>
            </w:r>
          </w:p>
        </w:tc>
        <w:tc>
          <w:tcPr>
            <w:tcW w:w="2410" w:type="dxa"/>
          </w:tcPr>
          <w:p>
            <w:pPr>
              <w:pStyle w:val="Celda"/>
            </w:pPr>
          </w:p>
        </w:tc>
        <w:tc>
          <w:tcPr>
            <w:tcW w:w="2410" w:type="dxa"/>
          </w:tcPr>
          <w:p>
            <w:pPr>
              <w:pStyle w:val="Celda"/>
            </w:pPr>
          </w:p>
        </w:tc>
      </w:tr>
      <w:tr>
        <w:tc>
          <w:tcPr>
            <w:tcW w:w="2410" w:type="dxa"/>
          </w:tcPr>
          <w:p>
            <w:pPr>
              <w:pStyle w:val="Celda"/>
            </w:pPr>
            <w:r>
              <w:t xml:space="preserve">Proveedores</w:t>
            </w:r>
          </w:p>
        </w:tc>
        <w:tc>
          <w:tcPr>
            <w:tcW w:w="2410" w:type="dxa"/>
          </w:tcPr>
          <w:p>
            <w:pPr>
              <w:pStyle w:val="Celda"/>
            </w:pPr>
            <w:r>
              <w:t xml:space="preserve">N3 al menos anual; N2 seleccionados</w:t>
            </w:r>
          </w:p>
        </w:tc>
        <w:tc>
          <w:tcPr>
            <w:tcW w:w="2410" w:type="dxa"/>
          </w:tcPr>
          <w:p>
            <w:pPr>
              <w:pStyle w:val="Celda"/>
            </w:pPr>
          </w:p>
        </w:tc>
        <w:tc>
          <w:tcPr>
            <w:tcW w:w="2410" w:type="dxa"/>
          </w:tcPr>
          <w:p>
            <w:pPr>
              <w:pStyle w:val="Celda"/>
            </w:pPr>
          </w:p>
        </w:tc>
      </w:tr>
      <w:tr>
        <w:tc>
          <w:tcPr>
            <w:tcW w:w="2410" w:type="dxa"/>
          </w:tcPr>
          <w:p>
            <w:pPr>
              <w:pStyle w:val="Celda"/>
            </w:pPr>
            <w:r>
              <w:t xml:space="preserve">Seguimiento</w:t>
            </w:r>
          </w:p>
        </w:tc>
        <w:tc>
          <w:tcPr>
            <w:tcW w:w="2410" w:type="dxa"/>
          </w:tcPr>
          <w:p>
            <w:pPr>
              <w:pStyle w:val="Celda"/>
            </w:pPr>
            <w:r>
              <w:t xml:space="preserve">100 % de las no conformidades mayores y críticas abiertas</w:t>
            </w:r>
          </w:p>
        </w:tc>
        <w:tc>
          <w:tcPr>
            <w:tcW w:w="2410" w:type="dxa"/>
          </w:tcPr>
          <w:p>
            <w:pPr>
              <w:pStyle w:val="Celda"/>
            </w:pPr>
          </w:p>
        </w:tc>
        <w:tc>
          <w:tcPr>
            <w:tcW w:w="2410" w:type="dxa"/>
          </w:tcPr>
          <w:p>
            <w:pPr>
              <w:pStyle w:val="Celda"/>
            </w:pPr>
          </w:p>
        </w:tc>
      </w:tr>
      <w:tr>
        <w:tc>
          <w:tcPr>
            <w:tcW w:w="2410" w:type="dxa"/>
          </w:tcPr>
          <w:p>
            <w:pPr>
              <w:pStyle w:val="Celda"/>
            </w:pPr>
            <w:r>
              <w:t xml:space="preserve">Reserva</w:t>
            </w:r>
          </w:p>
        </w:tc>
        <w:tc>
          <w:tcPr>
            <w:tcW w:w="2410" w:type="dxa"/>
          </w:tcPr>
          <w:p>
            <w:pPr>
              <w:pStyle w:val="Celda"/>
            </w:pPr>
            <w:r>
              <w:t xml:space="preserve">10–20 % de la capacidad</w:t>
            </w:r>
          </w:p>
        </w:tc>
        <w:tc>
          <w:tcPr>
            <w:tcW w:w="2410" w:type="dxa"/>
          </w:tcPr>
          <w:p>
            <w:pPr>
              <w:pStyle w:val="Celda"/>
            </w:pPr>
          </w:p>
        </w:tc>
        <w:tc>
          <w:tcPr>
            <w:tcW w:w="2410" w:type="dxa"/>
          </w:tcPr>
          <w:p>
            <w:pPr>
              <w:pStyle w:val="Celda"/>
            </w:pPr>
          </w:p>
        </w:tc>
      </w:tr>
    </w:tbl>
    <w:p>
      <w:pPr>
        <w:pStyle w:val="Espacio"/>
      </w:pPr>
    </w:p>
    <w:p>
      <w:pPr>
        <w:pStyle w:val="Heading2"/>
      </w:pPr>
      <w:r>
        <w:t xml:space="preserve">5.2 Trabajos</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Código</w:t>
            </w:r>
          </w:p>
        </w:tc>
        <w:tc>
          <w:tcPr>
            <w:tcW w:w="964" w:type="dxa"/>
            <w:shd w:val="clear" w:color="auto" w:fill="F2DFCE"/>
          </w:tcPr>
          <w:p>
            <w:pPr>
              <w:pStyle w:val="Celda"/>
            </w:pPr>
            <w:r>
              <w:rPr>
                <w:b/>
              </w:rPr>
              <w:t xml:space="preserve">Tipo</w:t>
            </w:r>
          </w:p>
        </w:tc>
        <w:tc>
          <w:tcPr>
            <w:tcW w:w="964" w:type="dxa"/>
            <w:shd w:val="clear" w:color="auto" w:fill="F2DFCE"/>
          </w:tcPr>
          <w:p>
            <w:pPr>
              <w:pStyle w:val="Celda"/>
            </w:pPr>
            <w:r>
              <w:rPr>
                <w:b/>
              </w:rPr>
              <w:t xml:space="preserve">Unidad (Nº)</w:t>
            </w:r>
          </w:p>
        </w:tc>
        <w:tc>
          <w:tcPr>
            <w:tcW w:w="964" w:type="dxa"/>
            <w:shd w:val="clear" w:color="auto" w:fill="F2DFCE"/>
          </w:tcPr>
          <w:p>
            <w:pPr>
              <w:pStyle w:val="Celda"/>
            </w:pPr>
            <w:r>
              <w:rPr>
                <w:b/>
              </w:rPr>
              <w:t xml:space="preserve">Objetivo y alcance</w:t>
            </w:r>
          </w:p>
        </w:tc>
        <w:tc>
          <w:tcPr>
            <w:tcW w:w="964" w:type="dxa"/>
            <w:shd w:val="clear" w:color="auto" w:fill="F2DFCE"/>
          </w:tcPr>
          <w:p>
            <w:pPr>
              <w:pStyle w:val="Celda"/>
            </w:pPr>
            <w:r>
              <w:rPr>
                <w:b/>
              </w:rPr>
              <w:t xml:space="preserve">Criterios</w:t>
            </w:r>
          </w:p>
        </w:tc>
        <w:tc>
          <w:tcPr>
            <w:tcW w:w="964" w:type="dxa"/>
            <w:shd w:val="clear" w:color="auto" w:fill="F2DFCE"/>
          </w:tcPr>
          <w:p>
            <w:pPr>
              <w:pStyle w:val="Celda"/>
            </w:pPr>
            <w:r>
              <w:rPr>
                <w:b/>
              </w:rPr>
              <w:t xml:space="preserve">Trimestre</w:t>
            </w:r>
          </w:p>
        </w:tc>
        <w:tc>
          <w:tcPr>
            <w:tcW w:w="964" w:type="dxa"/>
            <w:shd w:val="clear" w:color="auto" w:fill="F2DFCE"/>
          </w:tcPr>
          <w:p>
            <w:pPr>
              <w:pStyle w:val="Celda"/>
            </w:pPr>
            <w:r>
              <w:rPr>
                <w:b/>
              </w:rPr>
              <w:t xml:space="preserve">Auditor principal</w:t>
            </w:r>
          </w:p>
        </w:tc>
        <w:tc>
          <w:tcPr>
            <w:tcW w:w="964" w:type="dxa"/>
            <w:shd w:val="clear" w:color="auto" w:fill="F2DFCE"/>
          </w:tcPr>
          <w:p>
            <w:pPr>
              <w:pStyle w:val="Celda"/>
            </w:pPr>
            <w:r>
              <w:rPr>
                <w:b/>
              </w:rPr>
              <w:t xml:space="preserve">Expertos de apoyo</w:t>
            </w:r>
          </w:p>
        </w:tc>
        <w:tc>
          <w:tcPr>
            <w:tcW w:w="964" w:type="dxa"/>
            <w:shd w:val="clear" w:color="auto" w:fill="F2DFCE"/>
          </w:tcPr>
          <w:p>
            <w:pPr>
              <w:pStyle w:val="Celda"/>
            </w:pPr>
            <w:r>
              <w:rPr>
                <w:b/>
              </w:rPr>
              <w:t xml:space="preserve">Horas estimadas</w:t>
            </w:r>
          </w:p>
        </w:tc>
        <w:tc>
          <w:tcPr>
            <w:tcW w:w="964" w:type="dxa"/>
            <w:shd w:val="clear" w:color="auto" w:fill="F2DFCE"/>
          </w:tcPr>
          <w:p>
            <w:pPr>
              <w:pStyle w:val="Celda"/>
            </w:pPr>
            <w:r>
              <w:rPr>
                <w:b/>
              </w:rPr>
              <w:t xml:space="preserve">Prioridad</w:t>
            </w:r>
          </w:p>
        </w:tc>
      </w:tr>
      <w:tr>
        <w:tc>
          <w:tcPr>
            <w:tcW w:w="964" w:type="dxa"/>
          </w:tcPr>
          <w:p>
            <w:pPr>
              <w:pStyle w:val="Celda"/>
            </w:pPr>
            <w:r>
              <w:t xml:space="preserve">AUD-AAAA-NNN</w:t>
            </w:r>
          </w:p>
        </w:tc>
        <w:tc>
          <w:tcPr>
            <w:tcW w:w="964" w:type="dxa"/>
          </w:tcPr>
          <w:p>
            <w:pPr>
              <w:pStyle w:val="Celda"/>
            </w:pPr>
            <w:r>
              <w:rPr>
                <w:i/>
              </w:rPr>
              <w:t xml:space="preserve">Gate</w:t>
            </w:r>
            <w:r>
              <w:t xml:space="preserve"> · Continuidad · Marco · Temática · Proveedor · Valor · Seguimiento</w:t>
            </w:r>
          </w:p>
        </w:tc>
        <w:tc>
          <w:tcPr>
            <w:tcW w:w="964" w:type="dxa"/>
          </w:tcPr>
          <w:p>
            <w:pPr>
              <w:pStyle w:val="Celda"/>
            </w:pPr>
          </w:p>
        </w:tc>
        <w:tc>
          <w:tcPr>
            <w:tcW w:w="964" w:type="dxa"/>
          </w:tcPr>
          <w:p>
            <w:pPr>
              <w:pStyle w:val="Celda"/>
            </w:pPr>
          </w:p>
        </w:tc>
        <w:tc>
          <w:tcPr>
            <w:tcW w:w="964" w:type="dxa"/>
          </w:tcPr>
          <w:p>
            <w:pPr>
              <w:pStyle w:val="Celda"/>
            </w:pPr>
            <w:r>
              <w:t xml:space="preserve">Documento 21, 22, normas</w:t>
            </w:r>
          </w:p>
        </w:tc>
        <w:tc>
          <w:tcPr>
            <w:tcW w:w="964" w:type="dxa"/>
          </w:tcPr>
          <w:p>
            <w:pPr>
              <w:pStyle w:val="Celda"/>
            </w:pPr>
            <w:r>
              <w:t xml:space="preserve">1T · 2T · 3T · 4T</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AUD-2027-004</w:t>
            </w:r>
          </w:p>
        </w:tc>
        <w:tc>
          <w:tcPr>
            <w:tcW w:w="964" w:type="dxa"/>
          </w:tcPr>
          <w:p>
            <w:pPr>
              <w:pStyle w:val="Celda"/>
            </w:pPr>
            <w:r>
              <w:t xml:space="preserve">Continuidad</w:t>
            </w:r>
          </w:p>
        </w:tc>
        <w:tc>
          <w:tcPr>
            <w:tcW w:w="964" w:type="dxa"/>
          </w:tcPr>
          <w:p>
            <w:pPr>
              <w:pStyle w:val="Celda"/>
            </w:pPr>
            <w:r>
              <w:t xml:space="preserve">U01</w:t>
            </w:r>
          </w:p>
        </w:tc>
        <w:tc>
          <w:tcPr>
            <w:tcW w:w="964" w:type="dxa"/>
          </w:tcPr>
          <w:p>
            <w:pPr>
              <w:pStyle w:val="Celda"/>
            </w:pPr>
            <w:r>
              <w:t xml:space="preserve">Controles del asistente de consultas en los últimos doce meses: monitorización, supervisión humana, incidentes, valor y coste (38 §6.3)</w:t>
            </w:r>
          </w:p>
        </w:tc>
        <w:tc>
          <w:tcPr>
            <w:tcW w:w="964" w:type="dxa"/>
          </w:tcPr>
          <w:p>
            <w:pPr>
              <w:pStyle w:val="Celda"/>
            </w:pPr>
            <w:r>
              <w:t xml:space="preserve">R6.nn del documento 21; P24; P25</w:t>
            </w:r>
          </w:p>
        </w:tc>
        <w:tc>
          <w:tcPr>
            <w:tcW w:w="964" w:type="dxa"/>
          </w:tcPr>
          <w:p>
            <w:pPr>
              <w:pStyle w:val="Celda"/>
            </w:pPr>
            <w:r>
              <w:t xml:space="preserve">2T</w:t>
            </w:r>
          </w:p>
        </w:tc>
        <w:tc>
          <w:tcPr>
            <w:tcW w:w="964" w:type="dxa"/>
          </w:tcPr>
          <w:p>
            <w:pPr>
              <w:pStyle w:val="Celda"/>
            </w:pPr>
            <w:r>
              <w:t xml:space="preserve">Auditora principal de IA</w:t>
            </w:r>
          </w:p>
        </w:tc>
        <w:tc>
          <w:tcPr>
            <w:tcW w:w="964" w:type="dxa"/>
          </w:tcPr>
          <w:p>
            <w:pPr>
              <w:pStyle w:val="Celda"/>
            </w:pPr>
            <w:r>
              <w:t xml:space="preserve">Especialista en seguridad ofensiva</w:t>
            </w:r>
          </w:p>
        </w:tc>
        <w:tc>
          <w:tcPr>
            <w:tcW w:w="964" w:type="dxa"/>
          </w:tcPr>
          <w:p>
            <w:pPr>
              <w:pStyle w:val="Celda"/>
            </w:pPr>
            <w:r>
              <w:t xml:space="preserve">160</w:t>
            </w:r>
          </w:p>
        </w:tc>
        <w:tc>
          <w:tcPr>
            <w:tcW w:w="964" w:type="dxa"/>
          </w:tcPr>
          <w:p>
            <w:pPr>
              <w:pStyle w:val="Celda"/>
            </w:pPr>
            <w:r>
              <w:t xml:space="preserve">Alta</w:t>
            </w:r>
          </w:p>
        </w:tc>
      </w:tr>
    </w:tbl>
    <w:p>
      <w:pPr>
        <w:pStyle w:val="Espacio"/>
      </w:pPr>
    </w:p>
    <w:p>
      <w:r>
        <w:t xml:space="preserve">El código AUD-AAAA-NNN es el que propone 38 §9.1 y se mantiene en los papeles de trabajo (P59) y en el informe (P60). Las auditorías de </w:t>
      </w:r>
      <w:r>
        <w:rPr>
          <w:i/>
        </w:rPr>
        <w:t xml:space="preserve">gate</w:t>
      </w:r>
      <w:r>
        <w:t xml:space="preserve"> reciben código cuando se solicita el </w:t>
      </w:r>
      <w:r>
        <w:rPr>
          <w:i/>
        </w:rPr>
        <w:t xml:space="preserve">gate</w:t>
      </w:r>
      <w:r>
        <w:t xml:space="preserve">.</w:t>
      </w:r>
    </w:p>
    <w:p>
      <w:pPr>
        <w:pStyle w:val="Separador"/>
      </w:pPr>
    </w:p>
    <w:p>
      <w:pPr>
        <w:pStyle w:val="Heading1"/>
      </w:pPr>
      <w:r>
        <w:t xml:space="preserve">6. Capacidad y recursos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Magnitud</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Guía</w:t>
            </w:r>
          </w:p>
        </w:tc>
      </w:tr>
      <w:tr>
        <w:tc>
          <w:tcPr>
            <w:tcW w:w="3213" w:type="dxa"/>
          </w:tcPr>
          <w:p>
            <w:pPr>
              <w:pStyle w:val="Celda"/>
            </w:pPr>
            <w:r>
              <w:t xml:space="preserve">Horas disponibles de auditores de IA en el ejercicio</w:t>
            </w:r>
          </w:p>
        </w:tc>
        <w:tc>
          <w:tcPr>
            <w:tcW w:w="3213" w:type="dxa"/>
          </w:tcPr>
          <w:p>
            <w:pPr>
              <w:pStyle w:val="Celda"/>
            </w:pPr>
          </w:p>
        </w:tc>
        <w:tc>
          <w:tcPr>
            <w:tcW w:w="3213" w:type="dxa"/>
          </w:tcPr>
          <w:p>
            <w:pPr>
              <w:pStyle w:val="Celda"/>
            </w:pPr>
            <w:r>
              <w:t xml:space="preserve">Descontadas formación (perfil F6, documento 31 §6.2), vacaciones y otras tareas.</w:t>
            </w:r>
          </w:p>
        </w:tc>
      </w:tr>
      <w:tr>
        <w:tc>
          <w:tcPr>
            <w:tcW w:w="3213" w:type="dxa"/>
          </w:tcPr>
          <w:p>
            <w:pPr>
              <w:pStyle w:val="Celda"/>
            </w:pPr>
            <w:r>
              <w:t xml:space="preserve">Horas de expertos externos contratadas</w:t>
            </w:r>
          </w:p>
        </w:tc>
        <w:tc>
          <w:tcPr>
            <w:tcW w:w="3213" w:type="dxa"/>
          </w:tcPr>
          <w:p>
            <w:pPr>
              <w:pStyle w:val="Celda"/>
            </w:pPr>
          </w:p>
        </w:tc>
        <w:tc>
          <w:tcPr>
            <w:tcW w:w="3213" w:type="dxa"/>
          </w:tcPr>
          <w:p>
            <w:pPr>
              <w:pStyle w:val="Celda"/>
            </w:pPr>
          </w:p>
        </w:tc>
      </w:tr>
      <w:tr>
        <w:tc>
          <w:tcPr>
            <w:tcW w:w="3213" w:type="dxa"/>
          </w:tcPr>
          <w:p>
            <w:pPr>
              <w:pStyle w:val="Celda"/>
            </w:pPr>
            <w:r>
              <w:t xml:space="preserve">Horas asignadas a trabajos (suma de 5.2)</w:t>
            </w:r>
          </w:p>
        </w:tc>
        <w:tc>
          <w:tcPr>
            <w:tcW w:w="3213" w:type="dxa"/>
          </w:tcPr>
          <w:p>
            <w:pPr>
              <w:pStyle w:val="Celda"/>
            </w:pPr>
          </w:p>
        </w:tc>
        <w:tc>
          <w:tcPr>
            <w:tcW w:w="3213" w:type="dxa"/>
          </w:tcPr>
          <w:p>
            <w:pPr>
              <w:pStyle w:val="Celda"/>
            </w:pPr>
          </w:p>
        </w:tc>
      </w:tr>
      <w:tr>
        <w:tc>
          <w:tcPr>
            <w:tcW w:w="3213" w:type="dxa"/>
          </w:tcPr>
          <w:p>
            <w:pPr>
              <w:pStyle w:val="Celda"/>
            </w:pPr>
            <w:r>
              <w:t xml:space="preserve">Reserva para trabajos no planificados</w:t>
            </w:r>
          </w:p>
        </w:tc>
        <w:tc>
          <w:tcPr>
            <w:tcW w:w="3213" w:type="dxa"/>
          </w:tcPr>
          <w:p>
            <w:pPr>
              <w:pStyle w:val="Celda"/>
            </w:pPr>
          </w:p>
        </w:tc>
        <w:tc>
          <w:tcPr>
            <w:tcW w:w="3213" w:type="dxa"/>
          </w:tcPr>
          <w:p>
            <w:pPr>
              <w:pStyle w:val="Celda"/>
            </w:pPr>
            <w:r>
              <w:t xml:space="preserve">Horas y porcentaje sobre la capacidad (10–20 %).</w:t>
            </w:r>
          </w:p>
        </w:tc>
      </w:tr>
      <w:tr>
        <w:tc>
          <w:tcPr>
            <w:tcW w:w="3213" w:type="dxa"/>
          </w:tcPr>
          <w:p>
            <w:pPr>
              <w:pStyle w:val="Celda"/>
            </w:pPr>
            <w:r>
              <w:t xml:space="preserve">Diferencia</w:t>
            </w:r>
          </w:p>
        </w:tc>
        <w:tc>
          <w:tcPr>
            <w:tcW w:w="3213" w:type="dxa"/>
          </w:tcPr>
          <w:p>
            <w:pPr>
              <w:pStyle w:val="Celda"/>
            </w:pPr>
          </w:p>
        </w:tc>
        <w:tc>
          <w:tcPr>
            <w:tcW w:w="3213" w:type="dxa"/>
          </w:tcPr>
          <w:p>
            <w:pPr>
              <w:pStyle w:val="Celda"/>
            </w:pPr>
            <w:r>
              <w:t xml:space="preserve">Disponibles − asignadas − reserva. Si es negativa, hay limitación (sección 7).</w:t>
            </w:r>
          </w:p>
        </w:tc>
      </w:tr>
      <w:tr>
        <w:tc>
          <w:tcPr>
            <w:tcW w:w="3213" w:type="dxa"/>
          </w:tcPr>
          <w:p>
            <w:pPr>
              <w:pStyle w:val="Celda"/>
            </w:pPr>
            <w:r>
              <w:t xml:space="preserve">Unidades de prioridad Alta sin cubrir</w:t>
            </w:r>
          </w:p>
        </w:tc>
        <w:tc>
          <w:tcPr>
            <w:tcW w:w="3213" w:type="dxa"/>
          </w:tcPr>
          <w:p>
            <w:pPr>
              <w:pStyle w:val="Celda"/>
            </w:pPr>
          </w:p>
        </w:tc>
        <w:tc>
          <w:tcPr>
            <w:tcW w:w="3213" w:type="dxa"/>
          </w:tcPr>
          <w:p>
            <w:pPr>
              <w:pStyle w:val="Celda"/>
            </w:pPr>
            <w:r>
              <w:t xml:space="preserve">Número y lista.</w:t>
            </w:r>
          </w:p>
        </w:tc>
      </w:tr>
      <w:tr>
        <w:tc>
          <w:tcPr>
            <w:tcW w:w="3213" w:type="dxa"/>
          </w:tcPr>
          <w:p>
            <w:pPr>
              <w:pStyle w:val="Celda"/>
            </w:pPr>
            <w:r>
              <w:t xml:space="preserve">Rotación de auditores principales</w:t>
            </w:r>
          </w:p>
        </w:tc>
        <w:tc>
          <w:tcPr>
            <w:tcW w:w="3213" w:type="dxa"/>
          </w:tcPr>
          <w:p>
            <w:pPr>
              <w:pStyle w:val="Celda"/>
            </w:pPr>
          </w:p>
        </w:tc>
        <w:tc>
          <w:tcPr>
            <w:tcW w:w="3213" w:type="dxa"/>
          </w:tcPr>
          <w:p>
            <w:pPr>
              <w:pStyle w:val="Celda"/>
            </w:pPr>
            <w:r>
              <w:t xml:space="preserve">Sistemas Enterprise que el mismo auditor audita por más de [tres] ejercicios consecutivos (38 §3.1).</w:t>
            </w:r>
          </w:p>
        </w:tc>
      </w:tr>
    </w:tbl>
    <w:p>
      <w:pPr>
        <w:pStyle w:val="Espacio"/>
      </w:pPr>
    </w:p>
    <w:p>
      <w:pPr>
        <w:pStyle w:val="Separador"/>
      </w:pPr>
    </w:p>
    <w:p>
      <w:pPr>
        <w:pStyle w:val="Heading1"/>
      </w:pPr>
      <w:r>
        <w:t xml:space="preserve">7. Aprobación del plan y limitaciones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Limitaciones de cobertura</w:t>
            </w:r>
          </w:p>
        </w:tc>
        <w:tc>
          <w:tcPr>
            <w:tcW w:w="3213" w:type="dxa"/>
          </w:tcPr>
          <w:p>
            <w:pPr>
              <w:pStyle w:val="Celda"/>
            </w:pPr>
          </w:p>
        </w:tc>
        <w:tc>
          <w:tcPr>
            <w:tcW w:w="3213" w:type="dxa"/>
          </w:tcPr>
          <w:p>
            <w:pPr>
              <w:pStyle w:val="Celda"/>
            </w:pPr>
            <w:r>
              <w:t xml:space="preserve">Unidades de prioridad Alta o Media que no se auditan en el plazo exigido y motivo.</w:t>
            </w:r>
          </w:p>
        </w:tc>
      </w:tr>
      <w:tr>
        <w:tc>
          <w:tcPr>
            <w:tcW w:w="3213" w:type="dxa"/>
          </w:tcPr>
          <w:p>
            <w:pPr>
              <w:pStyle w:val="Celda"/>
            </w:pPr>
            <w:r>
              <w:t xml:space="preserve">Decisión de la comisión delegada sobre las limitaciones</w:t>
            </w:r>
          </w:p>
        </w:tc>
        <w:tc>
          <w:tcPr>
            <w:tcW w:w="3213" w:type="dxa"/>
          </w:tcPr>
          <w:p>
            <w:pPr>
              <w:pStyle w:val="Celda"/>
            </w:pPr>
          </w:p>
        </w:tc>
        <w:tc>
          <w:tcPr>
            <w:tcW w:w="3213" w:type="dxa"/>
          </w:tcPr>
          <w:p>
            <w:pPr>
              <w:pStyle w:val="Celda"/>
            </w:pPr>
            <w:r>
              <w:t xml:space="preserve">Amplía recursos · Acepta el riesgo, con motivo.</w:t>
            </w:r>
          </w:p>
        </w:tc>
      </w:tr>
      <w:tr>
        <w:tc>
          <w:tcPr>
            <w:tcW w:w="3213" w:type="dxa"/>
          </w:tcPr>
          <w:p>
            <w:pPr>
              <w:pStyle w:val="Celda"/>
            </w:pPr>
            <w:r>
              <w:t xml:space="preserve">Órgano que aprueba</w:t>
            </w:r>
          </w:p>
        </w:tc>
        <w:tc>
          <w:tcPr>
            <w:tcW w:w="3213" w:type="dxa"/>
          </w:tcPr>
          <w:p>
            <w:pPr>
              <w:pStyle w:val="Celda"/>
            </w:pPr>
          </w:p>
        </w:tc>
        <w:tc>
          <w:tcPr>
            <w:tcW w:w="3213" w:type="dxa"/>
          </w:tcPr>
          <w:p>
            <w:pPr>
              <w:pStyle w:val="Celda"/>
            </w:pPr>
            <w:r>
              <w:t xml:space="preserve">Comisión delegada del consejo.</w:t>
            </w:r>
          </w:p>
        </w:tc>
      </w:tr>
      <w:tr>
        <w:tc>
          <w:tcPr>
            <w:tcW w:w="3213" w:type="dxa"/>
          </w:tcPr>
          <w:p>
            <w:pPr>
              <w:pStyle w:val="Celda"/>
            </w:pPr>
            <w:r>
              <w:t xml:space="preserve">Fecha de aprobación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Referencia del acta</w:t>
            </w:r>
          </w:p>
        </w:tc>
        <w:tc>
          <w:tcPr>
            <w:tcW w:w="3213" w:type="dxa"/>
          </w:tcPr>
          <w:p>
            <w:pPr>
              <w:pStyle w:val="Celda"/>
            </w:pPr>
          </w:p>
        </w:tc>
        <w:tc>
          <w:tcPr>
            <w:tcW w:w="3213" w:type="dxa"/>
          </w:tcPr>
          <w:p>
            <w:pPr>
              <w:pStyle w:val="Celda"/>
            </w:pPr>
          </w:p>
        </w:tc>
      </w:tr>
      <w:tr>
        <w:tc>
          <w:tcPr>
            <w:tcW w:w="3213" w:type="dxa"/>
          </w:tcPr>
          <w:p>
            <w:pPr>
              <w:pStyle w:val="Celda"/>
            </w:pPr>
            <w:r>
              <w:t xml:space="preserve">Informe del plan al consejo</w:t>
            </w:r>
          </w:p>
        </w:tc>
        <w:tc>
          <w:tcPr>
            <w:tcW w:w="3213" w:type="dxa"/>
          </w:tcPr>
          <w:p>
            <w:pPr>
              <w:pStyle w:val="Celda"/>
            </w:pPr>
          </w:p>
        </w:tc>
        <w:tc>
          <w:tcPr>
            <w:tcW w:w="3213" w:type="dxa"/>
          </w:tcPr>
          <w:p>
            <w:pPr>
              <w:pStyle w:val="Celda"/>
            </w:pPr>
            <w:r>
              <w:t xml:space="preserve">Fecha de la sesión en que se informa.</w:t>
            </w:r>
          </w:p>
        </w:tc>
      </w:tr>
    </w:tbl>
    <w:p>
      <w:pPr>
        <w:pStyle w:val="Espacio"/>
      </w:pPr>
    </w:p>
    <w:p>
      <w:pPr>
        <w:pStyle w:val="Separador"/>
      </w:pPr>
    </w:p>
    <w:p>
      <w:pPr>
        <w:pStyle w:val="Heading1"/>
      </w:pPr>
      <w:r>
        <w:t xml:space="preserve">8. Seguimiento de la ejecución</w:t>
      </w:r>
    </w:p>
    <w:p>
      <w:r>
        <w:t xml:space="preserve">Se presenta a la comisión delegada cada trimestre (38 §5.3). Las acciones vencidas se escalan según 30 §8.2 y figuran en este informe (38 §10).</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Trimestre</w:t>
            </w:r>
          </w:p>
        </w:tc>
        <w:tc>
          <w:tcPr>
            <w:tcW w:w="876" w:type="dxa"/>
            <w:shd w:val="clear" w:color="auto" w:fill="F2DFCE"/>
          </w:tcPr>
          <w:p>
            <w:pPr>
              <w:pStyle w:val="Celda"/>
            </w:pPr>
            <w:r>
              <w:rPr>
                <w:b/>
              </w:rPr>
              <w:t xml:space="preserve">Trabajos planificados</w:t>
            </w:r>
          </w:p>
        </w:tc>
        <w:tc>
          <w:tcPr>
            <w:tcW w:w="876" w:type="dxa"/>
            <w:shd w:val="clear" w:color="auto" w:fill="F2DFCE"/>
          </w:tcPr>
          <w:p>
            <w:pPr>
              <w:pStyle w:val="Celda"/>
            </w:pPr>
            <w:r>
              <w:rPr>
                <w:b/>
              </w:rPr>
              <w:t xml:space="preserve">Terminados (informe final)</w:t>
            </w:r>
          </w:p>
        </w:tc>
        <w:tc>
          <w:tcPr>
            <w:tcW w:w="876" w:type="dxa"/>
            <w:shd w:val="clear" w:color="auto" w:fill="F2DFCE"/>
          </w:tcPr>
          <w:p>
            <w:pPr>
              <w:pStyle w:val="Celda"/>
            </w:pPr>
            <w:r>
              <w:rPr>
                <w:b/>
              </w:rPr>
              <w:t xml:space="preserve">En curso</w:t>
            </w:r>
          </w:p>
        </w:tc>
        <w:tc>
          <w:tcPr>
            <w:tcW w:w="876" w:type="dxa"/>
            <w:shd w:val="clear" w:color="auto" w:fill="F2DFCE"/>
          </w:tcPr>
          <w:p>
            <w:pPr>
              <w:pStyle w:val="Celda"/>
            </w:pPr>
            <w:r>
              <w:rPr>
                <w:b/>
              </w:rPr>
              <w:t xml:space="preserve">Aplazados (motivo)</w:t>
            </w:r>
          </w:p>
        </w:tc>
        <w:tc>
          <w:tcPr>
            <w:tcW w:w="876" w:type="dxa"/>
            <w:shd w:val="clear" w:color="auto" w:fill="F2DFCE"/>
          </w:tcPr>
          <w:p>
            <w:pPr>
              <w:pStyle w:val="Celda"/>
            </w:pPr>
            <w:r>
              <w:rPr>
                <w:b/>
              </w:rPr>
              <w:t xml:space="preserve">No planificados añadidos</w:t>
            </w:r>
          </w:p>
        </w:tc>
        <w:tc>
          <w:tcPr>
            <w:tcW w:w="876" w:type="dxa"/>
            <w:shd w:val="clear" w:color="auto" w:fill="F2DFCE"/>
          </w:tcPr>
          <w:p>
            <w:pPr>
              <w:pStyle w:val="Celda"/>
            </w:pPr>
            <w:r>
              <w:rPr>
                <w:b/>
              </w:rPr>
              <w:t xml:space="preserve">Grado de ejecución</w:t>
            </w:r>
          </w:p>
        </w:tc>
        <w:tc>
          <w:tcPr>
            <w:tcW w:w="876" w:type="dxa"/>
            <w:shd w:val="clear" w:color="auto" w:fill="F2DFCE"/>
          </w:tcPr>
          <w:p>
            <w:pPr>
              <w:pStyle w:val="Celda"/>
            </w:pPr>
            <w:r>
              <w:rPr>
                <w:b/>
              </w:rPr>
              <w:t xml:space="preserve">Horas consumidas</w:t>
            </w:r>
          </w:p>
        </w:tc>
        <w:tc>
          <w:tcPr>
            <w:tcW w:w="876" w:type="dxa"/>
            <w:shd w:val="clear" w:color="auto" w:fill="F2DFCE"/>
          </w:tcPr>
          <w:p>
            <w:pPr>
              <w:pStyle w:val="Celda"/>
            </w:pPr>
            <w:r>
              <w:rPr>
                <w:b/>
              </w:rPr>
              <w:t xml:space="preserve">Resultados No conforme</w:t>
            </w:r>
          </w:p>
        </w:tc>
        <w:tc>
          <w:tcPr>
            <w:tcW w:w="876" w:type="dxa"/>
            <w:shd w:val="clear" w:color="auto" w:fill="F2DFCE"/>
          </w:tcPr>
          <w:p>
            <w:pPr>
              <w:pStyle w:val="Celda"/>
            </w:pPr>
            <w:r>
              <w:rPr>
                <w:b/>
              </w:rPr>
              <w:t xml:space="preserve">No conformidades mayores y críticas abiertas</w:t>
            </w:r>
          </w:p>
        </w:tc>
        <w:tc>
          <w:tcPr>
            <w:tcW w:w="876" w:type="dxa"/>
            <w:shd w:val="clear" w:color="auto" w:fill="F2DFCE"/>
          </w:tcPr>
          <w:p>
            <w:pPr>
              <w:pStyle w:val="Celda"/>
            </w:pPr>
            <w:r>
              <w:rPr>
                <w:b/>
              </w:rPr>
              <w:t xml:space="preserve">Acciones vencidas</w:t>
            </w:r>
          </w:p>
        </w:tc>
      </w:tr>
      <w:tr>
        <w:tc>
          <w:tcPr>
            <w:tcW w:w="876" w:type="dxa"/>
          </w:tcPr>
          <w:p>
            <w:pPr>
              <w:pStyle w:val="Celda"/>
            </w:pPr>
            <w:r>
              <w:t xml:space="preserve">1T</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2T</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3T</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4T</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r>
        <w:t xml:space="preserve">Grado de ejecución = trabajos terminados ÷ trabajos planificados hasta la fecha × 100. En una hoja de cálculo: </w:t>
      </w:r>
      <w:r>
        <w:rPr>
          <w:rFonts w:ascii="Consolas" w:hAnsi="Consolas"/>
          <w:sz w:val="18"/>
        </w:rPr>
        <w:t xml:space="preserve">=SI(B2=0;"";C2/B2)</w:t>
      </w:r>
      <w:r>
        <w:t xml:space="preserv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Modificación del plan</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Motivo</w:t>
            </w:r>
          </w:p>
        </w:tc>
        <w:tc>
          <w:tcPr>
            <w:tcW w:w="1928" w:type="dxa"/>
            <w:shd w:val="clear" w:color="auto" w:fill="F2DFCE"/>
          </w:tcPr>
          <w:p>
            <w:pPr>
              <w:pStyle w:val="Celda"/>
            </w:pPr>
            <w:r>
              <w:rPr>
                <w:b/>
              </w:rPr>
              <w:t xml:space="preserve">Trabajo afectado</w:t>
            </w:r>
          </w:p>
        </w:tc>
        <w:tc>
          <w:tcPr>
            <w:tcW w:w="1928" w:type="dxa"/>
            <w:shd w:val="clear" w:color="auto" w:fill="F2DFCE"/>
          </w:tcPr>
          <w:p>
            <w:pPr>
              <w:pStyle w:val="Celda"/>
            </w:pPr>
            <w:r>
              <w:rPr>
                <w:b/>
              </w:rPr>
              <w:t xml:space="preserve">Aprobada por</w:t>
            </w:r>
          </w:p>
        </w:tc>
      </w:tr>
      <w:tr>
        <w:tc>
          <w:tcPr>
            <w:tcW w:w="1928" w:type="dxa"/>
          </w:tcPr>
          <w:p>
            <w:pPr>
              <w:pStyle w:val="Celda"/>
            </w:pPr>
          </w:p>
        </w:tc>
        <w:tc>
          <w:tcPr>
            <w:tcW w:w="1928" w:type="dxa"/>
          </w:tcPr>
          <w:p>
            <w:pPr>
              <w:pStyle w:val="Celda"/>
            </w:pPr>
          </w:p>
        </w:tc>
        <w:tc>
          <w:tcPr>
            <w:tcW w:w="1928" w:type="dxa"/>
          </w:tcPr>
          <w:p>
            <w:pPr>
              <w:pStyle w:val="Celda"/>
            </w:pPr>
            <w:r>
              <w:t xml:space="preserve">Incidente S1 · Requerimiento · Cambio de prioridad · Capacidad</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9.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universo incluye todos los sistemas de T02, las iniciativas con </w:t>
            </w:r>
            <w:r>
              <w:rPr>
                <w:i/>
              </w:rPr>
              <w:t xml:space="preserve">gates</w:t>
            </w:r>
            <w:r>
              <w:t xml:space="preserve"> del ejercicio, los proveedores N2 y N3 y los procesos del marco.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sistema tiene los nueve factores puntuados con datos de la fecha de corte y la prioridad forzada aplicada cuando corresponde.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Todos los sistemas de prioridad Alta tienen trabajo en el ejercicio o figuran como limitación aprobada.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auditoría del marco, con la declaración de aplicación, y la auditoría del valor están planificadas antes de C5.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Se cumplen las reglas de cobertura de </w:t>
            </w:r>
            <w:r>
              <w:rPr>
                <w:i/>
              </w:rPr>
              <w:t xml:space="preserve">gates</w:t>
            </w:r>
            <w:r>
              <w:t xml:space="preserve"> (100 % Enterprise; muestra Lite de 21 §10.3).</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Existe reserva de capacidad entre el 10 % y el 20 %.</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Ningún auditor principal tiene asignado un trabajo con incompatibilidad (30 §5, I-10 e I-11) ni supera la rotación recomendada.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El plan está aprobado por la comisión delegada y su ejecución se informa cada trimestre.</w:t>
            </w:r>
          </w:p>
        </w:tc>
        <w:tc>
          <w:tcPr>
            <w:tcW w:w="3213" w:type="dxa"/>
          </w:tcPr>
          <w:p>
            <w:pPr>
              <w:pStyle w:val="Celda"/>
            </w:pPr>
          </w:p>
        </w:tc>
      </w:tr>
    </w:tbl>
    <w:p>
      <w:pPr>
        <w:pStyle w:val="Espacio"/>
      </w:pPr>
    </w:p>
    <w:p>
      <w:r>
        <w:t xml:space="preserve">La pregunta D6.10 del documento 11 (auditoría del marco en los últimos 12 meses) se acredita con la ejecución de este plan.</w:t>
      </w: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auditoría de IA (auditoría interna)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Facilita los datos del universo</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calidad</w:t>
            </w:r>
          </w:p>
        </w:tc>
        <w:tc>
          <w:tcPr>
            <w:tcW w:w="1928" w:type="dxa"/>
          </w:tcPr>
          <w:p>
            <w:pPr>
              <w:pStyle w:val="Celda"/>
            </w:pPr>
            <w:r>
              <w:t xml:space="preserve">Revisión de calidad de auditoría interna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Comisión delegada del consejo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la oficina de IA aporta los datos, pero no decide qué se audita ni puntúa las unidades; ningún área que patrocine iniciativas aprueba el plan.</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Aplica el universo auditable, los factores de prioridad, las reglas de cobertura y la aprobación y seguimiento de 38 §5, con fórmulas para hoja de cálculo.</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P58 · Plan anual de auditoría de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P58 · Plan anual de auditoría de IA</dc:title>
  <dc:creator>Fernando García Varela</dc:creator>
  <dc:language>es</dc:language>
  <dc:description>sha256:14fc8a2740f1398503e70474e649eb14a334a8a2468e745033b0ac44bef61d15</dc:description>
  <cp:keywords>SEVEN-G</cp:keywords>
</cp:coreProperties>
</file>