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Plan de transferencia y nota de salida</w:t>
      </w:r>
    </w:p>
    <w:p>
      <w:r>
        <w:rPr>
          <w:b/>
        </w:rPr>
        <w:t xml:space="preserve">Planifica cómo pasa la capacidad del tercero a la compañía y deja constancia, al terminar el encargo, de lo entregado, del estado de la cartera y de las herramientas, de lo pendiente y de los riesgos abiertos, con un responsable interno para cada cosa.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P71 · Plan de transferencia y nota de salida</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El objetivo de todo acompañamiento con SEVEN-G es que la compañía gobierne su IA sin depender del tercero (91 §3, principio 3). Si la transferencia no se planifica con hitos y evidencias, el servicio se prolonga por inercia o termina dejando registros que nadie sabe mantener, decisiones sin dueño y riesgos que nadie vigila. La nota de salida convierte el final del encargo en un traspaso verificable: la compañía debe poder leer y mantener todo lo entregado sin el tercero (91 §7.3).</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El plan de transferencia (sección 3) se redacta al inicio del encargo, junto con P70, y se revisa en cada hito; en M5 es un entregable obligatorio con fecha de salida o de reducción del servicio (91 §4.6). La nota de salida (secciones 4 a 9) se cumplimenta al terminar cualquier modelo M1 a M5 (91 §7.3).</w:t>
            </w:r>
          </w:p>
        </w:tc>
      </w:tr>
      <w:tr>
        <w:tc>
          <w:tcPr>
            <w:tcW w:w="4819" w:type="dxa"/>
          </w:tcPr>
          <w:p>
            <w:pPr>
              <w:pStyle w:val="Celda"/>
            </w:pPr>
            <w:r>
              <w:rPr>
                <w:b/>
              </w:rPr>
              <w:t xml:space="preserve">Quién la rellena</w:t>
            </w:r>
          </w:p>
        </w:tc>
        <w:tc>
          <w:tcPr>
            <w:tcW w:w="4819" w:type="dxa"/>
          </w:tcPr>
          <w:p>
            <w:pPr>
              <w:pStyle w:val="Celda"/>
            </w:pPr>
            <w:r>
              <w:t xml:space="preserve">El responsable del servicio del tercero, con la oficina de IA de la compañía.</w:t>
            </w:r>
          </w:p>
        </w:tc>
      </w:tr>
      <w:tr>
        <w:tc>
          <w:tcPr>
            <w:tcW w:w="4819" w:type="dxa"/>
          </w:tcPr>
          <w:p>
            <w:pPr>
              <w:pStyle w:val="Celda"/>
            </w:pPr>
            <w:r>
              <w:rPr>
                <w:b/>
              </w:rPr>
              <w:t xml:space="preserve">Quién la verifica</w:t>
            </w:r>
          </w:p>
        </w:tc>
        <w:tc>
          <w:tcPr>
            <w:tcW w:w="4819" w:type="dxa"/>
          </w:tcPr>
          <w:p>
            <w:pPr>
              <w:pStyle w:val="Celda"/>
            </w:pPr>
            <w:r>
              <w:t xml:space="preserve">La oficina de IA comprueba que puede operar cada capacidad sin el tercero; control de gestión, las cifras de la cartera; el responsable de riesgos de IA, la nota de riesgos abiertos.</w:t>
            </w:r>
          </w:p>
        </w:tc>
      </w:tr>
      <w:tr>
        <w:tc>
          <w:tcPr>
            <w:tcW w:w="4819" w:type="dxa"/>
          </w:tcPr>
          <w:p>
            <w:pPr>
              <w:pStyle w:val="Celda"/>
            </w:pPr>
            <w:r>
              <w:rPr>
                <w:b/>
              </w:rPr>
              <w:t xml:space="preserve">Quién decide o aprueba</w:t>
            </w:r>
          </w:p>
        </w:tc>
        <w:tc>
          <w:tcPr>
            <w:tcW w:w="4819" w:type="dxa"/>
          </w:tcPr>
          <w:p>
            <w:pPr>
              <w:pStyle w:val="Celda"/>
            </w:pPr>
            <w:r>
              <w:t xml:space="preserve">Quien encargó el servicio (P70, sección 11) acepta la salida; en M5, el comité de IA aprueba el plan de transferencia y su revisión anual.</w:t>
            </w:r>
          </w:p>
        </w:tc>
      </w:tr>
      <w:tr>
        <w:tc>
          <w:tcPr>
            <w:tcW w:w="4819" w:type="dxa"/>
          </w:tcPr>
          <w:p>
            <w:pPr>
              <w:pStyle w:val="Celda"/>
            </w:pPr>
            <w:r>
              <w:rPr>
                <w:b/>
              </w:rPr>
              <w:t xml:space="preserve">Etapa o momento</w:t>
            </w:r>
          </w:p>
        </w:tc>
        <w:tc>
          <w:tcPr>
            <w:tcW w:w="4819" w:type="dxa"/>
          </w:tcPr>
          <w:p>
            <w:pPr>
              <w:pStyle w:val="Celda"/>
            </w:pPr>
            <w:r>
              <w:t xml:space="preserve">Final del encargo; en M5, cada revisión anual del servicio y antes de C5.</w:t>
            </w:r>
          </w:p>
        </w:tc>
      </w:tr>
      <w:tr>
        <w:tc>
          <w:tcPr>
            <w:tcW w:w="4819" w:type="dxa"/>
          </w:tcPr>
          <w:p>
            <w:pPr>
              <w:pStyle w:val="Celda"/>
            </w:pPr>
            <w:r>
              <w:rPr>
                <w:b/>
              </w:rPr>
              <w:t xml:space="preserve">Herramienta</w:t>
            </w:r>
          </w:p>
        </w:tc>
        <w:tc>
          <w:tcPr>
            <w:tcW w:w="4819" w:type="dxa"/>
          </w:tcPr>
          <w:p>
            <w:pPr>
              <w:pStyle w:val="Celda"/>
            </w:pPr>
            <w:r>
              <w:t xml:space="preserve">T01 · Registro de iniciativas (JSON completo del registro), T17 · Panel de IA para el consejo (fichero de datos y huella), T18 · Registro de recomendaciones del consejo; y las demás que se hayan usado (T02, T03, T06, T14, T15).</w:t>
            </w:r>
          </w:p>
        </w:tc>
      </w:tr>
      <w:tr>
        <w:tc>
          <w:tcPr>
            <w:tcW w:w="4819" w:type="dxa"/>
          </w:tcPr>
          <w:p>
            <w:pPr>
              <w:pStyle w:val="Celda"/>
            </w:pPr>
            <w:r>
              <w:rPr>
                <w:b/>
              </w:rPr>
              <w:t xml:space="preserve">Documento de referencia</w:t>
            </w:r>
          </w:p>
        </w:tc>
        <w:tc>
          <w:tcPr>
            <w:tcW w:w="4819" w:type="dxa"/>
          </w:tcPr>
          <w:p>
            <w:pPr>
              <w:pStyle w:val="Celda"/>
            </w:pPr>
            <w:r>
              <w:t xml:space="preserve">Documento 91 (§3 principios, §4.6 M5, §5.3 periodo de separación, §7 calidad y salida); documento 90 (hoja de ruta de 6 a 18 meses).</w:t>
            </w:r>
          </w:p>
        </w:tc>
      </w:tr>
      <w:tr>
        <w:tc>
          <w:tcPr>
            <w:tcW w:w="4819" w:type="dxa"/>
          </w:tcPr>
          <w:p>
            <w:pPr>
              <w:pStyle w:val="Celda"/>
            </w:pPr>
            <w:r>
              <w:rPr>
                <w:b/>
              </w:rPr>
              <w:t xml:space="preserve">Lite frente a Enterprise</w:t>
            </w:r>
          </w:p>
        </w:tc>
        <w:tc>
          <w:tcPr>
            <w:tcW w:w="4819" w:type="dxa"/>
          </w:tcPr>
          <w:p>
            <w:pPr>
              <w:pStyle w:val="Celda"/>
            </w:pPr>
            <w:r>
              <w:t xml:space="preserve">Igual en ambos. En M1 la transferencia puede limitarse a la sección 4 y a los responsables internos de la sección 9.</w:t>
            </w:r>
          </w:p>
        </w:tc>
      </w:tr>
    </w:tbl>
    <w:p>
      <w:pPr>
        <w:pStyle w:val="Espacio"/>
      </w:pPr>
    </w:p>
    <w:p>
      <w:r>
        <w:t xml:space="preserve">Reglas de cumplimentación:</w:t>
      </w:r>
    </w:p>
    <w:p>
      <w:pPr>
        <w:pStyle w:val="Lista"/>
      </w:pPr>
      <w:r>
        <w:t xml:space="preserve">• </w:t>
      </w:r>
      <w:r>
        <w:rPr>
          <w:b/>
        </w:rPr>
        <w:t xml:space="preserve">Cada capacidad, entregable, pendiente y riesgo tiene un responsable interno con nombre.</w:t>
      </w:r>
      <w:r>
        <w:t xml:space="preserve"> Un «equipo» o un «área» no es un responsable.</w:t>
      </w:r>
    </w:p>
    <w:p>
      <w:pPr>
        <w:pStyle w:val="Lista"/>
      </w:pPr>
      <w:r>
        <w:t xml:space="preserve">• </w:t>
      </w:r>
      <w:r>
        <w:rPr>
          <w:b/>
        </w:rPr>
        <w:t xml:space="preserve">Transferir es demostrar que la compañía lo hace sola</w:t>
      </w:r>
      <w:r>
        <w:t xml:space="preserve">: la evidencia es un entregable preparado por la compañía, no una formación recibida.</w:t>
      </w:r>
    </w:p>
    <w:p>
      <w:pPr>
        <w:pStyle w:val="Lista"/>
      </w:pPr>
      <w:r>
        <w:t xml:space="preserve">• </w:t>
      </w:r>
      <w:r>
        <w:rPr>
          <w:b/>
        </w:rPr>
        <w:t xml:space="preserve">Formatos abiertos y mantenibles</w:t>
      </w:r>
      <w:r>
        <w:t xml:space="preserve"> (91 §7.1, compromiso 9): documentos editables, hojas de cálculo, JSON.</w:t>
      </w:r>
    </w:p>
    <w:p>
      <w:pPr>
        <w:pStyle w:val="Lista"/>
      </w:pPr>
      <w:r>
        <w:t xml:space="preserve">• </w:t>
      </w:r>
      <w:r>
        <w:rPr>
          <w:b/>
        </w:rPr>
        <w:t xml:space="preserve">Sin dato no es cero</w:t>
      </w:r>
      <w:r>
        <w:t xml:space="preserve">: lo que no se sabe a la fecha de salida se declara como </w:t>
      </w:r>
      <w:r>
        <w:rPr>
          <w:i/>
        </w:rPr>
        <w:t xml:space="preserve">sin dato</w:t>
      </w:r>
      <w:r>
        <w:t xml:space="preserve">.</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Referencia del encargo</w:t>
            </w:r>
          </w:p>
        </w:tc>
        <w:tc>
          <w:tcPr>
            <w:tcW w:w="3213" w:type="dxa"/>
          </w:tcPr>
          <w:p>
            <w:pPr>
              <w:pStyle w:val="Celda"/>
            </w:pPr>
          </w:p>
        </w:tc>
        <w:tc>
          <w:tcPr>
            <w:tcW w:w="3213" w:type="dxa"/>
          </w:tcPr>
          <w:p>
            <w:pPr>
              <w:pStyle w:val="Celda"/>
            </w:pPr>
            <w:r>
              <w:t xml:space="preserve">Propuesta y carta de encargo (P70).</w:t>
            </w:r>
          </w:p>
        </w:tc>
      </w:tr>
      <w:tr>
        <w:tc>
          <w:tcPr>
            <w:tcW w:w="3213" w:type="dxa"/>
          </w:tcPr>
          <w:p>
            <w:pPr>
              <w:pStyle w:val="Celda"/>
            </w:pPr>
            <w:r>
              <w:t xml:space="preserve">Compañía y perímetro</w:t>
            </w:r>
          </w:p>
        </w:tc>
        <w:tc>
          <w:tcPr>
            <w:tcW w:w="3213" w:type="dxa"/>
          </w:tcPr>
          <w:p>
            <w:pPr>
              <w:pStyle w:val="Celda"/>
            </w:pPr>
          </w:p>
        </w:tc>
        <w:tc>
          <w:tcPr>
            <w:tcW w:w="3213" w:type="dxa"/>
          </w:tcPr>
          <w:p>
            <w:pPr>
              <w:pStyle w:val="Celda"/>
            </w:pPr>
          </w:p>
        </w:tc>
      </w:tr>
      <w:tr>
        <w:tc>
          <w:tcPr>
            <w:tcW w:w="3213" w:type="dxa"/>
          </w:tcPr>
          <w:p>
            <w:pPr>
              <w:pStyle w:val="Celda"/>
            </w:pPr>
            <w:r>
              <w:t xml:space="preserve">Tercero</w:t>
            </w:r>
          </w:p>
        </w:tc>
        <w:tc>
          <w:tcPr>
            <w:tcW w:w="3213" w:type="dxa"/>
          </w:tcPr>
          <w:p>
            <w:pPr>
              <w:pStyle w:val="Celda"/>
            </w:pPr>
          </w:p>
        </w:tc>
        <w:tc>
          <w:tcPr>
            <w:tcW w:w="3213" w:type="dxa"/>
          </w:tcPr>
          <w:p>
            <w:pPr>
              <w:pStyle w:val="Celda"/>
            </w:pPr>
          </w:p>
        </w:tc>
      </w:tr>
      <w:tr>
        <w:tc>
          <w:tcPr>
            <w:tcW w:w="3213" w:type="dxa"/>
          </w:tcPr>
          <w:p>
            <w:pPr>
              <w:pStyle w:val="Celda"/>
            </w:pPr>
            <w:r>
              <w:t xml:space="preserve">Modelo de acompañamiento</w:t>
            </w:r>
          </w:p>
        </w:tc>
        <w:tc>
          <w:tcPr>
            <w:tcW w:w="3213" w:type="dxa"/>
          </w:tcPr>
          <w:p>
            <w:pPr>
              <w:pStyle w:val="Celda"/>
            </w:pPr>
          </w:p>
        </w:tc>
        <w:tc>
          <w:tcPr>
            <w:tcW w:w="3213" w:type="dxa"/>
          </w:tcPr>
          <w:p>
            <w:pPr>
              <w:pStyle w:val="Celda"/>
            </w:pPr>
            <w:r>
              <w:t xml:space="preserve">M1 · M2 · M3 · M4 · M5.</w:t>
            </w:r>
          </w:p>
        </w:tc>
      </w:tr>
      <w:tr>
        <w:tc>
          <w:tcPr>
            <w:tcW w:w="3213" w:type="dxa"/>
          </w:tcPr>
          <w:p>
            <w:pPr>
              <w:pStyle w:val="Celda"/>
            </w:pPr>
            <w:r>
              <w:t xml:space="preserve">Fecha de inicio del servicio</w:t>
            </w:r>
          </w:p>
        </w:tc>
        <w:tc>
          <w:tcPr>
            <w:tcW w:w="3213" w:type="dxa"/>
          </w:tcPr>
          <w:p>
            <w:pPr>
              <w:pStyle w:val="Celda"/>
            </w:pPr>
          </w:p>
        </w:tc>
        <w:tc>
          <w:tcPr>
            <w:tcW w:w="3213" w:type="dxa"/>
          </w:tcPr>
          <w:p>
            <w:pPr>
              <w:pStyle w:val="Celda"/>
            </w:pPr>
          </w:p>
        </w:tc>
      </w:tr>
      <w:tr>
        <w:tc>
          <w:tcPr>
            <w:tcW w:w="3213" w:type="dxa"/>
          </w:tcPr>
          <w:p>
            <w:pPr>
              <w:pStyle w:val="Celda"/>
            </w:pPr>
            <w:r>
              <w:t xml:space="preserve">Fecha de salida o de reducción prevista</w:t>
            </w:r>
          </w:p>
        </w:tc>
        <w:tc>
          <w:tcPr>
            <w:tcW w:w="3213" w:type="dxa"/>
          </w:tcPr>
          <w:p>
            <w:pPr>
              <w:pStyle w:val="Celda"/>
            </w:pPr>
          </w:p>
        </w:tc>
        <w:tc>
          <w:tcPr>
            <w:tcW w:w="3213" w:type="dxa"/>
          </w:tcPr>
          <w:p>
            <w:pPr>
              <w:pStyle w:val="Celda"/>
            </w:pPr>
          </w:p>
        </w:tc>
      </w:tr>
      <w:tr>
        <w:tc>
          <w:tcPr>
            <w:tcW w:w="3213" w:type="dxa"/>
          </w:tcPr>
          <w:p>
            <w:pPr>
              <w:pStyle w:val="Celda"/>
            </w:pPr>
            <w:r>
              <w:t xml:space="preserve">Fecha de salida real</w:t>
            </w:r>
          </w:p>
        </w:tc>
        <w:tc>
          <w:tcPr>
            <w:tcW w:w="3213" w:type="dxa"/>
          </w:tcPr>
          <w:p>
            <w:pPr>
              <w:pStyle w:val="Celda"/>
            </w:pPr>
          </w:p>
        </w:tc>
        <w:tc>
          <w:tcPr>
            <w:tcW w:w="3213" w:type="dxa"/>
          </w:tcPr>
          <w:p>
            <w:pPr>
              <w:pStyle w:val="Celda"/>
            </w:pPr>
          </w:p>
        </w:tc>
      </w:tr>
      <w:tr>
        <w:tc>
          <w:tcPr>
            <w:tcW w:w="3213" w:type="dxa"/>
          </w:tcPr>
          <w:p>
            <w:pPr>
              <w:pStyle w:val="Celda"/>
            </w:pPr>
            <w:r>
              <w:t xml:space="preserve">Responsable interno receptor</w:t>
            </w:r>
          </w:p>
        </w:tc>
        <w:tc>
          <w:tcPr>
            <w:tcW w:w="3213" w:type="dxa"/>
          </w:tcPr>
          <w:p>
            <w:pPr>
              <w:pStyle w:val="Celda"/>
            </w:pPr>
          </w:p>
        </w:tc>
        <w:tc>
          <w:tcPr>
            <w:tcW w:w="3213" w:type="dxa"/>
          </w:tcPr>
          <w:p>
            <w:pPr>
              <w:pStyle w:val="Celda"/>
            </w:pPr>
            <w:r>
              <w:t xml:space="preserve">Normalmente, la dirección de la oficina de IA.</w:t>
            </w:r>
          </w:p>
        </w:tc>
      </w:tr>
      <w:tr>
        <w:tc>
          <w:tcPr>
            <w:tcW w:w="3213" w:type="dxa"/>
          </w:tcPr>
          <w:p>
            <w:pPr>
              <w:pStyle w:val="Celda"/>
            </w:pPr>
            <w:r>
              <w:t xml:space="preserve">Versión de SEVEN-G y adaptaciones</w:t>
            </w:r>
          </w:p>
        </w:tc>
        <w:tc>
          <w:tcPr>
            <w:tcW w:w="3213" w:type="dxa"/>
          </w:tcPr>
          <w:p>
            <w:pPr>
              <w:pStyle w:val="Celda"/>
            </w:pPr>
          </w:p>
        </w:tc>
        <w:tc>
          <w:tcPr>
            <w:tcW w:w="3213" w:type="dxa"/>
          </w:tcPr>
          <w:p>
            <w:pPr>
              <w:pStyle w:val="Celda"/>
            </w:pPr>
            <w:r>
              <w:t xml:space="preserve">Las mismas declaradas en los entregables.</w:t>
            </w:r>
          </w:p>
        </w:tc>
      </w:tr>
      <w:tr>
        <w:tc>
          <w:tcPr>
            <w:tcW w:w="3213" w:type="dxa"/>
          </w:tcPr>
          <w:p>
            <w:pPr>
              <w:pStyle w:val="Celda"/>
            </w:pPr>
            <w:r>
              <w:t xml:space="preserve">Versión de este documento</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Plan de transferencia de capacidades</w:t>
      </w:r>
    </w:p>
    <w:p>
      <w:pPr>
        <w:pStyle w:val="Heading2"/>
      </w:pPr>
      <w:r>
        <w:t xml:space="preserve">3.1 Capacidades</w:t>
      </w:r>
    </w:p>
    <w:p>
      <w:r>
        <w:t xml:space="preserve">Método: </w:t>
      </w:r>
      <w:r>
        <w:rPr>
          <w:b/>
        </w:rPr>
        <w:t xml:space="preserve">Hace el tercero</w:t>
      </w:r>
      <w:r>
        <w:t xml:space="preserve"> (la compañía observa) → </w:t>
      </w:r>
      <w:r>
        <w:rPr>
          <w:b/>
        </w:rPr>
        <w:t xml:space="preserve">Hace la compañía con apoyo</w:t>
      </w:r>
      <w:r>
        <w:t xml:space="preserve"> → </w:t>
      </w:r>
      <w:r>
        <w:rPr>
          <w:b/>
        </w:rPr>
        <w:t xml:space="preserve">Hace la compañía sola</w:t>
      </w:r>
      <w:r>
        <w:t xml:space="preserve"> (el tercero solo revisa, si se le pide).</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w:t>
            </w:r>
          </w:p>
        </w:tc>
        <w:tc>
          <w:tcPr>
            <w:tcW w:w="1205" w:type="dxa"/>
            <w:shd w:val="clear" w:color="auto" w:fill="F2DFCE"/>
          </w:tcPr>
          <w:p>
            <w:pPr>
              <w:pStyle w:val="Celda"/>
            </w:pPr>
            <w:r>
              <w:rPr>
                <w:b/>
              </w:rPr>
              <w:t xml:space="preserve">Capacidad</w:t>
            </w:r>
          </w:p>
        </w:tc>
        <w:tc>
          <w:tcPr>
            <w:tcW w:w="1205" w:type="dxa"/>
            <w:shd w:val="clear" w:color="auto" w:fill="F2DFCE"/>
          </w:tcPr>
          <w:p>
            <w:pPr>
              <w:pStyle w:val="Celda"/>
            </w:pPr>
            <w:r>
              <w:rPr>
                <w:b/>
              </w:rPr>
              <w:t xml:space="preserve">Rol interno receptor</w:t>
            </w:r>
          </w:p>
        </w:tc>
        <w:tc>
          <w:tcPr>
            <w:tcW w:w="1205" w:type="dxa"/>
            <w:shd w:val="clear" w:color="auto" w:fill="F2DFCE"/>
          </w:tcPr>
          <w:p>
            <w:pPr>
              <w:pStyle w:val="Celda"/>
            </w:pPr>
            <w:r>
              <w:rPr>
                <w:b/>
              </w:rPr>
              <w:t xml:space="preserve">Situación actual</w:t>
            </w:r>
          </w:p>
        </w:tc>
        <w:tc>
          <w:tcPr>
            <w:tcW w:w="1205" w:type="dxa"/>
            <w:shd w:val="clear" w:color="auto" w:fill="F2DFCE"/>
          </w:tcPr>
          <w:p>
            <w:pPr>
              <w:pStyle w:val="Celda"/>
            </w:pPr>
            <w:r>
              <w:rPr>
                <w:b/>
              </w:rPr>
              <w:t xml:space="preserve">Método siguiente</w:t>
            </w:r>
          </w:p>
        </w:tc>
        <w:tc>
          <w:tcPr>
            <w:tcW w:w="1205" w:type="dxa"/>
            <w:shd w:val="clear" w:color="auto" w:fill="F2DFCE"/>
          </w:tcPr>
          <w:p>
            <w:pPr>
              <w:pStyle w:val="Celda"/>
            </w:pPr>
            <w:r>
              <w:rPr>
                <w:b/>
              </w:rPr>
              <w:t xml:space="preserve">Hito y fecha</w:t>
            </w:r>
          </w:p>
        </w:tc>
        <w:tc>
          <w:tcPr>
            <w:tcW w:w="1205" w:type="dxa"/>
            <w:shd w:val="clear" w:color="auto" w:fill="F2DFCE"/>
          </w:tcPr>
          <w:p>
            <w:pPr>
              <w:pStyle w:val="Celda"/>
            </w:pPr>
            <w:r>
              <w:rPr>
                <w:b/>
              </w:rPr>
              <w:t xml:space="preserve">Evidencia de que la compañía lo hace sola</w:t>
            </w:r>
          </w:p>
        </w:tc>
        <w:tc>
          <w:tcPr>
            <w:tcW w:w="1205" w:type="dxa"/>
            <w:shd w:val="clear" w:color="auto" w:fill="F2DFCE"/>
          </w:tcPr>
          <w:p>
            <w:pPr>
              <w:pStyle w:val="Celda"/>
            </w:pPr>
            <w:r>
              <w:rPr>
                <w:b/>
              </w:rPr>
              <w:t xml:space="preserve">Estado</w:t>
            </w:r>
          </w:p>
        </w:tc>
      </w:tr>
      <w:tr>
        <w:tc>
          <w:tcPr>
            <w:tcW w:w="1205" w:type="dxa"/>
          </w:tcPr>
          <w:p>
            <w:pPr>
              <w:pStyle w:val="Celda"/>
            </w:pPr>
            <w:r>
              <w:t xml:space="preserve">1 </w:t>
            </w:r>
            <w:r>
              <w:rPr>
                <w:i/>
              </w:rPr>
              <w:t xml:space="preserve">(ejemplo ilustrativo)</w:t>
            </w:r>
          </w:p>
        </w:tc>
        <w:tc>
          <w:tcPr>
            <w:tcW w:w="1205" w:type="dxa"/>
          </w:tcPr>
          <w:p>
            <w:pPr>
              <w:pStyle w:val="Celda"/>
            </w:pPr>
            <w:r>
              <w:t xml:space="preserve">Preparar el paquete trimestral (P67)</w:t>
            </w:r>
          </w:p>
        </w:tc>
        <w:tc>
          <w:tcPr>
            <w:tcW w:w="1205" w:type="dxa"/>
          </w:tcPr>
          <w:p>
            <w:pPr>
              <w:pStyle w:val="Celda"/>
            </w:pPr>
            <w:r>
              <w:t xml:space="preserve">Oficina de IA</w:t>
            </w:r>
          </w:p>
        </w:tc>
        <w:tc>
          <w:tcPr>
            <w:tcW w:w="1205" w:type="dxa"/>
          </w:tcPr>
          <w:p>
            <w:pPr>
              <w:pStyle w:val="Celda"/>
            </w:pPr>
            <w:r>
              <w:t xml:space="preserve">Hace la compañía con apoyo</w:t>
            </w:r>
          </w:p>
        </w:tc>
        <w:tc>
          <w:tcPr>
            <w:tcW w:w="1205" w:type="dxa"/>
          </w:tcPr>
          <w:p>
            <w:pPr>
              <w:pStyle w:val="Celda"/>
            </w:pPr>
            <w:r>
              <w:t xml:space="preserve">Hace la compañía sola</w:t>
            </w:r>
          </w:p>
        </w:tc>
        <w:tc>
          <w:tcPr>
            <w:tcW w:w="1205" w:type="dxa"/>
          </w:tcPr>
          <w:p>
            <w:pPr>
              <w:pStyle w:val="Celda"/>
            </w:pPr>
            <w:r>
              <w:t xml:space="preserve">Paquete del primer trimestre de 2027 · 15-03-2027</w:t>
            </w:r>
          </w:p>
        </w:tc>
        <w:tc>
          <w:tcPr>
            <w:tcW w:w="1205" w:type="dxa"/>
          </w:tcPr>
          <w:p>
            <w:pPr>
              <w:pStyle w:val="Celda"/>
            </w:pPr>
            <w:r>
              <w:t xml:space="preserve">Paquete enviado en D−7 preparado por la oficina de IA; el tercero solo revisó</w:t>
            </w:r>
          </w:p>
        </w:tc>
        <w:tc>
          <w:tcPr>
            <w:tcW w:w="1205" w:type="dxa"/>
          </w:tcPr>
          <w:p>
            <w:pPr>
              <w:pStyle w:val="Celda"/>
            </w:pPr>
            <w:r>
              <w:t xml:space="preserve">En curso</w:t>
            </w:r>
          </w:p>
        </w:tc>
      </w:tr>
      <w:tr>
        <w:tc>
          <w:tcPr>
            <w:tcW w:w="1205" w:type="dxa"/>
          </w:tcPr>
          <w:p>
            <w:pPr>
              <w:pStyle w:val="Celda"/>
            </w:pPr>
            <w:r>
              <w:t xml:space="preserve">2</w:t>
            </w:r>
          </w:p>
        </w:tc>
        <w:tc>
          <w:tcPr>
            <w:tcW w:w="1205" w:type="dxa"/>
          </w:tcPr>
          <w:p>
            <w:pPr>
              <w:pStyle w:val="Celda"/>
            </w:pPr>
            <w:r>
              <w:t xml:space="preserve">Mantener el registro de iniciativas y el inventario (T01, T02)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3</w:t>
            </w:r>
          </w:p>
        </w:tc>
        <w:tc>
          <w:tcPr>
            <w:tcW w:w="1205" w:type="dxa"/>
          </w:tcPr>
          <w:p>
            <w:pPr>
              <w:pStyle w:val="Celda"/>
            </w:pPr>
            <w:r>
              <w:t xml:space="preserve">Preparar evidencias de </w:t>
            </w:r>
            <w:r>
              <w:rPr>
                <w:i/>
              </w:rPr>
              <w:t xml:space="preserve">gate</w:t>
            </w:r>
            <w:r>
              <w:t xml:space="preserve"> con los equipos (P29, T03)</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4</w:t>
            </w:r>
          </w:p>
        </w:tc>
        <w:tc>
          <w:tcPr>
            <w:tcW w:w="1205" w:type="dxa"/>
          </w:tcPr>
          <w:p>
            <w:pPr>
              <w:pStyle w:val="Celda"/>
            </w:pPr>
            <w:r>
              <w:t xml:space="preserve">Calcular las métricas del embudo y de agilidad</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5</w:t>
            </w:r>
          </w:p>
        </w:tc>
        <w:tc>
          <w:tcPr>
            <w:tcW w:w="1205" w:type="dxa"/>
          </w:tcPr>
          <w:p>
            <w:pPr>
              <w:pStyle w:val="Celda"/>
            </w:pPr>
            <w:r>
              <w:t xml:space="preserve">Actualizar el panel del consejo y guardar la foto de cada sesión (T17)</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6</w:t>
            </w:r>
          </w:p>
        </w:tc>
        <w:tc>
          <w:tcPr>
            <w:tcW w:w="1205" w:type="dxa"/>
          </w:tcPr>
          <w:p>
            <w:pPr>
              <w:pStyle w:val="Celda"/>
            </w:pPr>
            <w:r>
              <w:t xml:space="preserve">Mantener el registro de decisiones y recomendaciones (P69, T18)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7</w:t>
            </w:r>
          </w:p>
        </w:tc>
        <w:tc>
          <w:tcPr>
            <w:tcW w:w="1205" w:type="dxa"/>
          </w:tcPr>
          <w:p>
            <w:pPr>
              <w:pStyle w:val="Celda"/>
            </w:pPr>
            <w:r>
              <w:t xml:space="preserve">Validar cifras con control de gestión (documento 40)</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8</w:t>
            </w:r>
          </w:p>
        </w:tc>
        <w:tc>
          <w:tcPr>
            <w:tcW w:w="1205" w:type="dxa"/>
          </w:tcPr>
          <w:p>
            <w:pPr>
              <w:pStyle w:val="Celda"/>
            </w:pPr>
            <w:r>
              <w:t xml:space="preserve">Preparar las revisiones de continuidad R6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9</w:t>
            </w:r>
          </w:p>
        </w:tc>
        <w:tc>
          <w:tcPr>
            <w:tcW w:w="1205" w:type="dxa"/>
          </w:tcPr>
          <w:p>
            <w:pPr>
              <w:pStyle w:val="Celda"/>
            </w:pPr>
            <w:r>
              <w:t xml:space="preserve">Preparar la revisión anual C5 (madurez, índice, tesis)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Estado: No iniciada · En curso · Transferida · No se transfiere (con motivo).</w:t>
      </w:r>
    </w:p>
    <w:p>
      <w:pPr>
        <w:pStyle w:val="Heading2"/>
      </w:pPr>
      <w:r>
        <w:t xml:space="preserve">3.2 Hitos de reducción del servicio</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Hito</w:t>
            </w:r>
          </w:p>
        </w:tc>
        <w:tc>
          <w:tcPr>
            <w:tcW w:w="1928" w:type="dxa"/>
            <w:shd w:val="clear" w:color="auto" w:fill="F2DFCE"/>
          </w:tcPr>
          <w:p>
            <w:pPr>
              <w:pStyle w:val="Celda"/>
            </w:pPr>
            <w:r>
              <w:rPr>
                <w:b/>
              </w:rPr>
              <w:t xml:space="preserve">Condición para alcanzarlo</w:t>
            </w:r>
          </w:p>
        </w:tc>
        <w:tc>
          <w:tcPr>
            <w:tcW w:w="1928" w:type="dxa"/>
            <w:shd w:val="clear" w:color="auto" w:fill="F2DFCE"/>
          </w:tcPr>
          <w:p>
            <w:pPr>
              <w:pStyle w:val="Celda"/>
            </w:pPr>
            <w:r>
              <w:rPr>
                <w:b/>
              </w:rPr>
              <w:t xml:space="preserve">Dedicación del tercero después del hito</w:t>
            </w:r>
          </w:p>
        </w:tc>
        <w:tc>
          <w:tcPr>
            <w:tcW w:w="1928" w:type="dxa"/>
            <w:shd w:val="clear" w:color="auto" w:fill="F2DFCE"/>
          </w:tcPr>
          <w:p>
            <w:pPr>
              <w:pStyle w:val="Celda"/>
            </w:pPr>
            <w:r>
              <w:rPr>
                <w:b/>
              </w:rPr>
              <w:t xml:space="preserve">Fecha prevista</w:t>
            </w:r>
          </w:p>
        </w:tc>
        <w:tc>
          <w:tcPr>
            <w:tcW w:w="1928" w:type="dxa"/>
            <w:shd w:val="clear" w:color="auto" w:fill="F2DFCE"/>
          </w:tcPr>
          <w:p>
            <w:pPr>
              <w:pStyle w:val="Celda"/>
            </w:pPr>
            <w:r>
              <w:rPr>
                <w:b/>
              </w:rPr>
              <w:t xml:space="preserve">Aceptado por</w:t>
            </w:r>
          </w:p>
        </w:tc>
      </w:tr>
      <w:tr>
        <w:tc>
          <w:tcPr>
            <w:tcW w:w="1928" w:type="dxa"/>
          </w:tcPr>
          <w:p>
            <w:pPr>
              <w:pStyle w:val="Celda"/>
            </w:pPr>
            <w:r>
              <w:t xml:space="preserve">1</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2</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Salida</w:t>
            </w:r>
          </w:p>
        </w:tc>
        <w:tc>
          <w:tcPr>
            <w:tcW w:w="1928" w:type="dxa"/>
          </w:tcPr>
          <w:p>
            <w:pPr>
              <w:pStyle w:val="Celda"/>
            </w:pPr>
            <w:r>
              <w:t xml:space="preserve">Todas las capacidades en «Transferida» o «No se transfiere» con motivo aceptado.</w:t>
            </w:r>
          </w:p>
        </w:tc>
        <w:tc>
          <w:tcPr>
            <w:tcW w:w="1928" w:type="dxa"/>
          </w:tcPr>
          <w:p>
            <w:pPr>
              <w:pStyle w:val="Celda"/>
            </w:pPr>
            <w:r>
              <w:t xml:space="preserve">Ninguna</w:t>
            </w: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4. Inventario de entregables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w:t>
            </w:r>
          </w:p>
        </w:tc>
        <w:tc>
          <w:tcPr>
            <w:tcW w:w="1205" w:type="dxa"/>
            <w:shd w:val="clear" w:color="auto" w:fill="F2DFCE"/>
          </w:tcPr>
          <w:p>
            <w:pPr>
              <w:pStyle w:val="Celda"/>
            </w:pPr>
            <w:r>
              <w:rPr>
                <w:b/>
              </w:rPr>
              <w:t xml:space="preserve">Entregable</w:t>
            </w:r>
          </w:p>
        </w:tc>
        <w:tc>
          <w:tcPr>
            <w:tcW w:w="1205" w:type="dxa"/>
            <w:shd w:val="clear" w:color="auto" w:fill="F2DFCE"/>
          </w:tcPr>
          <w:p>
            <w:pPr>
              <w:pStyle w:val="Celda"/>
            </w:pPr>
            <w:r>
              <w:rPr>
                <w:b/>
              </w:rPr>
              <w:t xml:space="preserve">Plantilla o herramienta</w:t>
            </w:r>
          </w:p>
        </w:tc>
        <w:tc>
          <w:tcPr>
            <w:tcW w:w="1205" w:type="dxa"/>
            <w:shd w:val="clear" w:color="auto" w:fill="F2DFCE"/>
          </w:tcPr>
          <w:p>
            <w:pPr>
              <w:pStyle w:val="Celda"/>
            </w:pPr>
            <w:r>
              <w:rPr>
                <w:b/>
              </w:rPr>
              <w:t xml:space="preserve">Versión</w:t>
            </w:r>
          </w:p>
        </w:tc>
        <w:tc>
          <w:tcPr>
            <w:tcW w:w="1205" w:type="dxa"/>
            <w:shd w:val="clear" w:color="auto" w:fill="F2DFCE"/>
          </w:tcPr>
          <w:p>
            <w:pPr>
              <w:pStyle w:val="Celda"/>
            </w:pPr>
            <w:r>
              <w:rPr>
                <w:b/>
              </w:rPr>
              <w:t xml:space="preserve">Formato</w:t>
            </w:r>
          </w:p>
        </w:tc>
        <w:tc>
          <w:tcPr>
            <w:tcW w:w="1205" w:type="dxa"/>
            <w:shd w:val="clear" w:color="auto" w:fill="F2DFCE"/>
          </w:tcPr>
          <w:p>
            <w:pPr>
              <w:pStyle w:val="Celda"/>
            </w:pPr>
            <w:r>
              <w:rPr>
                <w:b/>
              </w:rPr>
              <w:t xml:space="preserve">Ubicación en el repositorio de la compañía</w:t>
            </w:r>
          </w:p>
        </w:tc>
        <w:tc>
          <w:tcPr>
            <w:tcW w:w="1205" w:type="dxa"/>
            <w:shd w:val="clear" w:color="auto" w:fill="F2DFCE"/>
          </w:tcPr>
          <w:p>
            <w:pPr>
              <w:pStyle w:val="Celda"/>
            </w:pPr>
            <w:r>
              <w:rPr>
                <w:b/>
              </w:rPr>
              <w:t xml:space="preserve">Aceptado por y fecha</w:t>
            </w:r>
          </w:p>
        </w:tc>
        <w:tc>
          <w:tcPr>
            <w:tcW w:w="1205" w:type="dxa"/>
            <w:shd w:val="clear" w:color="auto" w:fill="F2DFCE"/>
          </w:tcPr>
          <w:p>
            <w:pPr>
              <w:pStyle w:val="Celda"/>
            </w:pPr>
            <w:r>
              <w:rPr>
                <w:b/>
              </w:rPr>
              <w:t xml:space="preserve">Responsable interno de mantenerlo</w:t>
            </w:r>
          </w:p>
        </w:tc>
      </w:tr>
      <w:tr>
        <w:tc>
          <w:tcPr>
            <w:tcW w:w="1205" w:type="dxa"/>
          </w:tcPr>
          <w:p>
            <w:pPr>
              <w:pStyle w:val="Celda"/>
            </w:pPr>
            <w:r>
              <w:t xml:space="preserve">1 </w:t>
            </w:r>
            <w:r>
              <w:rPr>
                <w:i/>
              </w:rPr>
              <w:t xml:space="preserve">(ejemplo ilustrativo)</w:t>
            </w:r>
          </w:p>
        </w:tc>
        <w:tc>
          <w:tcPr>
            <w:tcW w:w="1205" w:type="dxa"/>
          </w:tcPr>
          <w:p>
            <w:pPr>
              <w:pStyle w:val="Celda"/>
            </w:pPr>
            <w:r>
              <w:t xml:space="preserve">Informe de diagnóstico C1</w:t>
            </w:r>
          </w:p>
        </w:tc>
        <w:tc>
          <w:tcPr>
            <w:tcW w:w="1205" w:type="dxa"/>
          </w:tcPr>
          <w:p>
            <w:pPr>
              <w:pStyle w:val="Celda"/>
            </w:pPr>
            <w:r>
              <w:t xml:space="preserve">P33</w:t>
            </w:r>
          </w:p>
        </w:tc>
        <w:tc>
          <w:tcPr>
            <w:tcW w:w="1205" w:type="dxa"/>
          </w:tcPr>
          <w:p>
            <w:pPr>
              <w:pStyle w:val="Celda"/>
            </w:pPr>
            <w:r>
              <w:t xml:space="preserve">1.0</w:t>
            </w:r>
          </w:p>
        </w:tc>
        <w:tc>
          <w:tcPr>
            <w:tcW w:w="1205" w:type="dxa"/>
          </w:tcPr>
          <w:p>
            <w:pPr>
              <w:pStyle w:val="Celda"/>
            </w:pPr>
            <w:r>
              <w:t xml:space="preserve">Documento editable</w:t>
            </w:r>
          </w:p>
        </w:tc>
        <w:tc>
          <w:tcPr>
            <w:tcW w:w="1205" w:type="dxa"/>
          </w:tcPr>
          <w:p>
            <w:pPr>
              <w:pStyle w:val="Celda"/>
            </w:pPr>
            <w:r>
              <w:t xml:space="preserve">Repositorio documental de la oficina de IA</w:t>
            </w:r>
          </w:p>
        </w:tc>
        <w:tc>
          <w:tcPr>
            <w:tcW w:w="1205" w:type="dxa"/>
          </w:tcPr>
          <w:p>
            <w:pPr>
              <w:pStyle w:val="Celda"/>
            </w:pPr>
            <w:r>
              <w:t xml:space="preserve">Patrocinador de la implantación · 30-11-2026</w:t>
            </w:r>
          </w:p>
        </w:tc>
        <w:tc>
          <w:tcPr>
            <w:tcW w:w="1205" w:type="dxa"/>
          </w:tcPr>
          <w:p>
            <w:pPr>
              <w:pStyle w:val="Celda"/>
            </w:pPr>
            <w:r>
              <w:t xml:space="preserve">Oficina de IA</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Cada entregable indica la versión de SEVEN-G, las adaptaciones y el reconocimiento de autoría con el aviso legal de 93 §11.9.</w:t>
      </w:r>
    </w:p>
    <w:p>
      <w:pPr>
        <w:pStyle w:val="Separador"/>
      </w:pPr>
    </w:p>
    <w:p>
      <w:pPr>
        <w:pStyle w:val="Heading1"/>
      </w:pPr>
      <w:r>
        <w:t xml:space="preserve">5. Registros, datos y herramientas</w:t>
      </w:r>
    </w:p>
    <w:p>
      <w:pPr>
        <w:pStyle w:val="Heading2"/>
      </w:pPr>
      <w:r>
        <w:t xml:space="preserve">5.1 Estado de las herramientas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Herramienta</w:t>
            </w:r>
          </w:p>
        </w:tc>
        <w:tc>
          <w:tcPr>
            <w:tcW w:w="1377" w:type="dxa"/>
            <w:shd w:val="clear" w:color="auto" w:fill="F2DFCE"/>
          </w:tcPr>
          <w:p>
            <w:pPr>
              <w:pStyle w:val="Celda"/>
            </w:pPr>
            <w:r>
              <w:rPr>
                <w:b/>
              </w:rPr>
              <w:t xml:space="preserve">Versión del esquema o de la herramienta</w:t>
            </w:r>
          </w:p>
        </w:tc>
        <w:tc>
          <w:tcPr>
            <w:tcW w:w="1377" w:type="dxa"/>
            <w:shd w:val="clear" w:color="auto" w:fill="F2DFCE"/>
          </w:tcPr>
          <w:p>
            <w:pPr>
              <w:pStyle w:val="Celda"/>
            </w:pPr>
            <w:r>
              <w:rPr>
                <w:b/>
              </w:rPr>
              <w:t xml:space="preserve">Fichero de datos entregado</w:t>
            </w:r>
          </w:p>
        </w:tc>
        <w:tc>
          <w:tcPr>
            <w:tcW w:w="1377" w:type="dxa"/>
            <w:shd w:val="clear" w:color="auto" w:fill="F2DFCE"/>
          </w:tcPr>
          <w:p>
            <w:pPr>
              <w:pStyle w:val="Celda"/>
            </w:pPr>
            <w:r>
              <w:rPr>
                <w:b/>
              </w:rPr>
              <w:t xml:space="preserve">Última actualización</w:t>
            </w:r>
          </w:p>
        </w:tc>
        <w:tc>
          <w:tcPr>
            <w:tcW w:w="1377" w:type="dxa"/>
            <w:shd w:val="clear" w:color="auto" w:fill="F2DFCE"/>
          </w:tcPr>
          <w:p>
            <w:pPr>
              <w:pStyle w:val="Celda"/>
            </w:pPr>
            <w:r>
              <w:rPr>
                <w:b/>
              </w:rPr>
              <w:t xml:space="preserve">Cómo se actualiza o se regenera</w:t>
            </w:r>
          </w:p>
        </w:tc>
        <w:tc>
          <w:tcPr>
            <w:tcW w:w="1377" w:type="dxa"/>
            <w:shd w:val="clear" w:color="auto" w:fill="F2DFCE"/>
          </w:tcPr>
          <w:p>
            <w:pPr>
              <w:pStyle w:val="Celda"/>
            </w:pPr>
            <w:r>
              <w:rPr>
                <w:b/>
              </w:rPr>
              <w:t xml:space="preserve">Responsable interno</w:t>
            </w:r>
          </w:p>
        </w:tc>
        <w:tc>
          <w:tcPr>
            <w:tcW w:w="1377" w:type="dxa"/>
            <w:shd w:val="clear" w:color="auto" w:fill="F2DFCE"/>
          </w:tcPr>
          <w:p>
            <w:pPr>
              <w:pStyle w:val="Celda"/>
            </w:pPr>
            <w:r>
              <w:rPr>
                <w:b/>
              </w:rPr>
              <w:t xml:space="preserve">Pendientes</w:t>
            </w:r>
          </w:p>
        </w:tc>
      </w:tr>
      <w:tr>
        <w:tc>
          <w:tcPr>
            <w:tcW w:w="1377" w:type="dxa"/>
          </w:tcPr>
          <w:p>
            <w:pPr>
              <w:pStyle w:val="Celda"/>
            </w:pPr>
            <w:r>
              <w:t xml:space="preserve">T01 · Registro de iniciativas</w:t>
            </w:r>
          </w:p>
        </w:tc>
        <w:tc>
          <w:tcPr>
            <w:tcW w:w="1377" w:type="dxa"/>
          </w:tcPr>
          <w:p>
            <w:pPr>
              <w:pStyle w:val="Celda"/>
            </w:pPr>
          </w:p>
        </w:tc>
        <w:tc>
          <w:tcPr>
            <w:tcW w:w="1377" w:type="dxa"/>
          </w:tcPr>
          <w:p>
            <w:pPr>
              <w:pStyle w:val="Celda"/>
            </w:pPr>
            <w:r>
              <w:t xml:space="preserve">JSON completo del registro</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T02 · Inventario de sistemas de IA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T06 · Matriz y registro de riesgos</w:t>
            </w:r>
          </w:p>
        </w:tc>
        <w:tc>
          <w:tcPr>
            <w:tcW w:w="1377" w:type="dxa"/>
          </w:tcPr>
          <w:p>
            <w:pPr>
              <w:pStyle w:val="Celda"/>
            </w:pPr>
          </w:p>
        </w:tc>
        <w:tc>
          <w:tcPr>
            <w:tcW w:w="1377" w:type="dxa"/>
          </w:tcPr>
          <w:p>
            <w:pPr>
              <w:pStyle w:val="Celda"/>
            </w:pPr>
            <w:r>
              <w:t xml:space="preserve">Exportación CSV o JSON de T01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T17 · Panel de IA para el consejo</w:t>
            </w:r>
          </w:p>
        </w:tc>
        <w:tc>
          <w:tcPr>
            <w:tcW w:w="1377" w:type="dxa"/>
          </w:tcPr>
          <w:p>
            <w:pPr>
              <w:pStyle w:val="Celda"/>
            </w:pPr>
          </w:p>
        </w:tc>
        <w:tc>
          <w:tcPr>
            <w:tcW w:w="1377" w:type="dxa"/>
          </w:tcPr>
          <w:p>
            <w:pPr>
              <w:pStyle w:val="Celda"/>
            </w:pPr>
            <w:r>
              <w:t xml:space="preserve">Fichero de datos del panel y huella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T18 · Registro de recomendaciones del consejo</w:t>
            </w:r>
          </w:p>
        </w:tc>
        <w:tc>
          <w:tcPr>
            <w:tcW w:w="1377" w:type="dxa"/>
          </w:tcPr>
          <w:p>
            <w:pPr>
              <w:pStyle w:val="Celda"/>
            </w:pPr>
          </w:p>
        </w:tc>
        <w:tc>
          <w:tcPr>
            <w:tcW w:w="1377" w:type="dxa"/>
          </w:tcPr>
          <w:p>
            <w:pPr>
              <w:pStyle w:val="Celda"/>
            </w:pPr>
            <w:r>
              <w:t xml:space="preserve">JSON o hoja de cálculo (P69)</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(otras usadas)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Heading2"/>
      </w:pPr>
      <w:r>
        <w:t xml:space="preserve">5.2 Accesos del tercero</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Sistema o repositorio</w:t>
            </w:r>
          </w:p>
        </w:tc>
        <w:tc>
          <w:tcPr>
            <w:tcW w:w="1928" w:type="dxa"/>
            <w:shd w:val="clear" w:color="auto" w:fill="F2DFCE"/>
          </w:tcPr>
          <w:p>
            <w:pPr>
              <w:pStyle w:val="Celda"/>
            </w:pPr>
            <w:r>
              <w:rPr>
                <w:b/>
              </w:rPr>
              <w:t xml:space="preserve">Tipo de acceso</w:t>
            </w:r>
          </w:p>
        </w:tc>
        <w:tc>
          <w:tcPr>
            <w:tcW w:w="1928" w:type="dxa"/>
            <w:shd w:val="clear" w:color="auto" w:fill="F2DFCE"/>
          </w:tcPr>
          <w:p>
            <w:pPr>
              <w:pStyle w:val="Celda"/>
            </w:pPr>
            <w:r>
              <w:rPr>
                <w:b/>
              </w:rPr>
              <w:t xml:space="preserve">Retirado (Sí · No)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Comprobado por</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Los accesos se retiran a la fecha de salida; si alguno se mantiene, se indica el motivo y la fecha de retirada.</w:t>
      </w:r>
    </w:p>
    <w:p>
      <w:pPr>
        <w:pStyle w:val="Heading2"/>
      </w:pPr>
      <w:r>
        <w:t xml:space="preserve">5.3 Evidencias y su ubicación</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Tipo de evidencia</w:t>
            </w:r>
          </w:p>
        </w:tc>
        <w:tc>
          <w:tcPr>
            <w:tcW w:w="2410" w:type="dxa"/>
            <w:shd w:val="clear" w:color="auto" w:fill="F2DFCE"/>
          </w:tcPr>
          <w:p>
            <w:pPr>
              <w:pStyle w:val="Celda"/>
            </w:pPr>
            <w:r>
              <w:rPr>
                <w:b/>
              </w:rPr>
              <w:t xml:space="preserve">Ubicación</w:t>
            </w:r>
          </w:p>
        </w:tc>
        <w:tc>
          <w:tcPr>
            <w:tcW w:w="2410" w:type="dxa"/>
            <w:shd w:val="clear" w:color="auto" w:fill="F2DFCE"/>
          </w:tcPr>
          <w:p>
            <w:pPr>
              <w:pStyle w:val="Celda"/>
            </w:pPr>
            <w:r>
              <w:rPr>
                <w:b/>
              </w:rPr>
              <w:t xml:space="preserve">Responsable interno</w:t>
            </w:r>
          </w:p>
        </w:tc>
        <w:tc>
          <w:tcPr>
            <w:tcW w:w="2410" w:type="dxa"/>
            <w:shd w:val="clear" w:color="auto" w:fill="F2DFCE"/>
          </w:tcPr>
          <w:p>
            <w:pPr>
              <w:pStyle w:val="Celda"/>
            </w:pPr>
            <w:r>
              <w:rPr>
                <w:b/>
              </w:rPr>
              <w:t xml:space="preserve">Observaciones</w:t>
            </w:r>
          </w:p>
        </w:tc>
      </w:tr>
      <w:tr>
        <w:tc>
          <w:tcPr>
            <w:tcW w:w="2410" w:type="dxa"/>
          </w:tcPr>
          <w:p>
            <w:pPr>
              <w:pStyle w:val="Celda"/>
            </w:pPr>
            <w:r>
              <w:t xml:space="preserve">Evidencias de </w:t>
            </w:r>
            <w:r>
              <w:rPr>
                <w:i/>
              </w:rPr>
              <w:t xml:space="preserve">gates</w:t>
            </w:r>
            <w:r>
              <w:t xml:space="preserve"> verificados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Evidencias de madurez</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Validaciones de valor</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Actas y decisiones</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6. Estado de la cartera a la fecha de salida</w:t>
      </w:r>
    </w:p>
    <w:p>
      <w:r>
        <w:t xml:space="preserve">Datos a la fecha de corte indicada, con la fuente (T01, T12) y las reglas del documento 40.</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Fecha de corte</w:t>
            </w:r>
          </w:p>
        </w:tc>
        <w:tc>
          <w:tcPr>
            <w:tcW w:w="3213" w:type="dxa"/>
          </w:tcPr>
          <w:p>
            <w:pPr>
              <w:pStyle w:val="Celda"/>
            </w:pPr>
          </w:p>
        </w:tc>
        <w:tc>
          <w:tcPr>
            <w:tcW w:w="3213" w:type="dxa"/>
          </w:tcPr>
          <w:p>
            <w:pPr>
              <w:pStyle w:val="Celda"/>
            </w:pPr>
          </w:p>
        </w:tc>
      </w:tr>
      <w:tr>
        <w:tc>
          <w:tcPr>
            <w:tcW w:w="3213" w:type="dxa"/>
          </w:tcPr>
          <w:p>
            <w:pPr>
              <w:pStyle w:val="Celda"/>
            </w:pPr>
            <w:r>
              <w:t xml:space="preserve">Iniciativas por fase y estado</w:t>
            </w:r>
          </w:p>
        </w:tc>
        <w:tc>
          <w:tcPr>
            <w:tcW w:w="3213" w:type="dxa"/>
          </w:tcPr>
          <w:p>
            <w:pPr>
              <w:pStyle w:val="Celda"/>
            </w:pPr>
          </w:p>
        </w:tc>
        <w:tc>
          <w:tcPr>
            <w:tcW w:w="3213" w:type="dxa"/>
          </w:tcPr>
          <w:p>
            <w:pPr>
              <w:pStyle w:val="Celda"/>
            </w:pPr>
            <w:r>
              <w:t xml:space="preserve">Fases 0–2, 3–5, en producción, en G7; paradas y retiradas.</w:t>
            </w:r>
          </w:p>
        </w:tc>
      </w:tr>
      <w:tr>
        <w:tc>
          <w:tcPr>
            <w:tcW w:w="3213" w:type="dxa"/>
          </w:tcPr>
          <w:p>
            <w:pPr>
              <w:pStyle w:val="Celda"/>
            </w:pPr>
            <w:r>
              <w:t xml:space="preserve">Estancadas y condiciones vencidas</w:t>
            </w:r>
          </w:p>
        </w:tc>
        <w:tc>
          <w:tcPr>
            <w:tcW w:w="3213" w:type="dxa"/>
          </w:tcPr>
          <w:p>
            <w:pPr>
              <w:pStyle w:val="Celda"/>
            </w:pPr>
          </w:p>
        </w:tc>
        <w:tc>
          <w:tcPr>
            <w:tcW w:w="3213" w:type="dxa"/>
          </w:tcPr>
          <w:p>
            <w:pPr>
              <w:pStyle w:val="Celda"/>
            </w:pPr>
            <w:r>
              <w:t xml:space="preserve">Con código.</w:t>
            </w:r>
          </w:p>
        </w:tc>
      </w:tr>
      <w:tr>
        <w:tc>
          <w:tcPr>
            <w:tcW w:w="3213" w:type="dxa"/>
          </w:tcPr>
          <w:p>
            <w:pPr>
              <w:pStyle w:val="Celda"/>
            </w:pPr>
            <w:r>
              <w:t xml:space="preserve">R6 vencidas en producción</w:t>
            </w:r>
          </w:p>
        </w:tc>
        <w:tc>
          <w:tcPr>
            <w:tcW w:w="3213" w:type="dxa"/>
          </w:tcPr>
          <w:p>
            <w:pPr>
              <w:pStyle w:val="Celda"/>
            </w:pPr>
          </w:p>
        </w:tc>
        <w:tc>
          <w:tcPr>
            <w:tcW w:w="3213" w:type="dxa"/>
          </w:tcPr>
          <w:p>
            <w:pPr>
              <w:pStyle w:val="Celda"/>
            </w:pPr>
          </w:p>
        </w:tc>
      </w:tr>
      <w:tr>
        <w:tc>
          <w:tcPr>
            <w:tcW w:w="3213" w:type="dxa"/>
          </w:tcPr>
          <w:p>
            <w:pPr>
              <w:pStyle w:val="Celda"/>
            </w:pPr>
            <w:r>
              <w:t xml:space="preserve">Valor neto anual y proporción validada</w:t>
            </w:r>
          </w:p>
        </w:tc>
        <w:tc>
          <w:tcPr>
            <w:tcW w:w="3213" w:type="dxa"/>
          </w:tcPr>
          <w:p>
            <w:pPr>
              <w:pStyle w:val="Celda"/>
            </w:pPr>
          </w:p>
        </w:tc>
        <w:tc>
          <w:tcPr>
            <w:tcW w:w="3213" w:type="dxa"/>
          </w:tcPr>
          <w:p>
            <w:pPr>
              <w:pStyle w:val="Celda"/>
            </w:pPr>
            <w:r>
              <w:t xml:space="preserve">Eficiencias, retorno y coste recurrente por separado; capacidad liberada aparte.</w:t>
            </w:r>
          </w:p>
        </w:tc>
      </w:tr>
      <w:tr>
        <w:tc>
          <w:tcPr>
            <w:tcW w:w="3213" w:type="dxa"/>
          </w:tcPr>
          <w:p>
            <w:pPr>
              <w:pStyle w:val="Celda"/>
            </w:pPr>
            <w:r>
              <w:t xml:space="preserve">Casos con neto anual negativo</w:t>
            </w:r>
          </w:p>
        </w:tc>
        <w:tc>
          <w:tcPr>
            <w:tcW w:w="3213" w:type="dxa"/>
          </w:tcPr>
          <w:p>
            <w:pPr>
              <w:pStyle w:val="Celda"/>
            </w:pPr>
          </w:p>
        </w:tc>
        <w:tc>
          <w:tcPr>
            <w:tcW w:w="3213" w:type="dxa"/>
          </w:tcPr>
          <w:p>
            <w:pPr>
              <w:pStyle w:val="Celda"/>
            </w:pPr>
            <w:r>
              <w:t xml:space="preserve">Individualmente.</w:t>
            </w:r>
          </w:p>
        </w:tc>
      </w:tr>
      <w:tr>
        <w:tc>
          <w:tcPr>
            <w:tcW w:w="3213" w:type="dxa"/>
          </w:tcPr>
          <w:p>
            <w:pPr>
              <w:pStyle w:val="Celda"/>
            </w:pPr>
            <w:r>
              <w:t xml:space="preserve">Sistemas pendientes de regularización</w:t>
            </w:r>
          </w:p>
        </w:tc>
        <w:tc>
          <w:tcPr>
            <w:tcW w:w="3213" w:type="dxa"/>
          </w:tcPr>
          <w:p>
            <w:pPr>
              <w:pStyle w:val="Celda"/>
            </w:pPr>
          </w:p>
        </w:tc>
        <w:tc>
          <w:tcPr>
            <w:tcW w:w="3213" w:type="dxa"/>
          </w:tcPr>
          <w:p>
            <w:pPr>
              <w:pStyle w:val="Celda"/>
            </w:pPr>
            <w:r>
              <w:t xml:space="preserve">Con plazo aprobado (90 §5).</w:t>
            </w:r>
          </w:p>
        </w:tc>
      </w:tr>
      <w:tr>
        <w:tc>
          <w:tcPr>
            <w:tcW w:w="3213" w:type="dxa"/>
          </w:tcPr>
          <w:p>
            <w:pPr>
              <w:pStyle w:val="Celda"/>
            </w:pPr>
            <w:r>
              <w:t xml:space="preserve">Clasificación regulatoria pendiente</w:t>
            </w:r>
          </w:p>
        </w:tc>
        <w:tc>
          <w:tcPr>
            <w:tcW w:w="3213" w:type="dxa"/>
          </w:tcPr>
          <w:p>
            <w:pPr>
              <w:pStyle w:val="Celda"/>
            </w:pPr>
          </w:p>
        </w:tc>
        <w:tc>
          <w:tcPr>
            <w:tcW w:w="3213" w:type="dxa"/>
          </w:tcPr>
          <w:p>
            <w:pPr>
              <w:pStyle w:val="Celda"/>
            </w:pPr>
            <w:r>
              <w:t xml:space="preserve">Sistemas sin clasificar con criterio jurídico.</w:t>
            </w:r>
          </w:p>
        </w:tc>
      </w:tr>
      <w:tr>
        <w:tc>
          <w:tcPr>
            <w:tcW w:w="3213" w:type="dxa"/>
          </w:tcPr>
          <w:p>
            <w:pPr>
              <w:pStyle w:val="Celda"/>
            </w:pPr>
            <w:r>
              <w:t xml:space="preserve">Semáforo de programas</w:t>
            </w:r>
          </w:p>
        </w:tc>
        <w:tc>
          <w:tcPr>
            <w:tcW w:w="3213" w:type="dxa"/>
          </w:tcPr>
          <w:p>
            <w:pPr>
              <w:pStyle w:val="Celda"/>
            </w:pPr>
          </w:p>
        </w:tc>
        <w:tc>
          <w:tcPr>
            <w:tcW w:w="3213" w:type="dxa"/>
          </w:tcPr>
          <w:p>
            <w:pPr>
              <w:pStyle w:val="Celda"/>
            </w:pPr>
            <w:r>
              <w:t xml:space="preserve">Última versión (P67 §6).</w:t>
            </w:r>
          </w:p>
        </w:tc>
      </w:tr>
    </w:tbl>
    <w:p>
      <w:pPr>
        <w:pStyle w:val="Espacio"/>
      </w:pPr>
    </w:p>
    <w:p>
      <w:pPr>
        <w:pStyle w:val="Separador"/>
      </w:pPr>
    </w:p>
    <w:p>
      <w:pPr>
        <w:pStyle w:val="Heading1"/>
      </w:pPr>
      <w:r>
        <w:t xml:space="preserve">7. Decisiones y recomendaciones pendientes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Código</w:t>
            </w:r>
          </w:p>
        </w:tc>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Texto abreviado</w:t>
            </w:r>
          </w:p>
        </w:tc>
        <w:tc>
          <w:tcPr>
            <w:tcW w:w="1205" w:type="dxa"/>
            <w:shd w:val="clear" w:color="auto" w:fill="F2DFCE"/>
          </w:tcPr>
          <w:p>
            <w:pPr>
              <w:pStyle w:val="Celda"/>
            </w:pPr>
            <w:r>
              <w:rPr>
                <w:b/>
              </w:rPr>
              <w:t xml:space="preserve">Órgano</w:t>
            </w:r>
          </w:p>
        </w:tc>
        <w:tc>
          <w:tcPr>
            <w:tcW w:w="1205" w:type="dxa"/>
            <w:shd w:val="clear" w:color="auto" w:fill="F2DFCE"/>
          </w:tcPr>
          <w:p>
            <w:pPr>
              <w:pStyle w:val="Celda"/>
            </w:pPr>
            <w:r>
              <w:rPr>
                <w:b/>
              </w:rPr>
              <w:t xml:space="preserve">Responsable interno</w:t>
            </w:r>
          </w:p>
        </w:tc>
        <w:tc>
          <w:tcPr>
            <w:tcW w:w="1205" w:type="dxa"/>
            <w:shd w:val="clear" w:color="auto" w:fill="F2DFCE"/>
          </w:tcPr>
          <w:p>
            <w:pPr>
              <w:pStyle w:val="Celda"/>
            </w:pPr>
            <w:r>
              <w:rPr>
                <w:b/>
              </w:rPr>
              <w:t xml:space="preserve">Fecha comprometida vigente</w:t>
            </w:r>
          </w:p>
        </w:tc>
        <w:tc>
          <w:tcPr>
            <w:tcW w:w="1205" w:type="dxa"/>
            <w:shd w:val="clear" w:color="auto" w:fill="F2DFCE"/>
          </w:tcPr>
          <w:p>
            <w:pPr>
              <w:pStyle w:val="Celda"/>
            </w:pPr>
            <w:r>
              <w:rPr>
                <w:b/>
              </w:rPr>
              <w:t xml:space="preserve">Estado declarado</w:t>
            </w:r>
          </w:p>
        </w:tc>
        <w:tc>
          <w:tcPr>
            <w:tcW w:w="1205" w:type="dxa"/>
            <w:shd w:val="clear" w:color="auto" w:fill="F2DFCE"/>
          </w:tcPr>
          <w:p>
            <w:pPr>
              <w:pStyle w:val="Celda"/>
            </w:pPr>
            <w:r>
              <w:rPr>
                <w:b/>
              </w:rPr>
              <w:t xml:space="preserve">Valoración</w:t>
            </w:r>
          </w:p>
        </w:tc>
      </w:tr>
      <w:tr>
        <w:tc>
          <w:tcPr>
            <w:tcW w:w="1205" w:type="dxa"/>
          </w:tcPr>
          <w:p>
            <w:pPr>
              <w:pStyle w:val="Celda"/>
            </w:pPr>
          </w:p>
        </w:tc>
        <w:tc>
          <w:tcPr>
            <w:tcW w:w="1205" w:type="dxa"/>
          </w:tcPr>
          <w:p>
            <w:pPr>
              <w:pStyle w:val="Celda"/>
            </w:pPr>
            <w:r>
              <w:t xml:space="preserve">DEC · REC</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Extracto de P69. Si el tercero era valorador de alguna recomendación, se designa el nuevo valorador independiente.</w:t>
      </w:r>
    </w:p>
    <w:p>
      <w:pPr>
        <w:pStyle w:val="Separador"/>
      </w:pPr>
    </w:p>
    <w:p>
      <w:pPr>
        <w:pStyle w:val="Heading1"/>
      </w:pPr>
      <w:r>
        <w:t xml:space="preserve">8. Nota de riesgos abiertos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w:t>
            </w:r>
          </w:p>
        </w:tc>
        <w:tc>
          <w:tcPr>
            <w:tcW w:w="1377" w:type="dxa"/>
            <w:shd w:val="clear" w:color="auto" w:fill="F2DFCE"/>
          </w:tcPr>
          <w:p>
            <w:pPr>
              <w:pStyle w:val="Celda"/>
            </w:pPr>
            <w:r>
              <w:rPr>
                <w:b/>
              </w:rPr>
              <w:t xml:space="preserve">Riesgo</w:t>
            </w:r>
          </w:p>
        </w:tc>
        <w:tc>
          <w:tcPr>
            <w:tcW w:w="1377" w:type="dxa"/>
            <w:shd w:val="clear" w:color="auto" w:fill="F2DFCE"/>
          </w:tcPr>
          <w:p>
            <w:pPr>
              <w:pStyle w:val="Celda"/>
            </w:pPr>
            <w:r>
              <w:rPr>
                <w:b/>
              </w:rPr>
              <w:t xml:space="preserve">Iniciativa o ámbito</w:t>
            </w:r>
          </w:p>
        </w:tc>
        <w:tc>
          <w:tcPr>
            <w:tcW w:w="1377" w:type="dxa"/>
            <w:shd w:val="clear" w:color="auto" w:fill="F2DFCE"/>
          </w:tcPr>
          <w:p>
            <w:pPr>
              <w:pStyle w:val="Celda"/>
            </w:pPr>
            <w:r>
              <w:rPr>
                <w:b/>
              </w:rPr>
              <w:t xml:space="preserve">Nivel residual</w:t>
            </w:r>
          </w:p>
        </w:tc>
        <w:tc>
          <w:tcPr>
            <w:tcW w:w="1377" w:type="dxa"/>
            <w:shd w:val="clear" w:color="auto" w:fill="F2DFCE"/>
          </w:tcPr>
          <w:p>
            <w:pPr>
              <w:pStyle w:val="Celda"/>
            </w:pPr>
            <w:r>
              <w:rPr>
                <w:b/>
              </w:rPr>
              <w:t xml:space="preserve">Responsable interno</w:t>
            </w:r>
          </w:p>
        </w:tc>
        <w:tc>
          <w:tcPr>
            <w:tcW w:w="1377" w:type="dxa"/>
            <w:shd w:val="clear" w:color="auto" w:fill="F2DFCE"/>
          </w:tcPr>
          <w:p>
            <w:pPr>
              <w:pStyle w:val="Celda"/>
            </w:pPr>
            <w:r>
              <w:rPr>
                <w:b/>
              </w:rPr>
              <w:t xml:space="preserve">Próxima revisión</w:t>
            </w:r>
          </w:p>
        </w:tc>
        <w:tc>
          <w:tcPr>
            <w:tcW w:w="1377" w:type="dxa"/>
            <w:shd w:val="clear" w:color="auto" w:fill="F2DFCE"/>
          </w:tcPr>
          <w:p>
            <w:pPr>
              <w:pStyle w:val="Celda"/>
            </w:pPr>
            <w:r>
              <w:rPr>
                <w:b/>
              </w:rPr>
              <w:t xml:space="preserve">Observación</w:t>
            </w:r>
          </w:p>
        </w:tc>
      </w:tr>
      <w:tr>
        <w:tc>
          <w:tcPr>
            <w:tcW w:w="1377" w:type="dxa"/>
          </w:tcPr>
          <w:p>
            <w:pPr>
              <w:pStyle w:val="Celda"/>
            </w:pPr>
            <w:r>
              <w:t xml:space="preserve">1 </w:t>
            </w:r>
            <w:r>
              <w:rPr>
                <w:i/>
              </w:rPr>
              <w:t xml:space="preserve">(ejemplo ilustrativo)</w:t>
            </w:r>
          </w:p>
        </w:tc>
        <w:tc>
          <w:tcPr>
            <w:tcW w:w="1377" w:type="dxa"/>
          </w:tcPr>
          <w:p>
            <w:pPr>
              <w:pStyle w:val="Celda"/>
            </w:pPr>
            <w:r>
              <w:t xml:space="preserve">La oficina de IA no dispone todavía de una segunda persona formada en el mantenimiento del registro</w:t>
            </w:r>
          </w:p>
        </w:tc>
        <w:tc>
          <w:tcPr>
            <w:tcW w:w="1377" w:type="dxa"/>
          </w:tcPr>
          <w:p>
            <w:pPr>
              <w:pStyle w:val="Celda"/>
            </w:pPr>
            <w:r>
              <w:t xml:space="preserve">Transferencia</w:t>
            </w:r>
          </w:p>
        </w:tc>
        <w:tc>
          <w:tcPr>
            <w:tcW w:w="1377" w:type="dxa"/>
          </w:tcPr>
          <w:p>
            <w:pPr>
              <w:pStyle w:val="Celda"/>
            </w:pPr>
            <w:r>
              <w:t xml:space="preserve">Medio</w:t>
            </w:r>
          </w:p>
        </w:tc>
        <w:tc>
          <w:tcPr>
            <w:tcW w:w="1377" w:type="dxa"/>
          </w:tcPr>
          <w:p>
            <w:pPr>
              <w:pStyle w:val="Celda"/>
            </w:pPr>
            <w:r>
              <w:t xml:space="preserve">Dirección de la oficina de IA</w:t>
            </w:r>
          </w:p>
        </w:tc>
        <w:tc>
          <w:tcPr>
            <w:tcW w:w="1377" w:type="dxa"/>
          </w:tcPr>
          <w:p>
            <w:pPr>
              <w:pStyle w:val="Celda"/>
            </w:pPr>
            <w:r>
              <w:t xml:space="preserve">30-04-2027</w:t>
            </w:r>
          </w:p>
        </w:tc>
        <w:tc>
          <w:tcPr>
            <w:tcW w:w="1377" w:type="dxa"/>
          </w:tcPr>
          <w:p>
            <w:pPr>
              <w:pStyle w:val="Celda"/>
            </w:pPr>
            <w:r>
              <w:t xml:space="preserve">Formación de un suplente incluida en el plan anual</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Incluye los riesgos Alto y Crítico de la cartera (P12, T06), las no conformidades abiertas (P50) y los riesgos de la propia transferencia (dependencia del tercero, personas clave, herramientas sin responsable). Escala de riesgo P×I 5×5 del documento 33.</w:t>
      </w:r>
    </w:p>
    <w:p>
      <w:pPr>
        <w:pStyle w:val="Separador"/>
      </w:pPr>
    </w:p>
    <w:p>
      <w:pPr>
        <w:pStyle w:val="Heading1"/>
      </w:pPr>
      <w:r>
        <w:t xml:space="preserve">9. Independencia después de la salida y lecciones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Ámbitos en los que el tercero no podrá auditar ni valorar</w:t>
            </w:r>
          </w:p>
        </w:tc>
        <w:tc>
          <w:tcPr>
            <w:tcW w:w="3213" w:type="dxa"/>
          </w:tcPr>
          <w:p>
            <w:pPr>
              <w:pStyle w:val="Celda"/>
            </w:pPr>
          </w:p>
        </w:tc>
        <w:tc>
          <w:tcPr>
            <w:tcW w:w="3213" w:type="dxa"/>
          </w:tcPr>
          <w:p>
            <w:pPr>
              <w:pStyle w:val="Celda"/>
            </w:pPr>
            <w:r>
              <w:t xml:space="preserve">Los implantados, acompañados o auditados (91 §5.2).</w:t>
            </w:r>
          </w:p>
        </w:tc>
      </w:tr>
      <w:tr>
        <w:tc>
          <w:tcPr>
            <w:tcW w:w="3213" w:type="dxa"/>
          </w:tcPr>
          <w:p>
            <w:pPr>
              <w:pStyle w:val="Celda"/>
            </w:pPr>
            <w:r>
              <w:t xml:space="preserve">Periodo de separación</w:t>
            </w:r>
          </w:p>
        </w:tc>
        <w:tc>
          <w:tcPr>
            <w:tcW w:w="3213" w:type="dxa"/>
          </w:tcPr>
          <w:p>
            <w:pPr>
              <w:pStyle w:val="Celda"/>
            </w:pPr>
          </w:p>
        </w:tc>
        <w:tc>
          <w:tcPr>
            <w:tcW w:w="3213" w:type="dxa"/>
          </w:tcPr>
          <w:p>
            <w:pPr>
              <w:pStyle w:val="Celda"/>
            </w:pPr>
            <w:r>
              <w:t xml:space="preserve">Al menos una C5 completa (91 §5.3); fecha a partir de la cual termina.</w:t>
            </w:r>
          </w:p>
        </w:tc>
      </w:tr>
      <w:tr>
        <w:tc>
          <w:tcPr>
            <w:tcW w:w="3213" w:type="dxa"/>
          </w:tcPr>
          <w:p>
            <w:pPr>
              <w:pStyle w:val="Celda"/>
            </w:pPr>
            <w:r>
              <w:t xml:space="preserve">Personas que pasan del tercero a la compañía o al revés</w:t>
            </w:r>
          </w:p>
        </w:tc>
        <w:tc>
          <w:tcPr>
            <w:tcW w:w="3213" w:type="dxa"/>
          </w:tcPr>
          <w:p>
            <w:pPr>
              <w:pStyle w:val="Celda"/>
            </w:pPr>
          </w:p>
        </w:tc>
        <w:tc>
          <w:tcPr>
            <w:tcW w:w="3213" w:type="dxa"/>
          </w:tcPr>
          <w:p>
            <w:pPr>
              <w:pStyle w:val="Celda"/>
            </w:pPr>
            <w:r>
              <w:t xml:space="preserve">Se les aplican las incompatibilidades durante el periodo de separación.</w:t>
            </w:r>
          </w:p>
        </w:tc>
      </w:tr>
      <w:tr>
        <w:tc>
          <w:tcPr>
            <w:tcW w:w="3213" w:type="dxa"/>
          </w:tcPr>
          <w:p>
            <w:pPr>
              <w:pStyle w:val="Celda"/>
            </w:pPr>
            <w:r>
              <w:t xml:space="preserve">Lecciones del encargo</w:t>
            </w:r>
          </w:p>
        </w:tc>
        <w:tc>
          <w:tcPr>
            <w:tcW w:w="3213" w:type="dxa"/>
          </w:tcPr>
          <w:p>
            <w:pPr>
              <w:pStyle w:val="Celda"/>
            </w:pPr>
          </w:p>
        </w:tc>
        <w:tc>
          <w:tcPr>
            <w:tcW w:w="3213" w:type="dxa"/>
          </w:tcPr>
          <w:p>
            <w:pPr>
              <w:pStyle w:val="Celda"/>
            </w:pPr>
            <w:r>
              <w:t xml:space="preserve">Qué funcionó, qué no y qué cambiaría la compañía.</w:t>
            </w:r>
          </w:p>
        </w:tc>
      </w:tr>
      <w:tr>
        <w:tc>
          <w:tcPr>
            <w:tcW w:w="3213" w:type="dxa"/>
          </w:tcPr>
          <w:p>
            <w:pPr>
              <w:pStyle w:val="Celda"/>
            </w:pPr>
            <w:r>
              <w:t xml:space="preserve">Apoyo posterior acordado</w:t>
            </w:r>
          </w:p>
        </w:tc>
        <w:tc>
          <w:tcPr>
            <w:tcW w:w="3213" w:type="dxa"/>
          </w:tcPr>
          <w:p>
            <w:pPr>
              <w:pStyle w:val="Celda"/>
            </w:pPr>
          </w:p>
        </w:tc>
        <w:tc>
          <w:tcPr>
            <w:tcW w:w="3213" w:type="dxa"/>
          </w:tcPr>
          <w:p>
            <w:pPr>
              <w:pStyle w:val="Celda"/>
            </w:pPr>
            <w:r>
              <w:t xml:space="preserve">Si existe, con alcance y fecha; nunca como condición para leer o mantener lo entregado.</w:t>
            </w:r>
          </w:p>
        </w:tc>
      </w:tr>
    </w:tbl>
    <w:p>
      <w:pPr>
        <w:pStyle w:val="Espacio"/>
      </w:pPr>
    </w:p>
    <w:p>
      <w:pPr>
        <w:pStyle w:val="Separador"/>
      </w:pPr>
    </w:p>
    <w:p>
      <w:pPr>
        <w:pStyle w:val="Heading1"/>
      </w:pPr>
      <w:r>
        <w:t xml:space="preserve">10.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Cada capacidad tiene rol receptor, hito y evidencia de que la compañía la ejerce sola.</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Todos los entregables están en formato abierto, con ubicación y responsable interno.</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 compañía puede actualizar T01, T17 y T18 sin el tercero (91 §7.3).</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decisiones y recomendaciones pendientes tienen responsable interno y, si procede, nuevo valorador.</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 nota de riesgos abiertos incluye los de la transferencia.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Los accesos del tercero están retirados o justificados.</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En M2, se cumplen los criterios de 90 §4.5 y la oficina de IA ha preparado al menos una decisión de </w:t>
            </w:r>
            <w:r>
              <w:rPr>
                <w:i/>
              </w:rPr>
              <w:t xml:space="preserve">gate</w:t>
            </w:r>
            <w:r>
              <w:t xml:space="preserve"> y un paquete con apoyo, no por delegación (91 §4.3).</w:t>
            </w:r>
          </w:p>
        </w:tc>
        <w:tc>
          <w:tcPr>
            <w:tcW w:w="3213" w:type="dxa"/>
          </w:tcPr>
          <w:p>
            <w:pPr>
              <w:pStyle w:val="Celda"/>
            </w:pPr>
          </w:p>
        </w:tc>
      </w:tr>
    </w:tbl>
    <w:p>
      <w:pPr>
        <w:pStyle w:val="Espacio"/>
      </w:pPr>
    </w:p>
    <w:p>
      <w:pPr>
        <w:pStyle w:val="Separador"/>
      </w:pPr>
    </w:p>
    <w:p>
      <w:pPr>
        <w:pStyle w:val="Heading1"/>
      </w:pPr>
      <w:r>
        <w:t xml:space="preserve">11.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Responsable del servicio del tercero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Recibe y verifica las capacidades</w:t>
            </w:r>
          </w:p>
        </w:tc>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 las cifras de la cartera</w:t>
            </w:r>
          </w:p>
        </w:tc>
        <w:tc>
          <w:tcPr>
            <w:tcW w:w="1928" w:type="dxa"/>
          </w:tcPr>
          <w:p>
            <w:pPr>
              <w:pStyle w:val="Celda"/>
            </w:pPr>
            <w:r>
              <w:t xml:space="preserve">Control de gestión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 la nota de riesgos abiertos</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Acepta la salida</w:t>
            </w:r>
          </w:p>
        </w:tc>
        <w:tc>
          <w:tcPr>
            <w:tcW w:w="1928" w:type="dxa"/>
          </w:tcPr>
          <w:p>
            <w:pPr>
              <w:pStyle w:val="Celda"/>
            </w:pPr>
            <w:r>
              <w:t xml:space="preserve">Quien encargó el servicio · comité de IA en M5</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el tercero no declara transferida una capacidad; lo hace la oficina de IA con la evidencia de que la ejerce sola.</w:t>
      </w:r>
    </w:p>
    <w:p>
      <w:pPr>
        <w:pStyle w:val="Separador"/>
      </w:pPr>
    </w:p>
    <w:p>
      <w:pPr>
        <w:pStyle w:val="Heading1"/>
      </w:pPr>
      <w:r>
        <w:t xml:space="preserve">12.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Plan de transferencia de capacidades con hitos de reducción del servicio y nota de salida con inventario de entregables, estado de herramientas y cartera, pendientes, riesgos abiertos, accesos y periodo de separación (91 §4.6, §5.3 y §7.3).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P71 · Plan de transferencia y nota de salida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P71 · Plan de transferencia y nota de salida</dc:title>
  <dc:creator>Fernando García Varela</dc:creator>
  <dc:language>es</dc:language>
  <dc:description>sha256:655e2fa6fa8979402de756086b8661a1aa69f28191da854ae8e203541aef5869</dc:description>
  <cp:keywords>SEVEN-G</cp:keywords>
</cp:coreProperties>
</file>