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Operations manual</w:t>
      </w:r>
    </w:p>
    <w:p>
      <w:r>
        <w:rPr>
          <w:b/>
        </w:rPr>
        <w:t xml:space="preserve">Brings together what is needed to operate the AI system in production in a stable and controlled manner: owners, routines, changes, common situations, continuity and records.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P24 · Operations manual</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It is drafted in phase 5 (a requirement of P23) and approved at the start of phase 6. It is kept alive throughout operation.</w:t>
            </w:r>
          </w:p>
        </w:tc>
      </w:tr>
      <w:tr>
        <w:tc>
          <w:tcPr>
            <w:tcW w:w="4819" w:type="dxa"/>
          </w:tcPr>
          <w:p>
            <w:pPr>
              <w:pStyle w:val="Celda"/>
            </w:pPr>
            <w:r>
              <w:rPr>
                <w:b/>
              </w:rPr>
              <w:t xml:space="preserve">Who completes it</w:t>
            </w:r>
          </w:p>
        </w:tc>
        <w:tc>
          <w:tcPr>
            <w:tcW w:w="4819" w:type="dxa"/>
          </w:tcPr>
          <w:p>
            <w:pPr>
              <w:pStyle w:val="Celda"/>
            </w:pPr>
            <w:r>
              <w:t xml:space="preserve">AI Operations Owner, with the AI Technical Owner.</w:t>
            </w:r>
          </w:p>
        </w:tc>
      </w:tr>
      <w:tr>
        <w:tc>
          <w:tcPr>
            <w:tcW w:w="4819" w:type="dxa"/>
          </w:tcPr>
          <w:p>
            <w:pPr>
              <w:pStyle w:val="Celda"/>
            </w:pPr>
            <w:r>
              <w:rPr>
                <w:b/>
              </w:rPr>
              <w:t xml:space="preserve">Who verifies it</w:t>
            </w:r>
          </w:p>
        </w:tc>
        <w:tc>
          <w:tcPr>
            <w:tcW w:w="4819" w:type="dxa"/>
          </w:tcPr>
          <w:p>
            <w:pPr>
              <w:pStyle w:val="Celda"/>
            </w:pPr>
            <w:r>
              <w:t xml:space="preserve">AI Office at Lite intensity; AI Auditor at Enterprise intensity.</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Prerequisite for G5; its currency is checked at each R6 continuity review.</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w:t>
            </w:r>
          </w:p>
        </w:tc>
      </w:tr>
      <w:tr>
        <w:tc>
          <w:tcPr>
            <w:tcW w:w="4819" w:type="dxa"/>
          </w:tcPr>
          <w:p>
            <w:pPr>
              <w:pStyle w:val="Celda"/>
            </w:pPr>
            <w:r>
              <w:rPr>
                <w:b/>
              </w:rPr>
              <w:t xml:space="preserve">Relationship</w:t>
            </w:r>
          </w:p>
        </w:tc>
        <w:tc>
          <w:tcPr>
            <w:tcW w:w="4819" w:type="dxa"/>
          </w:tcPr>
          <w:p>
            <w:pPr>
              <w:pStyle w:val="Celda"/>
            </w:pPr>
            <w:r>
              <w:t xml:space="preserve">P16 Lineage · P17 Human oversight · P18 Security · P19 Rollback · P25 Monitoring and alerts · P26 Incident response · P27 Incident and change log · P28 Value tracking · document 52 (AI operations manual).</w:t>
            </w:r>
          </w:p>
        </w:tc>
      </w:tr>
    </w:tbl>
    <w:p>
      <w:pPr>
        <w:pStyle w:val="Espacio"/>
      </w:pPr>
    </w:p>
    <w:p>
      <w:r>
        <w:t xml:space="preserve">Rules:</w:t>
      </w:r>
    </w:p>
    <w:p>
      <w:pPr>
        <w:pStyle w:val="Lista"/>
      </w:pPr>
      <w:r>
        <w:t xml:space="preserve">• The manual must be usable by an on-call person who </w:t>
      </w:r>
      <w:r>
        <w:rPr>
          <w:b/>
        </w:rPr>
        <w:t xml:space="preserve">has not taken part in the build</w:t>
      </w:r>
      <w:r>
        <w:t xml:space="preserve">.</w:t>
      </w:r>
    </w:p>
    <w:p>
      <w:pPr>
        <w:pStyle w:val="Lista"/>
      </w:pPr>
      <w:r>
        <w:t xml:space="preserve">• Detailed technical procedures may reside in the company's operations tool; here they are linked with their version.</w:t>
      </w:r>
    </w:p>
    <w:p>
      <w:pPr>
        <w:pStyle w:val="Lista"/>
      </w:pPr>
      <w:r>
        <w:t xml:space="preserve">• Every change in production is classified and recorded in P27 before it is executed, except emergency changes, which are recorded immediately afterwards.</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Identifier in the inventory (T02).</w:t>
            </w:r>
          </w:p>
        </w:tc>
      </w:tr>
      <w:tr>
        <w:tc>
          <w:tcPr>
            <w:tcW w:w="3213" w:type="dxa"/>
          </w:tcPr>
          <w:p>
            <w:pPr>
              <w:pStyle w:val="Celda"/>
            </w:pPr>
            <w:r>
              <w:t xml:space="preserve">Version in production</w:t>
            </w:r>
          </w:p>
        </w:tc>
        <w:tc>
          <w:tcPr>
            <w:tcW w:w="3213" w:type="dxa"/>
          </w:tcPr>
          <w:p>
            <w:pPr>
              <w:pStyle w:val="Celda"/>
            </w:pPr>
          </w:p>
        </w:tc>
        <w:tc>
          <w:tcPr>
            <w:tcW w:w="3213" w:type="dxa"/>
          </w:tcPr>
          <w:p>
            <w:pPr>
              <w:pStyle w:val="Celda"/>
            </w:pPr>
            <w:r>
              <w:t xml:space="preserve">Model, instructions and configuration (P16).</w:t>
            </w:r>
          </w:p>
        </w:tc>
      </w:tr>
      <w:tr>
        <w:tc>
          <w:tcPr>
            <w:tcW w:w="3213" w:type="dxa"/>
          </w:tcPr>
          <w:p>
            <w:pPr>
              <w:pStyle w:val="Celda"/>
            </w:pPr>
            <w:r>
              <w:t xml:space="preserve">Go-live date</w:t>
            </w:r>
          </w:p>
        </w:tc>
        <w:tc>
          <w:tcPr>
            <w:tcW w:w="3213" w:type="dxa"/>
          </w:tcPr>
          <w:p>
            <w:pPr>
              <w:pStyle w:val="Celda"/>
            </w:pPr>
          </w:p>
        </w:tc>
        <w:tc>
          <w:tcPr>
            <w:tcW w:w="3213" w:type="dxa"/>
          </w:tcPr>
          <w:p>
            <w:pPr>
              <w:pStyle w:val="Celda"/>
            </w:pPr>
            <w:r>
              <w:t xml:space="preserve">As per P23.</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 Determines the frequency of R6: quarterly at Enterprise and half-yearly at Lite.</w:t>
            </w:r>
          </w:p>
        </w:tc>
      </w:tr>
      <w:tr>
        <w:tc>
          <w:tcPr>
            <w:tcW w:w="3213" w:type="dxa"/>
          </w:tcPr>
          <w:p>
            <w:pPr>
              <w:pStyle w:val="Celda"/>
            </w:pPr>
            <w:r>
              <w:t xml:space="preserve">Autonomy level</w:t>
            </w:r>
          </w:p>
        </w:tc>
        <w:tc>
          <w:tcPr>
            <w:tcW w:w="3213" w:type="dxa"/>
          </w:tcPr>
          <w:p>
            <w:pPr>
              <w:pStyle w:val="Celda"/>
            </w:pPr>
          </w:p>
        </w:tc>
        <w:tc>
          <w:tcPr>
            <w:tcW w:w="3213" w:type="dxa"/>
          </w:tcPr>
          <w:p>
            <w:pPr>
              <w:pStyle w:val="Celda"/>
            </w:pPr>
            <w:r>
              <w:t xml:space="preserve">A0 · A1 · A2 · A3.</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DD-MM-YYYY.</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Draft · Submitted for verification · Verified · Approved · Superseded.</w:t>
            </w:r>
          </w:p>
        </w:tc>
      </w:tr>
    </w:tbl>
    <w:p>
      <w:pPr>
        <w:pStyle w:val="Espacio"/>
      </w:pPr>
    </w:p>
    <w:p>
      <w:pPr>
        <w:pStyle w:val="Separador"/>
      </w:pPr>
    </w:p>
    <w:p>
      <w:pPr>
        <w:pStyle w:val="Heading1"/>
      </w:pPr>
      <w:r>
        <w:t xml:space="preserve">3. Operational description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What the system does</w:t>
            </w:r>
          </w:p>
        </w:tc>
        <w:tc>
          <w:tcPr>
            <w:tcW w:w="3213" w:type="dxa"/>
          </w:tcPr>
          <w:p>
            <w:pPr>
              <w:pStyle w:val="Celda"/>
            </w:pPr>
          </w:p>
        </w:tc>
        <w:tc>
          <w:tcPr>
            <w:tcW w:w="3213" w:type="dxa"/>
          </w:tcPr>
          <w:p>
            <w:pPr>
              <w:pStyle w:val="Celda"/>
            </w:pPr>
            <w:r>
              <w:t xml:space="preserve">Summary of P31, in plain language.</w:t>
            </w:r>
          </w:p>
        </w:tc>
      </w:tr>
      <w:tr>
        <w:tc>
          <w:tcPr>
            <w:tcW w:w="3213" w:type="dxa"/>
          </w:tcPr>
          <w:p>
            <w:pPr>
              <w:pStyle w:val="Celda"/>
            </w:pPr>
            <w:r>
              <w:t xml:space="preserve">Users and service hours</w:t>
            </w:r>
          </w:p>
        </w:tc>
        <w:tc>
          <w:tcPr>
            <w:tcW w:w="3213" w:type="dxa"/>
          </w:tcPr>
          <w:p>
            <w:pPr>
              <w:pStyle w:val="Celda"/>
            </w:pPr>
          </w:p>
        </w:tc>
        <w:tc>
          <w:tcPr>
            <w:tcW w:w="3213" w:type="dxa"/>
          </w:tcPr>
          <w:p>
            <w:pPr>
              <w:pStyle w:val="Celda"/>
            </w:pPr>
            <w:r>
              <w:t xml:space="preserve">Who uses it and when it must be available.</w:t>
            </w:r>
          </w:p>
        </w:tc>
      </w:tr>
      <w:tr>
        <w:tc>
          <w:tcPr>
            <w:tcW w:w="3213" w:type="dxa"/>
          </w:tcPr>
          <w:p>
            <w:pPr>
              <w:pStyle w:val="Celda"/>
            </w:pPr>
            <w:r>
              <w:t xml:space="preserve">Committed service levels</w:t>
            </w:r>
          </w:p>
        </w:tc>
        <w:tc>
          <w:tcPr>
            <w:tcW w:w="3213" w:type="dxa"/>
          </w:tcPr>
          <w:p>
            <w:pPr>
              <w:pStyle w:val="Celda"/>
            </w:pPr>
          </w:p>
        </w:tc>
        <w:tc>
          <w:tcPr>
            <w:tcW w:w="3213" w:type="dxa"/>
          </w:tcPr>
          <w:p>
            <w:pPr>
              <w:pStyle w:val="Celda"/>
            </w:pPr>
            <w:r>
              <w:t xml:space="preserve">Availability, response time, resolution time.</w:t>
            </w:r>
          </w:p>
        </w:tc>
      </w:tr>
      <w:tr>
        <w:tc>
          <w:tcPr>
            <w:tcW w:w="3213" w:type="dxa"/>
          </w:tcPr>
          <w:p>
            <w:pPr>
              <w:pStyle w:val="Celda"/>
            </w:pPr>
            <w:r>
              <w:t xml:space="preserve">Internal dependencies</w:t>
            </w:r>
          </w:p>
        </w:tc>
        <w:tc>
          <w:tcPr>
            <w:tcW w:w="3213" w:type="dxa"/>
          </w:tcPr>
          <w:p>
            <w:pPr>
              <w:pStyle w:val="Celda"/>
            </w:pPr>
          </w:p>
        </w:tc>
        <w:tc>
          <w:tcPr>
            <w:tcW w:w="3213" w:type="dxa"/>
          </w:tcPr>
          <w:p>
            <w:pPr>
              <w:pStyle w:val="Celda"/>
            </w:pPr>
            <w:r>
              <w:t xml:space="preserve">Systems and data on which it depends.</w:t>
            </w:r>
          </w:p>
        </w:tc>
      </w:tr>
      <w:tr>
        <w:tc>
          <w:tcPr>
            <w:tcW w:w="3213" w:type="dxa"/>
          </w:tcPr>
          <w:p>
            <w:pPr>
              <w:pStyle w:val="Celda"/>
            </w:pPr>
            <w:r>
              <w:t xml:space="preserve">Suppliers and support </w:t>
            </w:r>
            <w:r>
              <w:rPr>
                <w:b/>
              </w:rPr>
              <w:t xml:space="preserve">(Enterprise)</w:t>
            </w:r>
          </w:p>
        </w:tc>
        <w:tc>
          <w:tcPr>
            <w:tcW w:w="3213" w:type="dxa"/>
          </w:tcPr>
          <w:p>
            <w:pPr>
              <w:pStyle w:val="Celda"/>
            </w:pPr>
          </w:p>
        </w:tc>
        <w:tc>
          <w:tcPr>
            <w:tcW w:w="3213" w:type="dxa"/>
          </w:tcPr>
          <w:p>
            <w:pPr>
              <w:pStyle w:val="Celda"/>
            </w:pPr>
            <w:r>
              <w:t xml:space="preserve">Supplier, service, support channel and contracted service level (P14).</w:t>
            </w:r>
          </w:p>
        </w:tc>
      </w:tr>
      <w:tr>
        <w:tc>
          <w:tcPr>
            <w:tcW w:w="3213" w:type="dxa"/>
          </w:tcPr>
          <w:p>
            <w:pPr>
              <w:pStyle w:val="Celda"/>
            </w:pPr>
            <w:r>
              <w:t xml:space="preserve">Known limitations</w:t>
            </w:r>
          </w:p>
        </w:tc>
        <w:tc>
          <w:tcPr>
            <w:tcW w:w="3213" w:type="dxa"/>
          </w:tcPr>
          <w:p>
            <w:pPr>
              <w:pStyle w:val="Celda"/>
            </w:pPr>
          </w:p>
        </w:tc>
        <w:tc>
          <w:tcPr>
            <w:tcW w:w="3213" w:type="dxa"/>
          </w:tcPr>
          <w:p>
            <w:pPr>
              <w:pStyle w:val="Celda"/>
            </w:pPr>
            <w:r>
              <w:t xml:space="preserve">From P16 and P21; what the system must not be asked to do. They are carried over to the internal instructions for use (P49 §5).</w:t>
            </w:r>
          </w:p>
        </w:tc>
      </w:tr>
    </w:tbl>
    <w:p>
      <w:pPr>
        <w:pStyle w:val="Espacio"/>
      </w:pPr>
    </w:p>
    <w:p>
      <w:pPr>
        <w:pStyle w:val="Separador"/>
      </w:pPr>
    </w:p>
    <w:p>
      <w:pPr>
        <w:pStyle w:val="Heading1"/>
      </w:pPr>
      <w:r>
        <w:t xml:space="preserve">4. Operational roles and contacts</w:t>
      </w:r>
    </w:p>
    <w:p>
      <w:r>
        <w:t xml:space="preserve">Roles and channels are indicated; personal contact details are kept in the corporate directory.</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Holder</w:t>
            </w:r>
          </w:p>
        </w:tc>
        <w:tc>
          <w:tcPr>
            <w:tcW w:w="1928" w:type="dxa"/>
            <w:shd w:val="clear" w:color="auto" w:fill="F2DFCE"/>
          </w:tcPr>
          <w:p>
            <w:pPr>
              <w:pStyle w:val="Celda"/>
            </w:pPr>
            <w:r>
              <w:rPr>
                <w:b/>
              </w:rPr>
              <w:t xml:space="preserve">Deputy</w:t>
            </w:r>
          </w:p>
        </w:tc>
        <w:tc>
          <w:tcPr>
            <w:tcW w:w="1928" w:type="dxa"/>
            <w:shd w:val="clear" w:color="auto" w:fill="F2DFCE"/>
          </w:tcPr>
          <w:p>
            <w:pPr>
              <w:pStyle w:val="Celda"/>
            </w:pPr>
            <w:r>
              <w:rPr>
                <w:b/>
              </w:rPr>
              <w:t xml:space="preserve">Availability</w:t>
            </w:r>
          </w:p>
        </w:tc>
        <w:tc>
          <w:tcPr>
            <w:tcW w:w="1928" w:type="dxa"/>
            <w:shd w:val="clear" w:color="auto" w:fill="F2DFCE"/>
          </w:tcPr>
          <w:p>
            <w:pPr>
              <w:pStyle w:val="Celda"/>
            </w:pPr>
            <w:r>
              <w:rPr>
                <w:b/>
              </w:rPr>
              <w:t xml:space="preserve">Channel</w:t>
            </w:r>
          </w:p>
        </w:tc>
      </w:tr>
      <w:tr>
        <w:tc>
          <w:tcPr>
            <w:tcW w:w="1928" w:type="dxa"/>
          </w:tcPr>
          <w:p>
            <w:pPr>
              <w:pStyle w:val="Celda"/>
            </w:pPr>
            <w:r>
              <w:t xml:space="preserve">AI Operations Owner</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Technical on-call</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Designated supervisors (P17)</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Information security</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Data protection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5. Operational routines</w:t>
      </w:r>
    </w:p>
    <w:p>
      <w:r>
        <w:rPr>
          <w:b/>
        </w:rPr>
        <w:t xml:space="preserve">Frequency:</w:t>
      </w:r>
      <w:r>
        <w:t xml:space="preserve"> Continuous · Daily · Weekly · Monthly · Quarterly · Half-yearly.</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Activity</w:t>
            </w:r>
          </w:p>
        </w:tc>
        <w:tc>
          <w:tcPr>
            <w:tcW w:w="1928" w:type="dxa"/>
            <w:shd w:val="clear" w:color="auto" w:fill="F2DFCE"/>
          </w:tcPr>
          <w:p>
            <w:pPr>
              <w:pStyle w:val="Celda"/>
            </w:pPr>
            <w:r>
              <w:rPr>
                <w:b/>
              </w:rPr>
              <w:t xml:space="preserve">Frequency</w:t>
            </w:r>
          </w:p>
        </w:tc>
        <w:tc>
          <w:tcPr>
            <w:tcW w:w="1928" w:type="dxa"/>
            <w:shd w:val="clear" w:color="auto" w:fill="F2DFCE"/>
          </w:tcPr>
          <w:p>
            <w:pPr>
              <w:pStyle w:val="Celda"/>
            </w:pPr>
            <w:r>
              <w:rPr>
                <w:b/>
              </w:rPr>
              <w:t xml:space="preserve">Owner</w:t>
            </w:r>
          </w:p>
        </w:tc>
        <w:tc>
          <w:tcPr>
            <w:tcW w:w="1928" w:type="dxa"/>
            <w:shd w:val="clear" w:color="auto" w:fill="F2DFCE"/>
          </w:tcPr>
          <w:p>
            <w:pPr>
              <w:pStyle w:val="Celda"/>
            </w:pPr>
            <w:r>
              <w:rPr>
                <w:b/>
              </w:rPr>
              <w:t xml:space="preserve">Procedure or link</w:t>
            </w:r>
          </w:p>
        </w:tc>
        <w:tc>
          <w:tcPr>
            <w:tcW w:w="1928" w:type="dxa"/>
            <w:shd w:val="clear" w:color="auto" w:fill="F2DFCE"/>
          </w:tcPr>
          <w:p>
            <w:pPr>
              <w:pStyle w:val="Celda"/>
            </w:pPr>
            <w:r>
              <w:rPr>
                <w:b/>
              </w:rPr>
              <w:t xml:space="preserve">Record</w:t>
            </w:r>
          </w:p>
        </w:tc>
      </w:tr>
      <w:tr>
        <w:tc>
          <w:tcPr>
            <w:tcW w:w="1928" w:type="dxa"/>
          </w:tcPr>
          <w:p>
            <w:pPr>
              <w:pStyle w:val="Celda"/>
            </w:pPr>
            <w:r>
              <w:t xml:space="preserve">Review open alerts and their handling</w:t>
            </w:r>
          </w:p>
        </w:tc>
        <w:tc>
          <w:tcPr>
            <w:tcW w:w="1928" w:type="dxa"/>
          </w:tcPr>
          <w:p>
            <w:pPr>
              <w:pStyle w:val="Celda"/>
            </w:pPr>
            <w:r>
              <w:t xml:space="preserve">Daily</w:t>
            </w:r>
          </w:p>
        </w:tc>
        <w:tc>
          <w:tcPr>
            <w:tcW w:w="1928" w:type="dxa"/>
          </w:tcPr>
          <w:p>
            <w:pPr>
              <w:pStyle w:val="Celda"/>
            </w:pPr>
            <w:r>
              <w:t xml:space="preserve">Technical on-call</w:t>
            </w:r>
          </w:p>
        </w:tc>
        <w:tc>
          <w:tcPr>
            <w:tcW w:w="1928" w:type="dxa"/>
          </w:tcPr>
          <w:p>
            <w:pPr>
              <w:pStyle w:val="Celda"/>
            </w:pPr>
            <w:r>
              <w:t xml:space="preserve">P25</w:t>
            </w:r>
          </w:p>
        </w:tc>
        <w:tc>
          <w:tcPr>
            <w:tcW w:w="1928" w:type="dxa"/>
          </w:tcPr>
          <w:p>
            <w:pPr>
              <w:pStyle w:val="Celda"/>
            </w:pPr>
            <w:r>
              <w:t xml:space="preserve">Alerting tool</w:t>
            </w:r>
          </w:p>
        </w:tc>
      </w:tr>
      <w:tr>
        <w:tc>
          <w:tcPr>
            <w:tcW w:w="1928" w:type="dxa"/>
          </w:tcPr>
          <w:p>
            <w:pPr>
              <w:pStyle w:val="Celda"/>
            </w:pPr>
            <w:r>
              <w:t xml:space="preserve">Check the quality and freshness of input data</w:t>
            </w:r>
          </w:p>
        </w:tc>
        <w:tc>
          <w:tcPr>
            <w:tcW w:w="1928" w:type="dxa"/>
          </w:tcPr>
          <w:p>
            <w:pPr>
              <w:pStyle w:val="Celda"/>
            </w:pPr>
            <w:r>
              <w:t xml:space="preserve">Daily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 a sample of outputs (after-the-fact oversight)</w:t>
            </w:r>
          </w:p>
        </w:tc>
        <w:tc>
          <w:tcPr>
            <w:tcW w:w="1928" w:type="dxa"/>
          </w:tcPr>
          <w:p>
            <w:pPr>
              <w:pStyle w:val="Celda"/>
            </w:pPr>
            <w:r>
              <w:t xml:space="preserve">As per P17</w:t>
            </w:r>
          </w:p>
        </w:tc>
        <w:tc>
          <w:tcPr>
            <w:tcW w:w="1928" w:type="dxa"/>
          </w:tcPr>
          <w:p>
            <w:pPr>
              <w:pStyle w:val="Celda"/>
            </w:pPr>
            <w:r>
              <w:t xml:space="preserve">Designated supervisors</w:t>
            </w:r>
          </w:p>
        </w:tc>
        <w:tc>
          <w:tcPr>
            <w:tcW w:w="1928" w:type="dxa"/>
          </w:tcPr>
          <w:p>
            <w:pPr>
              <w:pStyle w:val="Celda"/>
            </w:pPr>
            <w:r>
              <w:t xml:space="preserve">P17 block 6</w:t>
            </w:r>
          </w:p>
        </w:tc>
        <w:tc>
          <w:tcPr>
            <w:tcW w:w="1928" w:type="dxa"/>
          </w:tcPr>
          <w:p>
            <w:pPr>
              <w:pStyle w:val="Celda"/>
            </w:pPr>
          </w:p>
        </w:tc>
      </w:tr>
      <w:tr>
        <w:tc>
          <w:tcPr>
            <w:tcW w:w="1928" w:type="dxa"/>
          </w:tcPr>
          <w:p>
            <w:pPr>
              <w:pStyle w:val="Celda"/>
            </w:pPr>
            <w:r>
              <w:t xml:space="preserve">Review the agent action log and blocks</w:t>
            </w:r>
          </w:p>
        </w:tc>
        <w:tc>
          <w:tcPr>
            <w:tcW w:w="1928" w:type="dxa"/>
          </w:tcPr>
          <w:p>
            <w:pPr>
              <w:pStyle w:val="Celda"/>
            </w:pPr>
            <w:r>
              <w:t xml:space="preserve">Weekly</w:t>
            </w:r>
          </w:p>
        </w:tc>
        <w:tc>
          <w:tcPr>
            <w:tcW w:w="1928" w:type="dxa"/>
          </w:tcPr>
          <w:p>
            <w:pPr>
              <w:pStyle w:val="Celda"/>
            </w:pPr>
          </w:p>
        </w:tc>
        <w:tc>
          <w:tcPr>
            <w:tcW w:w="1928" w:type="dxa"/>
          </w:tcPr>
          <w:p>
            <w:pPr>
              <w:pStyle w:val="Celda"/>
            </w:pPr>
            <w:r>
              <w:t xml:space="preserve">P18 block 10</w:t>
            </w:r>
          </w:p>
        </w:tc>
        <w:tc>
          <w:tcPr>
            <w:tcW w:w="1928" w:type="dxa"/>
          </w:tcPr>
          <w:p>
            <w:pPr>
              <w:pStyle w:val="Celda"/>
            </w:pPr>
          </w:p>
        </w:tc>
      </w:tr>
      <w:tr>
        <w:tc>
          <w:tcPr>
            <w:tcW w:w="1928" w:type="dxa"/>
          </w:tcPr>
          <w:p>
            <w:pPr>
              <w:pStyle w:val="Celda"/>
            </w:pPr>
            <w:r>
              <w:t xml:space="preserve">Review consumption and cost against budget</w:t>
            </w:r>
          </w:p>
        </w:tc>
        <w:tc>
          <w:tcPr>
            <w:tcW w:w="1928" w:type="dxa"/>
          </w:tcPr>
          <w:p>
            <w:pPr>
              <w:pStyle w:val="Celda"/>
            </w:pPr>
            <w:r>
              <w:t xml:space="preserve">Monthly</w:t>
            </w:r>
          </w:p>
        </w:tc>
        <w:tc>
          <w:tcPr>
            <w:tcW w:w="1928" w:type="dxa"/>
          </w:tcPr>
          <w:p>
            <w:pPr>
              <w:pStyle w:val="Celda"/>
            </w:pPr>
          </w:p>
        </w:tc>
        <w:tc>
          <w:tcPr>
            <w:tcW w:w="1928" w:type="dxa"/>
          </w:tcPr>
          <w:p>
            <w:pPr>
              <w:pStyle w:val="Celda"/>
            </w:pPr>
            <w:r>
              <w:t xml:space="preserve">P25</w:t>
            </w:r>
          </w:p>
        </w:tc>
        <w:tc>
          <w:tcPr>
            <w:tcW w:w="1928" w:type="dxa"/>
          </w:tcPr>
          <w:p>
            <w:pPr>
              <w:pStyle w:val="Celda"/>
            </w:pPr>
          </w:p>
        </w:tc>
      </w:tr>
      <w:tr>
        <w:tc>
          <w:tcPr>
            <w:tcW w:w="1928" w:type="dxa"/>
          </w:tcPr>
          <w:p>
            <w:pPr>
              <w:pStyle w:val="Celda"/>
            </w:pPr>
            <w:r>
              <w:t xml:space="preserve">Review drift (including usage drift), bias and performance against the reference</w:t>
            </w:r>
          </w:p>
        </w:tc>
        <w:tc>
          <w:tcPr>
            <w:tcW w:w="1928" w:type="dxa"/>
          </w:tcPr>
          <w:p>
            <w:pPr>
              <w:pStyle w:val="Celda"/>
            </w:pPr>
            <w:r>
              <w:t xml:space="preserve">Monthly</w:t>
            </w:r>
          </w:p>
        </w:tc>
        <w:tc>
          <w:tcPr>
            <w:tcW w:w="1928" w:type="dxa"/>
          </w:tcPr>
          <w:p>
            <w:pPr>
              <w:pStyle w:val="Celda"/>
            </w:pPr>
          </w:p>
        </w:tc>
        <w:tc>
          <w:tcPr>
            <w:tcW w:w="1928" w:type="dxa"/>
          </w:tcPr>
          <w:p>
            <w:pPr>
              <w:pStyle w:val="Celda"/>
            </w:pPr>
            <w:r>
              <w:t xml:space="preserve">P25</w:t>
            </w:r>
          </w:p>
        </w:tc>
        <w:tc>
          <w:tcPr>
            <w:tcW w:w="1928" w:type="dxa"/>
          </w:tcPr>
          <w:p>
            <w:pPr>
              <w:pStyle w:val="Celda"/>
            </w:pPr>
          </w:p>
        </w:tc>
      </w:tr>
      <w:tr>
        <w:tc>
          <w:tcPr>
            <w:tcW w:w="1928" w:type="dxa"/>
          </w:tcPr>
          <w:p>
            <w:pPr>
              <w:pStyle w:val="Celda"/>
            </w:pPr>
            <w:r>
              <w:t xml:space="preserve">Review system permissions and identities</w:t>
            </w:r>
          </w:p>
        </w:tc>
        <w:tc>
          <w:tcPr>
            <w:tcW w:w="1928" w:type="dxa"/>
          </w:tcPr>
          <w:p>
            <w:pPr>
              <w:pStyle w:val="Celda"/>
            </w:pPr>
            <w:r>
              <w:t xml:space="preserve">Quarterly</w:t>
            </w:r>
          </w:p>
        </w:tc>
        <w:tc>
          <w:tcPr>
            <w:tcW w:w="1928" w:type="dxa"/>
          </w:tcPr>
          <w:p>
            <w:pPr>
              <w:pStyle w:val="Celda"/>
            </w:pPr>
          </w:p>
        </w:tc>
        <w:tc>
          <w:tcPr>
            <w:tcW w:w="1928" w:type="dxa"/>
          </w:tcPr>
          <w:p>
            <w:pPr>
              <w:pStyle w:val="Celda"/>
            </w:pPr>
            <w:r>
              <w:t xml:space="preserve">P18 blocks 4 and 5</w:t>
            </w:r>
          </w:p>
        </w:tc>
        <w:tc>
          <w:tcPr>
            <w:tcW w:w="1928" w:type="dxa"/>
          </w:tcPr>
          <w:p>
            <w:pPr>
              <w:pStyle w:val="Celda"/>
            </w:pPr>
          </w:p>
        </w:tc>
      </w:tr>
      <w:tr>
        <w:tc>
          <w:tcPr>
            <w:tcW w:w="1928" w:type="dxa"/>
          </w:tcPr>
          <w:p>
            <w:pPr>
              <w:pStyle w:val="Celda"/>
            </w:pPr>
            <w:r>
              <w:t xml:space="preserve">Update value tracking</w:t>
            </w:r>
          </w:p>
        </w:tc>
        <w:tc>
          <w:tcPr>
            <w:tcW w:w="1928" w:type="dxa"/>
          </w:tcPr>
          <w:p>
            <w:pPr>
              <w:pStyle w:val="Celda"/>
            </w:pPr>
            <w:r>
              <w:t xml:space="preserve">As per P28</w:t>
            </w:r>
          </w:p>
        </w:tc>
        <w:tc>
          <w:tcPr>
            <w:tcW w:w="1928" w:type="dxa"/>
          </w:tcPr>
          <w:p>
            <w:pPr>
              <w:pStyle w:val="Celda"/>
            </w:pPr>
            <w:r>
              <w:t xml:space="preserve">AI Product Owner</w:t>
            </w:r>
          </w:p>
        </w:tc>
        <w:tc>
          <w:tcPr>
            <w:tcW w:w="1928" w:type="dxa"/>
          </w:tcPr>
          <w:p>
            <w:pPr>
              <w:pStyle w:val="Celda"/>
            </w:pPr>
            <w:r>
              <w:t xml:space="preserve">P28</w:t>
            </w:r>
          </w:p>
        </w:tc>
        <w:tc>
          <w:tcPr>
            <w:tcW w:w="1928" w:type="dxa"/>
          </w:tcPr>
          <w:p>
            <w:pPr>
              <w:pStyle w:val="Celda"/>
            </w:pPr>
          </w:p>
        </w:tc>
      </w:tr>
      <w:tr>
        <w:tc>
          <w:tcPr>
            <w:tcW w:w="1928" w:type="dxa"/>
          </w:tcPr>
          <w:p>
            <w:pPr>
              <w:pStyle w:val="Celda"/>
            </w:pPr>
            <w:r>
              <w:t xml:space="preserve">Prepare the R6 continuity review</w:t>
            </w:r>
          </w:p>
        </w:tc>
        <w:tc>
          <w:tcPr>
            <w:tcW w:w="1928" w:type="dxa"/>
          </w:tcPr>
          <w:p>
            <w:pPr>
              <w:pStyle w:val="Celda"/>
            </w:pPr>
            <w:r>
              <w:t xml:space="preserve">Quarterly (Enterprise) · Half-yearly (Lite)</w:t>
            </w:r>
          </w:p>
        </w:tc>
        <w:tc>
          <w:tcPr>
            <w:tcW w:w="1928" w:type="dxa"/>
          </w:tcPr>
          <w:p>
            <w:pPr>
              <w:pStyle w:val="Celda"/>
            </w:pPr>
            <w:r>
              <w:t xml:space="preserve">AI Operations Owner</w:t>
            </w:r>
          </w:p>
        </w:tc>
        <w:tc>
          <w:tcPr>
            <w:tcW w:w="1928" w:type="dxa"/>
          </w:tcPr>
          <w:p>
            <w:pPr>
              <w:pStyle w:val="Celda"/>
            </w:pPr>
            <w:r>
              <w:t xml:space="preserve">Block 10</w:t>
            </w:r>
          </w:p>
        </w:tc>
        <w:tc>
          <w:tcPr>
            <w:tcW w:w="1928" w:type="dxa"/>
          </w:tcPr>
          <w:p>
            <w:pPr>
              <w:pStyle w:val="Celda"/>
            </w:pPr>
            <w:r>
              <w:t xml:space="preserve">P29</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6. Change management</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Type of change</w:t>
            </w:r>
          </w:p>
        </w:tc>
        <w:tc>
          <w:tcPr>
            <w:tcW w:w="1928" w:type="dxa"/>
            <w:shd w:val="clear" w:color="auto" w:fill="F2DFCE"/>
          </w:tcPr>
          <w:p>
            <w:pPr>
              <w:pStyle w:val="Celda"/>
            </w:pPr>
            <w:r>
              <w:rPr>
                <w:b/>
              </w:rPr>
              <w:t xml:space="preserve">Examples</w:t>
            </w:r>
          </w:p>
        </w:tc>
        <w:tc>
          <w:tcPr>
            <w:tcW w:w="1928" w:type="dxa"/>
            <w:shd w:val="clear" w:color="auto" w:fill="F2DFCE"/>
          </w:tcPr>
          <w:p>
            <w:pPr>
              <w:pStyle w:val="Celda"/>
            </w:pPr>
            <w:r>
              <w:rPr>
                <w:b/>
              </w:rPr>
              <w:t xml:space="preserve">Required testing</w:t>
            </w:r>
          </w:p>
        </w:tc>
        <w:tc>
          <w:tcPr>
            <w:tcW w:w="1928" w:type="dxa"/>
            <w:shd w:val="clear" w:color="auto" w:fill="F2DFCE"/>
          </w:tcPr>
          <w:p>
            <w:pPr>
              <w:pStyle w:val="Celda"/>
            </w:pPr>
            <w:r>
              <w:rPr>
                <w:b/>
              </w:rPr>
              <w:t xml:space="preserve">Who approves</w:t>
            </w:r>
          </w:p>
        </w:tc>
        <w:tc>
          <w:tcPr>
            <w:tcW w:w="1928" w:type="dxa"/>
            <w:shd w:val="clear" w:color="auto" w:fill="F2DFCE"/>
          </w:tcPr>
          <w:p>
            <w:pPr>
              <w:pStyle w:val="Celda"/>
            </w:pPr>
            <w:r>
              <w:rPr>
                <w:b/>
              </w:rPr>
              <w:t xml:space="preserve">Does it require reviewing classification, intensity or risks?</w:t>
            </w:r>
          </w:p>
        </w:tc>
      </w:tr>
      <w:tr>
        <w:tc>
          <w:tcPr>
            <w:tcW w:w="1928" w:type="dxa"/>
          </w:tcPr>
          <w:p>
            <w:pPr>
              <w:pStyle w:val="Celda"/>
            </w:pPr>
            <w:r>
              <w:rPr>
                <w:b/>
              </w:rPr>
              <w:t xml:space="preserve">Minor</w:t>
            </w:r>
          </w:p>
        </w:tc>
        <w:tc>
          <w:tcPr>
            <w:tcW w:w="1928" w:type="dxa"/>
          </w:tcPr>
          <w:p>
            <w:pPr>
              <w:pStyle w:val="Celda"/>
            </w:pPr>
            <w:r>
              <w:t xml:space="preserve">Adjustment of interface texts; alert threshold with no effect on behaviour</w:t>
            </w:r>
          </w:p>
        </w:tc>
        <w:tc>
          <w:tcPr>
            <w:tcW w:w="1928" w:type="dxa"/>
          </w:tcPr>
          <w:p>
            <w:pPr>
              <w:pStyle w:val="Celda"/>
            </w:pPr>
            <w:r>
              <w:t xml:space="preserve">Functional verification</w:t>
            </w:r>
          </w:p>
        </w:tc>
        <w:tc>
          <w:tcPr>
            <w:tcW w:w="1928" w:type="dxa"/>
          </w:tcPr>
          <w:p>
            <w:pPr>
              <w:pStyle w:val="Celda"/>
            </w:pPr>
            <w:r>
              <w:t xml:space="preserve">AI Operations Owner</w:t>
            </w:r>
          </w:p>
        </w:tc>
        <w:tc>
          <w:tcPr>
            <w:tcW w:w="1928" w:type="dxa"/>
          </w:tcPr>
          <w:p>
            <w:pPr>
              <w:pStyle w:val="Celda"/>
            </w:pPr>
            <w:r>
              <w:t xml:space="preserve">No</w:t>
            </w:r>
          </w:p>
        </w:tc>
      </w:tr>
      <w:tr>
        <w:tc>
          <w:tcPr>
            <w:tcW w:w="1928" w:type="dxa"/>
          </w:tcPr>
          <w:p>
            <w:pPr>
              <w:pStyle w:val="Celda"/>
            </w:pPr>
            <w:r>
              <w:rPr>
                <w:b/>
              </w:rPr>
              <w:t xml:space="preserve">Relevant</w:t>
            </w:r>
          </w:p>
        </w:tc>
        <w:tc>
          <w:tcPr>
            <w:tcW w:w="1928" w:type="dxa"/>
          </w:tcPr>
          <w:p>
            <w:pPr>
              <w:pStyle w:val="Celda"/>
            </w:pPr>
            <w:r>
              <w:t xml:space="preserve">New version of the model, instructions or knowledge base; new tools or permissions for the agent; change in autonomy level; extension of population or purpose; change of supplier</w:t>
            </w:r>
          </w:p>
        </w:tc>
        <w:tc>
          <w:tcPr>
            <w:tcW w:w="1928" w:type="dxa"/>
          </w:tcPr>
          <w:p>
            <w:pPr>
              <w:pStyle w:val="Celda"/>
            </w:pPr>
            <w:r>
              <w:t xml:space="preserve">Regression, bias, security and injection testing as applicable; rollback prepared</w:t>
            </w:r>
          </w:p>
        </w:tc>
        <w:tc>
          <w:tcPr>
            <w:tcW w:w="1928" w:type="dxa"/>
          </w:tcPr>
          <w:p>
            <w:pPr>
              <w:pStyle w:val="Celda"/>
            </w:pPr>
            <w:r>
              <w:t xml:space="preserve">As per document 52; if autonomy, purpose or classification changes, a decision equivalent to G4/G5 and a new sign-off (P23)</w:t>
            </w:r>
          </w:p>
        </w:tc>
        <w:tc>
          <w:tcPr>
            <w:tcW w:w="1928" w:type="dxa"/>
          </w:tcPr>
          <w:p>
            <w:pPr>
              <w:pStyle w:val="Celda"/>
            </w:pPr>
            <w:r>
              <w:t xml:space="preserve">Yes</w:t>
            </w:r>
          </w:p>
        </w:tc>
      </w:tr>
      <w:tr>
        <w:tc>
          <w:tcPr>
            <w:tcW w:w="1928" w:type="dxa"/>
          </w:tcPr>
          <w:p>
            <w:pPr>
              <w:pStyle w:val="Celda"/>
            </w:pPr>
            <w:r>
              <w:rPr>
                <w:b/>
              </w:rPr>
              <w:t xml:space="preserve">Emergency</w:t>
            </w:r>
          </w:p>
        </w:tc>
        <w:tc>
          <w:tcPr>
            <w:tcW w:w="1928" w:type="dxa"/>
          </w:tcPr>
          <w:p>
            <w:pPr>
              <w:pStyle w:val="Celda"/>
            </w:pPr>
            <w:r>
              <w:t xml:space="preserve">Containment of an incident</w:t>
            </w:r>
          </w:p>
        </w:tc>
        <w:tc>
          <w:tcPr>
            <w:tcW w:w="1928" w:type="dxa"/>
          </w:tcPr>
          <w:p>
            <w:pPr>
              <w:pStyle w:val="Celda"/>
            </w:pPr>
            <w:r>
              <w:t xml:space="preserve">Whatever is possible without delaying containment</w:t>
            </w:r>
          </w:p>
        </w:tc>
        <w:tc>
          <w:tcPr>
            <w:tcW w:w="1928" w:type="dxa"/>
          </w:tcPr>
          <w:p>
            <w:pPr>
              <w:pStyle w:val="Celda"/>
            </w:pPr>
            <w:r>
              <w:t xml:space="preserve">Incident coordinator, with immediate recording</w:t>
            </w:r>
          </w:p>
        </w:tc>
        <w:tc>
          <w:tcPr>
            <w:tcW w:w="1928" w:type="dxa"/>
          </w:tcPr>
          <w:p>
            <w:pPr>
              <w:pStyle w:val="Celda"/>
            </w:pPr>
            <w:r>
              <w:t xml:space="preserve">Reviewed afterwards</w:t>
            </w:r>
          </w:p>
        </w:tc>
      </w:tr>
    </w:tbl>
    <w:p>
      <w:pPr>
        <w:pStyle w:val="Espacio"/>
      </w:pPr>
    </w:p>
    <w:p>
      <w:pPr>
        <w:pStyle w:val="Separador"/>
      </w:pPr>
    </w:p>
    <w:p>
      <w:pPr>
        <w:pStyle w:val="Heading1"/>
      </w:pPr>
      <w:r>
        <w:t xml:space="preserve">7. Common situations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Situation</w:t>
            </w:r>
          </w:p>
        </w:tc>
        <w:tc>
          <w:tcPr>
            <w:tcW w:w="1928" w:type="dxa"/>
            <w:shd w:val="clear" w:color="auto" w:fill="F2DFCE"/>
          </w:tcPr>
          <w:p>
            <w:pPr>
              <w:pStyle w:val="Celda"/>
            </w:pPr>
            <w:r>
              <w:rPr>
                <w:b/>
              </w:rPr>
              <w:t xml:space="preserve">Symptom or alert</w:t>
            </w:r>
          </w:p>
        </w:tc>
        <w:tc>
          <w:tcPr>
            <w:tcW w:w="1928" w:type="dxa"/>
            <w:shd w:val="clear" w:color="auto" w:fill="F2DFCE"/>
          </w:tcPr>
          <w:p>
            <w:pPr>
              <w:pStyle w:val="Celda"/>
            </w:pPr>
            <w:r>
              <w:rPr>
                <w:b/>
              </w:rPr>
              <w:t xml:space="preserve">First action</w:t>
            </w:r>
          </w:p>
        </w:tc>
        <w:tc>
          <w:tcPr>
            <w:tcW w:w="1928" w:type="dxa"/>
            <w:shd w:val="clear" w:color="auto" w:fill="F2DFCE"/>
          </w:tcPr>
          <w:p>
            <w:pPr>
              <w:pStyle w:val="Celda"/>
            </w:pPr>
            <w:r>
              <w:rPr>
                <w:b/>
              </w:rPr>
              <w:t xml:space="preserve">Escalate to</w:t>
            </w:r>
          </w:p>
        </w:tc>
        <w:tc>
          <w:tcPr>
            <w:tcW w:w="1928" w:type="dxa"/>
            <w:shd w:val="clear" w:color="auto" w:fill="F2DFCE"/>
          </w:tcPr>
          <w:p>
            <w:pPr>
              <w:pStyle w:val="Celda"/>
            </w:pPr>
            <w:r>
              <w:rPr>
                <w:b/>
              </w:rPr>
              <w:t xml:space="preserve">Reference</w:t>
            </w:r>
          </w:p>
        </w:tc>
      </w:tr>
      <w:tr>
        <w:tc>
          <w:tcPr>
            <w:tcW w:w="1928" w:type="dxa"/>
          </w:tcPr>
          <w:p>
            <w:pPr>
              <w:pStyle w:val="Celda"/>
            </w:pPr>
            <w:r>
              <w:t xml:space="preserve">Performance degradation</w:t>
            </w:r>
          </w:p>
        </w:tc>
        <w:tc>
          <w:tcPr>
            <w:tcW w:w="1928" w:type="dxa"/>
          </w:tcPr>
          <w:p>
            <w:pPr>
              <w:pStyle w:val="Celda"/>
            </w:pPr>
            <w:r>
              <w:t xml:space="preserve">Performance alert or increase in overrides</w:t>
            </w:r>
          </w:p>
        </w:tc>
        <w:tc>
          <w:tcPr>
            <w:tcW w:w="1928" w:type="dxa"/>
          </w:tcPr>
          <w:p>
            <w:pPr>
              <w:pStyle w:val="Celda"/>
            </w:pPr>
            <w:r>
              <w:t xml:space="preserve">Check input data and version; assess rollback trigger</w:t>
            </w:r>
          </w:p>
        </w:tc>
        <w:tc>
          <w:tcPr>
            <w:tcW w:w="1928" w:type="dxa"/>
          </w:tcPr>
          <w:p>
            <w:pPr>
              <w:pStyle w:val="Celda"/>
            </w:pPr>
            <w:r>
              <w:t xml:space="preserve">AI Technical Owner</w:t>
            </w:r>
          </w:p>
        </w:tc>
        <w:tc>
          <w:tcPr>
            <w:tcW w:w="1928" w:type="dxa"/>
          </w:tcPr>
          <w:p>
            <w:pPr>
              <w:pStyle w:val="Celda"/>
            </w:pPr>
            <w:r>
              <w:t xml:space="preserve">P19 · P25</w:t>
            </w:r>
          </w:p>
        </w:tc>
      </w:tr>
      <w:tr>
        <w:tc>
          <w:tcPr>
            <w:tcW w:w="1928" w:type="dxa"/>
          </w:tcPr>
          <w:p>
            <w:pPr>
              <w:pStyle w:val="Celda"/>
            </w:pPr>
            <w:r>
              <w:t xml:space="preserve">Missing or late input data</w:t>
            </w:r>
          </w:p>
        </w:tc>
        <w:tc>
          <w:tcPr>
            <w:tcW w:w="1928" w:type="dxa"/>
          </w:tcPr>
          <w:p>
            <w:pPr>
              <w:pStyle w:val="Celda"/>
            </w:pPr>
            <w:r>
              <w:t xml:space="preserve">Freshness alert</w:t>
            </w:r>
          </w:p>
        </w:tc>
        <w:tc>
          <w:tcPr>
            <w:tcW w:w="1928" w:type="dxa"/>
          </w:tcPr>
          <w:p>
            <w:pPr>
              <w:pStyle w:val="Celda"/>
            </w:pPr>
            <w:r>
              <w:t xml:space="preserve">Activate degraded mode if thresholds are exceeded</w:t>
            </w:r>
          </w:p>
        </w:tc>
        <w:tc>
          <w:tcPr>
            <w:tcW w:w="1928" w:type="dxa"/>
          </w:tcPr>
          <w:p>
            <w:pPr>
              <w:pStyle w:val="Celda"/>
            </w:pPr>
            <w:r>
              <w:t xml:space="preserve">Data owner</w:t>
            </w:r>
          </w:p>
        </w:tc>
        <w:tc>
          <w:tcPr>
            <w:tcW w:w="1928" w:type="dxa"/>
          </w:tcPr>
          <w:p>
            <w:pPr>
              <w:pStyle w:val="Celda"/>
            </w:pPr>
            <w:r>
              <w:t xml:space="preserve">P19</w:t>
            </w:r>
          </w:p>
        </w:tc>
      </w:tr>
      <w:tr>
        <w:tc>
          <w:tcPr>
            <w:tcW w:w="1928" w:type="dxa"/>
          </w:tcPr>
          <w:p>
            <w:pPr>
              <w:pStyle w:val="Celda"/>
            </w:pPr>
            <w:r>
              <w:t xml:space="preserve">Model provider unavailable</w:t>
            </w:r>
          </w:p>
        </w:tc>
        <w:tc>
          <w:tcPr>
            <w:tcW w:w="1928" w:type="dxa"/>
          </w:tcPr>
          <w:p>
            <w:pPr>
              <w:pStyle w:val="Celda"/>
            </w:pPr>
            <w:r>
              <w:t xml:space="preserve">Service errors</w:t>
            </w:r>
          </w:p>
        </w:tc>
        <w:tc>
          <w:tcPr>
            <w:tcW w:w="1928" w:type="dxa"/>
          </w:tcPr>
          <w:p>
            <w:pPr>
              <w:pStyle w:val="Celda"/>
            </w:pPr>
            <w:r>
              <w:t xml:space="preserve">Apply the planned alternative; inform users</w:t>
            </w:r>
          </w:p>
        </w:tc>
        <w:tc>
          <w:tcPr>
            <w:tcW w:w="1928" w:type="dxa"/>
          </w:tcPr>
          <w:p>
            <w:pPr>
              <w:pStyle w:val="Celda"/>
            </w:pPr>
            <w:r>
              <w:t xml:space="preserve">AI Operations Owner</w:t>
            </w:r>
          </w:p>
        </w:tc>
        <w:tc>
          <w:tcPr>
            <w:tcW w:w="1928" w:type="dxa"/>
          </w:tcPr>
          <w:p>
            <w:pPr>
              <w:pStyle w:val="Celda"/>
            </w:pPr>
            <w:r>
              <w:t xml:space="preserve">P14 · P19</w:t>
            </w:r>
          </w:p>
        </w:tc>
      </w:tr>
      <w:tr>
        <w:tc>
          <w:tcPr>
            <w:tcW w:w="1928" w:type="dxa"/>
          </w:tcPr>
          <w:p>
            <w:pPr>
              <w:pStyle w:val="Celda"/>
            </w:pPr>
            <w:r>
              <w:t xml:space="preserve">Consumption cost above threshold</w:t>
            </w:r>
          </w:p>
        </w:tc>
        <w:tc>
          <w:tcPr>
            <w:tcW w:w="1928" w:type="dxa"/>
          </w:tcPr>
          <w:p>
            <w:pPr>
              <w:pStyle w:val="Celda"/>
            </w:pPr>
            <w:r>
              <w:t xml:space="preserve">Cost alert</w:t>
            </w:r>
          </w:p>
        </w:tc>
        <w:tc>
          <w:tcPr>
            <w:tcW w:w="1928" w:type="dxa"/>
          </w:tcPr>
          <w:p>
            <w:pPr>
              <w:pStyle w:val="Celda"/>
            </w:pPr>
            <w:r>
              <w:t xml:space="preserve">Review anomalous usage; apply the level of the cost-driven degradation cascade in block 8</w:t>
            </w:r>
          </w:p>
        </w:tc>
        <w:tc>
          <w:tcPr>
            <w:tcW w:w="1928" w:type="dxa"/>
          </w:tcPr>
          <w:p>
            <w:pPr>
              <w:pStyle w:val="Celda"/>
            </w:pPr>
            <w:r>
              <w:t xml:space="preserve">AI Product Owner</w:t>
            </w:r>
          </w:p>
        </w:tc>
        <w:tc>
          <w:tcPr>
            <w:tcW w:w="1928" w:type="dxa"/>
          </w:tcPr>
          <w:p>
            <w:pPr>
              <w:pStyle w:val="Celda"/>
            </w:pPr>
            <w:r>
              <w:t xml:space="preserve">P18 block 7 · document 52 §10.3</w:t>
            </w:r>
          </w:p>
        </w:tc>
      </w:tr>
      <w:tr>
        <w:tc>
          <w:tcPr>
            <w:tcW w:w="1928" w:type="dxa"/>
          </w:tcPr>
          <w:p>
            <w:pPr>
              <w:pStyle w:val="Celda"/>
            </w:pPr>
            <w:r>
              <w:t xml:space="preserve">Change in what users ask (usage drift)</w:t>
            </w:r>
          </w:p>
        </w:tc>
        <w:tc>
          <w:tcPr>
            <w:tcW w:w="1928" w:type="dxa"/>
          </w:tcPr>
          <w:p>
            <w:pPr>
              <w:pStyle w:val="Celda"/>
            </w:pPr>
            <w:r>
              <w:t xml:space="preserve">Alert on queries outside the validated scope or on a change of topics</w:t>
            </w:r>
          </w:p>
        </w:tc>
        <w:tc>
          <w:tcPr>
            <w:tcW w:w="1928" w:type="dxa"/>
          </w:tcPr>
          <w:p>
            <w:pPr>
              <w:pStyle w:val="Celda"/>
            </w:pPr>
            <w:r>
              <w:t xml:space="preserve">Expand the evaluation set with the new cases and evaluate; if the use falls outside the purpose, restrict the scope</w:t>
            </w:r>
          </w:p>
        </w:tc>
        <w:tc>
          <w:tcPr>
            <w:tcW w:w="1928" w:type="dxa"/>
          </w:tcPr>
          <w:p>
            <w:pPr>
              <w:pStyle w:val="Celda"/>
            </w:pPr>
            <w:r>
              <w:t xml:space="preserve">AI Product Owner</w:t>
            </w:r>
          </w:p>
        </w:tc>
        <w:tc>
          <w:tcPr>
            <w:tcW w:w="1928" w:type="dxa"/>
          </w:tcPr>
          <w:p>
            <w:pPr>
              <w:pStyle w:val="Celda"/>
            </w:pPr>
            <w:r>
              <w:t xml:space="preserve">P25 · document 52 §4.2.6</w:t>
            </w:r>
          </w:p>
        </w:tc>
      </w:tr>
      <w:tr>
        <w:tc>
          <w:tcPr>
            <w:tcW w:w="1928" w:type="dxa"/>
          </w:tcPr>
          <w:p>
            <w:pPr>
              <w:pStyle w:val="Celda"/>
            </w:pPr>
            <w:r>
              <w:t xml:space="preserve">Suspected prompt injection or anomalous agent action</w:t>
            </w:r>
          </w:p>
        </w:tc>
        <w:tc>
          <w:tcPr>
            <w:tcW w:w="1928" w:type="dxa"/>
          </w:tcPr>
          <w:p>
            <w:pPr>
              <w:pStyle w:val="Celda"/>
            </w:pPr>
            <w:r>
              <w:t xml:space="preserve">Repeated blocks or action outside purpose</w:t>
            </w:r>
          </w:p>
        </w:tc>
        <w:tc>
          <w:tcPr>
            <w:tcW w:w="1928" w:type="dxa"/>
          </w:tcPr>
          <w:p>
            <w:pPr>
              <w:pStyle w:val="Celda"/>
            </w:pPr>
            <w:r>
              <w:t xml:space="preserve">Assess kill switch; preserve logs</w:t>
            </w:r>
          </w:p>
        </w:tc>
        <w:tc>
          <w:tcPr>
            <w:tcW w:w="1928" w:type="dxa"/>
          </w:tcPr>
          <w:p>
            <w:pPr>
              <w:pStyle w:val="Celda"/>
            </w:pPr>
            <w:r>
              <w:t xml:space="preserve">Information security</w:t>
            </w:r>
          </w:p>
        </w:tc>
        <w:tc>
          <w:tcPr>
            <w:tcW w:w="1928" w:type="dxa"/>
          </w:tcPr>
          <w:p>
            <w:pPr>
              <w:pStyle w:val="Celda"/>
            </w:pPr>
            <w:r>
              <w:t xml:space="preserve">P18 · P26</w:t>
            </w:r>
          </w:p>
        </w:tc>
      </w:tr>
      <w:tr>
        <w:tc>
          <w:tcPr>
            <w:tcW w:w="1928" w:type="dxa"/>
          </w:tcPr>
          <w:p>
            <w:pPr>
              <w:pStyle w:val="Celda"/>
            </w:pPr>
            <w:r>
              <w:t xml:space="preserve">Complaint from an affected person</w:t>
            </w:r>
          </w:p>
        </w:tc>
        <w:tc>
          <w:tcPr>
            <w:tcW w:w="1928" w:type="dxa"/>
          </w:tcPr>
          <w:p>
            <w:pPr>
              <w:pStyle w:val="Celda"/>
            </w:pPr>
            <w:r>
              <w:t xml:space="preserve">Complaint received</w:t>
            </w:r>
          </w:p>
        </w:tc>
        <w:tc>
          <w:tcPr>
            <w:tcW w:w="1928" w:type="dxa"/>
          </w:tcPr>
          <w:p>
            <w:pPr>
              <w:pStyle w:val="Celda"/>
            </w:pPr>
            <w:r>
              <w:t xml:space="preserve">Record; activate human review</w:t>
            </w:r>
          </w:p>
        </w:tc>
        <w:tc>
          <w:tcPr>
            <w:tcW w:w="1928" w:type="dxa"/>
          </w:tcPr>
          <w:p>
            <w:pPr>
              <w:pStyle w:val="Celda"/>
            </w:pPr>
            <w:r>
              <w:t xml:space="preserve">AI Product Owner</w:t>
            </w:r>
          </w:p>
        </w:tc>
        <w:tc>
          <w:tcPr>
            <w:tcW w:w="1928" w:type="dxa"/>
          </w:tcPr>
          <w:p>
            <w:pPr>
              <w:pStyle w:val="Celda"/>
            </w:pPr>
            <w:r>
              <w:t xml:space="preserve">P17 block 8</w:t>
            </w:r>
          </w:p>
        </w:tc>
      </w:tr>
      <w:tr>
        <w:tc>
          <w:tcPr>
            <w:tcW w:w="1928" w:type="dxa"/>
          </w:tcPr>
          <w:p>
            <w:pPr>
              <w:pStyle w:val="Celda"/>
            </w:pPr>
            <w:r>
              <w:t xml:space="preserve">Possible discriminatory output</w:t>
            </w:r>
          </w:p>
        </w:tc>
        <w:tc>
          <w:tcPr>
            <w:tcW w:w="1928" w:type="dxa"/>
          </w:tcPr>
          <w:p>
            <w:pPr>
              <w:pStyle w:val="Celda"/>
            </w:pPr>
            <w:r>
              <w:t xml:space="preserve">Fairness alert, unequal responses in counterfactual pairs or complaint</w:t>
            </w:r>
          </w:p>
        </w:tc>
        <w:tc>
          <w:tcPr>
            <w:tcW w:w="1928" w:type="dxa"/>
          </w:tcPr>
          <w:p>
            <w:pPr>
              <w:pStyle w:val="Celda"/>
            </w:pPr>
            <w:r>
              <w:t xml:space="preserve">Treat as an incident and classify severity</w:t>
            </w:r>
          </w:p>
        </w:tc>
        <w:tc>
          <w:tcPr>
            <w:tcW w:w="1928" w:type="dxa"/>
          </w:tcPr>
          <w:p>
            <w:pPr>
              <w:pStyle w:val="Celda"/>
            </w:pPr>
            <w:r>
              <w:t xml:space="preserve">AI Risk Owner</w:t>
            </w:r>
          </w:p>
        </w:tc>
        <w:tc>
          <w:tcPr>
            <w:tcW w:w="1928" w:type="dxa"/>
          </w:tcPr>
          <w:p>
            <w:pPr>
              <w:pStyle w:val="Celda"/>
            </w:pPr>
            <w:r>
              <w:t xml:space="preserve">P26</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8. Continuity and degraded mode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Degraded mode available</w:t>
            </w:r>
          </w:p>
        </w:tc>
        <w:tc>
          <w:tcPr>
            <w:tcW w:w="3213" w:type="dxa"/>
          </w:tcPr>
          <w:p>
            <w:pPr>
              <w:pStyle w:val="Celda"/>
            </w:pPr>
          </w:p>
        </w:tc>
        <w:tc>
          <w:tcPr>
            <w:tcW w:w="3213" w:type="dxa"/>
          </w:tcPr>
          <w:p>
            <w:pPr>
              <w:pStyle w:val="Celda"/>
            </w:pPr>
            <w:r>
              <w:t xml:space="preserve">Description and how it is activated (P19).</w:t>
            </w:r>
          </w:p>
        </w:tc>
      </w:tr>
      <w:tr>
        <w:tc>
          <w:tcPr>
            <w:tcW w:w="3213" w:type="dxa"/>
          </w:tcPr>
          <w:p>
            <w:pPr>
              <w:pStyle w:val="Celda"/>
            </w:pPr>
            <w:r>
              <w:t xml:space="preserve">Process without AI</w:t>
            </w:r>
          </w:p>
        </w:tc>
        <w:tc>
          <w:tcPr>
            <w:tcW w:w="3213" w:type="dxa"/>
          </w:tcPr>
          <w:p>
            <w:pPr>
              <w:pStyle w:val="Celda"/>
            </w:pPr>
          </w:p>
        </w:tc>
        <w:tc>
          <w:tcPr>
            <w:tcW w:w="3213" w:type="dxa"/>
          </w:tcPr>
          <w:p>
            <w:pPr>
              <w:pStyle w:val="Celda"/>
            </w:pPr>
            <w:r>
              <w:t xml:space="preserve">Who performs it and with what capacity.</w:t>
            </w:r>
          </w:p>
        </w:tc>
      </w:tr>
      <w:tr>
        <w:tc>
          <w:tcPr>
            <w:tcW w:w="3213" w:type="dxa"/>
          </w:tcPr>
          <w:p>
            <w:pPr>
              <w:pStyle w:val="Celda"/>
            </w:pPr>
            <w:r>
              <w:t xml:space="preserve">Maximum acceptable time without service</w:t>
            </w:r>
          </w:p>
        </w:tc>
        <w:tc>
          <w:tcPr>
            <w:tcW w:w="3213" w:type="dxa"/>
          </w:tcPr>
          <w:p>
            <w:pPr>
              <w:pStyle w:val="Celda"/>
            </w:pPr>
          </w:p>
        </w:tc>
        <w:tc>
          <w:tcPr>
            <w:tcW w:w="3213" w:type="dxa"/>
          </w:tcPr>
          <w:p>
            <w:pPr>
              <w:pStyle w:val="Celda"/>
            </w:pPr>
            <w:r>
              <w:t xml:space="preserve">Consistent with P19.</w:t>
            </w:r>
          </w:p>
        </w:tc>
      </w:tr>
      <w:tr>
        <w:tc>
          <w:tcPr>
            <w:tcW w:w="3213" w:type="dxa"/>
          </w:tcPr>
          <w:p>
            <w:pPr>
              <w:pStyle w:val="Celda"/>
            </w:pPr>
            <w:r>
              <w:t xml:space="preserve">Recovery after degraded mode</w:t>
            </w:r>
          </w:p>
        </w:tc>
        <w:tc>
          <w:tcPr>
            <w:tcW w:w="3213" w:type="dxa"/>
          </w:tcPr>
          <w:p>
            <w:pPr>
              <w:pStyle w:val="Celda"/>
            </w:pPr>
          </w:p>
        </w:tc>
        <w:tc>
          <w:tcPr>
            <w:tcW w:w="3213" w:type="dxa"/>
          </w:tcPr>
          <w:p>
            <w:pPr>
              <w:pStyle w:val="Celda"/>
            </w:pPr>
            <w:r>
              <w:t xml:space="preserve">Checks before returning to normal operation and who authorises it.</w:t>
            </w:r>
          </w:p>
        </w:tc>
      </w:tr>
      <w:tr>
        <w:tc>
          <w:tcPr>
            <w:tcW w:w="3213" w:type="dxa"/>
          </w:tcPr>
          <w:p>
            <w:pPr>
              <w:pStyle w:val="Celda"/>
            </w:pPr>
            <w:r>
              <w:t xml:space="preserve">Cost-driven degradation cascade</w:t>
            </w:r>
          </w:p>
        </w:tc>
        <w:tc>
          <w:tcPr>
            <w:tcW w:w="3213" w:type="dxa"/>
          </w:tcPr>
          <w:p>
            <w:pPr>
              <w:pStyle w:val="Celda"/>
            </w:pPr>
          </w:p>
        </w:tc>
        <w:tc>
          <w:tcPr>
            <w:tcW w:w="3213" w:type="dxa"/>
          </w:tcPr>
          <w:p>
            <w:pPr>
              <w:pStyle w:val="Celda"/>
            </w:pPr>
            <w:r>
              <w:t xml:space="preserve">Only systems with variable consumption. Applicable levels (N1 optimisation, N2 fallback model, N3 reduced scope, N4 without AI), the trigger for each (for example, N1 at 80% and N2 at 100% of the budget), who activates them and uses excluded from N2 (document 52 §10.3).</w:t>
            </w:r>
          </w:p>
        </w:tc>
      </w:tr>
      <w:tr>
        <w:tc>
          <w:tcPr>
            <w:tcW w:w="3213" w:type="dxa"/>
          </w:tcPr>
          <w:p>
            <w:pPr>
              <w:pStyle w:val="Celda"/>
            </w:pPr>
            <w:r>
              <w:t xml:space="preserve">Fallback model</w:t>
            </w:r>
          </w:p>
        </w:tc>
        <w:tc>
          <w:tcPr>
            <w:tcW w:w="3213" w:type="dxa"/>
          </w:tcPr>
          <w:p>
            <w:pPr>
              <w:pStyle w:val="Celda"/>
            </w:pPr>
          </w:p>
        </w:tc>
        <w:tc>
          <w:tcPr>
            <w:tcW w:w="3213" w:type="dxa"/>
          </w:tcPr>
          <w:p>
            <w:pPr>
              <w:pStyle w:val="Celda"/>
            </w:pPr>
            <w:r>
              <w:t xml:space="preserve">Identifier in P16, result of its evaluation before G5 and minimum quality required in P25.</w:t>
            </w:r>
          </w:p>
        </w:tc>
      </w:tr>
    </w:tbl>
    <w:p>
      <w:pPr>
        <w:pStyle w:val="Espacio"/>
      </w:pPr>
    </w:p>
    <w:p>
      <w:pPr>
        <w:pStyle w:val="Separador"/>
      </w:pPr>
    </w:p>
    <w:p>
      <w:pPr>
        <w:pStyle w:val="Heading1"/>
      </w:pPr>
      <w:r>
        <w:t xml:space="preserve">9. Access, records and retention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Management of user onboarding and offboarding</w:t>
            </w:r>
          </w:p>
        </w:tc>
        <w:tc>
          <w:tcPr>
            <w:tcW w:w="3213" w:type="dxa"/>
          </w:tcPr>
          <w:p>
            <w:pPr>
              <w:pStyle w:val="Celda"/>
            </w:pPr>
          </w:p>
        </w:tc>
        <w:tc>
          <w:tcPr>
            <w:tcW w:w="3213" w:type="dxa"/>
          </w:tcPr>
          <w:p>
            <w:pPr>
              <w:pStyle w:val="Celda"/>
            </w:pPr>
            <w:r>
              <w:t xml:space="preserve">Procedure and owner.</w:t>
            </w:r>
          </w:p>
        </w:tc>
      </w:tr>
      <w:tr>
        <w:tc>
          <w:tcPr>
            <w:tcW w:w="3213" w:type="dxa"/>
          </w:tcPr>
          <w:p>
            <w:pPr>
              <w:pStyle w:val="Celda"/>
            </w:pPr>
            <w:r>
              <w:t xml:space="preserve">Periodic access review</w:t>
            </w:r>
          </w:p>
        </w:tc>
        <w:tc>
          <w:tcPr>
            <w:tcW w:w="3213" w:type="dxa"/>
          </w:tcPr>
          <w:p>
            <w:pPr>
              <w:pStyle w:val="Celda"/>
            </w:pPr>
          </w:p>
        </w:tc>
        <w:tc>
          <w:tcPr>
            <w:tcW w:w="3213" w:type="dxa"/>
          </w:tcPr>
          <w:p>
            <w:pPr>
              <w:pStyle w:val="Celda"/>
            </w:pPr>
            <w:r>
              <w:t xml:space="preserve">Frequency and evidence.</w:t>
            </w:r>
          </w:p>
        </w:tc>
      </w:tr>
      <w:tr>
        <w:tc>
          <w:tcPr>
            <w:tcW w:w="3213" w:type="dxa"/>
          </w:tcPr>
          <w:p>
            <w:pPr>
              <w:pStyle w:val="Celda"/>
            </w:pPr>
            <w:r>
              <w:t xml:space="preserve">Records retained</w:t>
            </w:r>
          </w:p>
        </w:tc>
        <w:tc>
          <w:tcPr>
            <w:tcW w:w="3213" w:type="dxa"/>
          </w:tcPr>
          <w:p>
            <w:pPr>
              <w:pStyle w:val="Celda"/>
            </w:pPr>
          </w:p>
        </w:tc>
        <w:tc>
          <w:tcPr>
            <w:tcW w:w="3213" w:type="dxa"/>
          </w:tcPr>
          <w:p>
            <w:pPr>
              <w:pStyle w:val="Celda"/>
            </w:pPr>
            <w:r>
              <w:t xml:space="preserve">Inference logs, agent actions, human validations, changes, alerts.</w:t>
            </w:r>
          </w:p>
        </w:tc>
      </w:tr>
      <w:tr>
        <w:tc>
          <w:tcPr>
            <w:tcW w:w="3213" w:type="dxa"/>
          </w:tcPr>
          <w:p>
            <w:pPr>
              <w:pStyle w:val="Celda"/>
            </w:pPr>
            <w:r>
              <w:t xml:space="preserve">Retention period</w:t>
            </w:r>
          </w:p>
        </w:tc>
        <w:tc>
          <w:tcPr>
            <w:tcW w:w="3213" w:type="dxa"/>
          </w:tcPr>
          <w:p>
            <w:pPr>
              <w:pStyle w:val="Celda"/>
            </w:pPr>
          </w:p>
        </w:tc>
        <w:tc>
          <w:tcPr>
            <w:tcW w:w="3213" w:type="dxa"/>
          </w:tcPr>
          <w:p>
            <w:pPr>
              <w:pStyle w:val="Celda"/>
            </w:pPr>
            <w:r>
              <w:t xml:space="preserve">No shorter than that required by applicable regulation (document 34).</w:t>
            </w:r>
          </w:p>
        </w:tc>
      </w:tr>
      <w:tr>
        <w:tc>
          <w:tcPr>
            <w:tcW w:w="3213" w:type="dxa"/>
          </w:tcPr>
          <w:p>
            <w:pPr>
              <w:pStyle w:val="Celda"/>
            </w:pPr>
            <w:r>
              <w:t xml:space="preserve">Monitoring required by regulation </w:t>
            </w:r>
            <w:r>
              <w:rPr>
                <w:b/>
              </w:rPr>
              <w:t xml:space="preserve">(Enterprise)</w:t>
            </w:r>
          </w:p>
        </w:tc>
        <w:tc>
          <w:tcPr>
            <w:tcW w:w="3213" w:type="dxa"/>
          </w:tcPr>
          <w:p>
            <w:pPr>
              <w:pStyle w:val="Celda"/>
            </w:pPr>
          </w:p>
        </w:tc>
        <w:tc>
          <w:tcPr>
            <w:tcW w:w="3213" w:type="dxa"/>
          </w:tcPr>
          <w:p>
            <w:pPr>
              <w:pStyle w:val="Celda"/>
            </w:pPr>
            <w:r>
              <w:t xml:space="preserve">What is monitored after go-live, who does it and how the provider or the authority is informed where appropriate (document 34).</w:t>
            </w:r>
          </w:p>
        </w:tc>
      </w:tr>
    </w:tbl>
    <w:p>
      <w:pPr>
        <w:pStyle w:val="Espacio"/>
      </w:pPr>
    </w:p>
    <w:p>
      <w:pPr>
        <w:pStyle w:val="Separador"/>
      </w:pPr>
    </w:p>
    <w:p>
      <w:pPr>
        <w:pStyle w:val="Heading1"/>
      </w:pPr>
      <w:r>
        <w:t xml:space="preserve">10. Continuity review (R6)</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Frequency</w:t>
            </w:r>
          </w:p>
        </w:tc>
        <w:tc>
          <w:tcPr>
            <w:tcW w:w="3213" w:type="dxa"/>
          </w:tcPr>
          <w:p>
            <w:pPr>
              <w:pStyle w:val="Celda"/>
            </w:pPr>
          </w:p>
        </w:tc>
        <w:tc>
          <w:tcPr>
            <w:tcW w:w="3213" w:type="dxa"/>
          </w:tcPr>
          <w:p>
            <w:pPr>
              <w:pStyle w:val="Celda"/>
            </w:pPr>
            <w:r>
              <w:t xml:space="preserve">At least quarterly at Enterprise and half-yearly at Lite (01 §6.8).</w:t>
            </w:r>
          </w:p>
        </w:tc>
      </w:tr>
      <w:tr>
        <w:tc>
          <w:tcPr>
            <w:tcW w:w="3213" w:type="dxa"/>
          </w:tcPr>
          <w:p>
            <w:pPr>
              <w:pStyle w:val="Celda"/>
            </w:pPr>
            <w:r>
              <w:t xml:space="preserve">Next date</w:t>
            </w:r>
          </w:p>
        </w:tc>
        <w:tc>
          <w:tcPr>
            <w:tcW w:w="3213" w:type="dxa"/>
          </w:tcPr>
          <w:p>
            <w:pPr>
              <w:pStyle w:val="Celda"/>
            </w:pPr>
          </w:p>
        </w:tc>
        <w:tc>
          <w:tcPr>
            <w:tcW w:w="3213" w:type="dxa"/>
          </w:tcPr>
          <w:p>
            <w:pPr>
              <w:pStyle w:val="Celda"/>
            </w:pPr>
          </w:p>
        </w:tc>
      </w:tr>
      <w:tr>
        <w:tc>
          <w:tcPr>
            <w:tcW w:w="3213" w:type="dxa"/>
          </w:tcPr>
          <w:p>
            <w:pPr>
              <w:pStyle w:val="Celda"/>
            </w:pPr>
            <w:r>
              <w:t xml:space="preserve">Information prepared</w:t>
            </w:r>
          </w:p>
        </w:tc>
        <w:tc>
          <w:tcPr>
            <w:tcW w:w="3213" w:type="dxa"/>
          </w:tcPr>
          <w:p>
            <w:pPr>
              <w:pStyle w:val="Celda"/>
            </w:pPr>
          </w:p>
        </w:tc>
        <w:tc>
          <w:tcPr>
            <w:tcW w:w="3213" w:type="dxa"/>
          </w:tcPr>
          <w:p>
            <w:pPr>
              <w:pStyle w:val="Celda"/>
            </w:pPr>
            <w:r>
              <w:t xml:space="preserve">Realised value against hypothesis (P28), stability (P25), incidents and changes (P27), compliance and currency of the risk classification and intensity (P04, P11, P12).</w:t>
            </w:r>
          </w:p>
        </w:tc>
      </w:tr>
      <w:tr>
        <w:tc>
          <w:tcPr>
            <w:tcW w:w="3213" w:type="dxa"/>
          </w:tcPr>
          <w:p>
            <w:pPr>
              <w:pStyle w:val="Celda"/>
            </w:pPr>
            <w:r>
              <w:t xml:space="preserve">Criterion for proposing to bring G7 forward</w:t>
            </w:r>
          </w:p>
        </w:tc>
        <w:tc>
          <w:tcPr>
            <w:tcW w:w="3213" w:type="dxa"/>
          </w:tcPr>
          <w:p>
            <w:pPr>
              <w:pStyle w:val="Celda"/>
            </w:pPr>
          </w:p>
        </w:tc>
        <w:tc>
          <w:tcPr>
            <w:tcW w:w="3213" w:type="dxa"/>
          </w:tcPr>
          <w:p>
            <w:pPr>
              <w:pStyle w:val="Celda"/>
            </w:pPr>
            <w:r>
              <w:t xml:space="preserve">Relevant deviations in value, risk or compliance.</w:t>
            </w:r>
          </w:p>
        </w:tc>
      </w:tr>
    </w:tbl>
    <w:p>
      <w:pPr>
        <w:pStyle w:val="Espacio"/>
      </w:pPr>
    </w:p>
    <w:p>
      <w:pPr>
        <w:pStyle w:val="Separador"/>
      </w:pPr>
    </w:p>
    <w:p>
      <w:pPr>
        <w:pStyle w:val="Heading1"/>
      </w:pPr>
      <w:r>
        <w:t xml:space="preserve">11. Quality criteria</w:t>
      </w:r>
    </w:p>
    <w:p>
      <w:r>
        <w:t xml:space="preserve">Formal G5 and R6 criteria in document 21.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All operational roles have a holder and a deputy.</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Routines have a frequency, an owner and a record.</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types of change and their approval are defined and connected with P27.</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Common situations have a first action and escalation.</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Degraded mode and the process without AI are described and are consistent with P19.</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date of the next R6 is set according to intensity.</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For systems with variable consumption, the cost-driven degradation cascade is defined, does not deactivate critical controls and has been tested.</w:t>
            </w:r>
          </w:p>
        </w:tc>
        <w:tc>
          <w:tcPr>
            <w:tcW w:w="3213" w:type="dxa"/>
          </w:tcPr>
          <w:p>
            <w:pPr>
              <w:pStyle w:val="Celda"/>
            </w:pPr>
          </w:p>
        </w:tc>
      </w:tr>
    </w:tbl>
    <w:p>
      <w:pPr>
        <w:pStyle w:val="Espacio"/>
      </w:pPr>
    </w:p>
    <w:p>
      <w:pPr>
        <w:pStyle w:val="Separador"/>
      </w:pPr>
    </w:p>
    <w:p>
      <w:pPr>
        <w:pStyle w:val="Heading1"/>
      </w:pPr>
      <w:r>
        <w:t xml:space="preserve">12.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Author</w:t>
            </w:r>
          </w:p>
        </w:tc>
        <w:tc>
          <w:tcPr>
            <w:tcW w:w="1928" w:type="dxa"/>
          </w:tcPr>
          <w:p>
            <w:pPr>
              <w:pStyle w:val="Celda"/>
            </w:pPr>
            <w:r>
              <w:t xml:space="preserve">AI Operations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Co-author</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Approval</w:t>
            </w:r>
          </w:p>
        </w:tc>
        <w:tc>
          <w:tcPr>
            <w:tcW w:w="1928" w:type="dxa"/>
          </w:tcPr>
          <w:p>
            <w:pPr>
              <w:pStyle w:val="Celda"/>
            </w:pPr>
            <w:r>
              <w:t xml:space="preserve">Sponsor (Lite) · AI Committee (Enterprise), within the G5 decision</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operations owner does not verify evidence of their own operation (01 §8.1).</w:t>
      </w:r>
    </w:p>
    <w:p>
      <w:pPr>
        <w:pStyle w:val="Separador"/>
      </w:pPr>
    </w:p>
    <w:p>
      <w:pPr>
        <w:pStyle w:val="Heading1"/>
      </w:pPr>
      <w:r>
        <w:t xml:space="preserve">13.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r>
        <w:tc>
          <w:tcPr>
            <w:tcW w:w="3213" w:type="dxa"/>
          </w:tcPr>
          <w:p>
            <w:pPr>
              <w:pStyle w:val="Celda"/>
            </w:pPr>
            <w:r>
              <w:t xml:space="preserve">0.1</w:t>
            </w:r>
          </w:p>
        </w:tc>
        <w:tc>
          <w:tcPr>
            <w:tcW w:w="3213" w:type="dxa"/>
          </w:tcPr>
          <w:p>
            <w:pPr>
              <w:pStyle w:val="Celda"/>
            </w:pPr>
            <w:r>
              <w:t xml:space="preserve">18-09-2026</w:t>
            </w:r>
          </w:p>
        </w:tc>
        <w:tc>
          <w:tcPr>
            <w:tcW w:w="3213" w:type="dxa"/>
          </w:tcPr>
          <w:p>
            <w:pPr>
              <w:pStyle w:val="Celda"/>
            </w:pPr>
            <w:r>
              <w:t xml:space="preserve">Cost-driven degradation cascade and fallback model in block 8; usage drift and counterfactual pairs in the common situations; quality criterion 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P24 · Operations manual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P24 · Operations manual</dc:title>
  <dc:creator>Fernando García Varela</dc:creator>
  <dc:language>en</dc:language>
  <dc:description>sha256:9d881f7808b4083104b3777d21c741f5282b7407a6e2b756575fed3b3f11aa8a</dc:description>
  <cp:keywords>SEVEN-G</cp:keywords>
</cp:coreProperties>
</file>