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thesis and risk appetite</w:t>
      </w:r>
    </w:p>
    <w:p>
      <w:r>
        <w:rPr>
          <w:b/>
        </w:rPr>
        <w:t xml:space="preserve">Board decision document in C2: AI thesis, ambition per sphere, risk appetite, thresholds, horizons, portfolio bands, time limits, red lines, framework budget, indicator selection and threshold version register.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P35 · AI thesis and risk appetite</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whole framework decides using the parameters that the board approves here: which initiative fits the thesis at G0, when an initiative is Enterprise, what residual risk may be accepted, what return is required at each </w:t>
      </w:r>
      <w:r>
        <w:rPr>
          <w:i/>
        </w:rPr>
        <w:t xml:space="preserve">gate</w:t>
      </w:r>
      <w:r>
        <w:t xml:space="preserve"> and how much is invested in each lane. If they are not approved and versioned, each body interprets them in its own way, thresholds are changed to improve a result and the portfolio executes no direction at all. It is tool T19 and the evidence for questions D1.05 and D1.06 in document 11.</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C2: in the first implementation, within the 90 days (90 §4.3 and §4.4); thereafter, annually after C5 and on an extraordinary basis when a trigger occurs (13 §13).</w:t>
            </w:r>
          </w:p>
        </w:tc>
      </w:tr>
      <w:tr>
        <w:tc>
          <w:tcPr>
            <w:tcW w:w="4819" w:type="dxa"/>
          </w:tcPr>
          <w:p>
            <w:pPr>
              <w:pStyle w:val="Celda"/>
            </w:pPr>
            <w:r>
              <w:rPr>
                <w:b/>
              </w:rPr>
              <w:t xml:space="preserve">Who completes it</w:t>
            </w:r>
          </w:p>
        </w:tc>
        <w:tc>
          <w:tcPr>
            <w:tcW w:w="4819" w:type="dxa"/>
          </w:tcPr>
          <w:p>
            <w:pPr>
              <w:pStyle w:val="Celda"/>
            </w:pPr>
            <w:r>
              <w:t xml:space="preserve">Senior management, with the AI Office, risk, compliance, management control and people.</w:t>
            </w:r>
          </w:p>
        </w:tc>
      </w:tr>
      <w:tr>
        <w:tc>
          <w:tcPr>
            <w:tcW w:w="4819" w:type="dxa"/>
          </w:tcPr>
          <w:p>
            <w:pPr>
              <w:pStyle w:val="Celda"/>
            </w:pPr>
            <w:r>
              <w:rPr>
                <w:b/>
              </w:rPr>
              <w:t xml:space="preserve">Who verifies it</w:t>
            </w:r>
          </w:p>
        </w:tc>
        <w:tc>
          <w:tcPr>
            <w:tcW w:w="4819" w:type="dxa"/>
          </w:tcPr>
          <w:p>
            <w:pPr>
              <w:pStyle w:val="Celda"/>
            </w:pPr>
            <w:r>
              <w:t xml:space="preserve">The AI Auditor or internal audit, against the criteria in section 15, before approval.</w:t>
            </w:r>
          </w:p>
        </w:tc>
      </w:tr>
      <w:tr>
        <w:tc>
          <w:tcPr>
            <w:tcW w:w="4819" w:type="dxa"/>
          </w:tcPr>
          <w:p>
            <w:pPr>
              <w:pStyle w:val="Celda"/>
            </w:pPr>
            <w:r>
              <w:rPr>
                <w:b/>
              </w:rPr>
              <w:t xml:space="preserve">Who decides or approves</w:t>
            </w:r>
          </w:p>
        </w:tc>
        <w:tc>
          <w:tcPr>
            <w:tcW w:w="4819" w:type="dxa"/>
          </w:tcPr>
          <w:p>
            <w:pPr>
              <w:pStyle w:val="Celda"/>
            </w:pPr>
            <w:r>
              <w:t xml:space="preserve">The board of directors, or the committee with delegated powers.</w:t>
            </w:r>
          </w:p>
        </w:tc>
      </w:tr>
      <w:tr>
        <w:tc>
          <w:tcPr>
            <w:tcW w:w="4819" w:type="dxa"/>
          </w:tcPr>
          <w:p>
            <w:pPr>
              <w:pStyle w:val="Celda"/>
            </w:pPr>
            <w:r>
              <w:rPr>
                <w:b/>
              </w:rPr>
              <w:t xml:space="preserve">Corporate cycle stage</w:t>
            </w:r>
          </w:p>
        </w:tc>
        <w:tc>
          <w:tcPr>
            <w:tcW w:w="4819" w:type="dxa"/>
          </w:tcPr>
          <w:p>
            <w:pPr>
              <w:pStyle w:val="Celda"/>
            </w:pPr>
            <w:r>
              <w:t xml:space="preserve">C2 · Direction. Input: C1 diagnosis report (P33). Output: parameters for C3 (P36) and for the tools.</w:t>
            </w:r>
          </w:p>
        </w:tc>
      </w:tr>
      <w:tr>
        <w:tc>
          <w:tcPr>
            <w:tcW w:w="4819" w:type="dxa"/>
          </w:tcPr>
          <w:p>
            <w:pPr>
              <w:pStyle w:val="Celda"/>
            </w:pPr>
            <w:r>
              <w:rPr>
                <w:b/>
              </w:rPr>
              <w:t xml:space="preserve">Tool</w:t>
            </w:r>
          </w:p>
        </w:tc>
        <w:tc>
          <w:tcPr>
            <w:tcW w:w="4819" w:type="dxa"/>
          </w:tcPr>
          <w:p>
            <w:pPr>
              <w:pStyle w:val="Celda"/>
            </w:pPr>
            <w:r>
              <w:t xml:space="preserve">T19 · AI thesis and risk appetite template. After approval, T01, T04, T06, T14, T16 and T17 are updated (13 §13) and the decision is recorded in T18.</w:t>
            </w:r>
          </w:p>
        </w:tc>
      </w:tr>
      <w:tr>
        <w:tc>
          <w:tcPr>
            <w:tcW w:w="4819" w:type="dxa"/>
          </w:tcPr>
          <w:p>
            <w:pPr>
              <w:pStyle w:val="Celda"/>
            </w:pPr>
            <w:r>
              <w:rPr>
                <w:b/>
              </w:rPr>
              <w:t xml:space="preserve">Reference document</w:t>
            </w:r>
          </w:p>
        </w:tc>
        <w:tc>
          <w:tcPr>
            <w:tcW w:w="4819" w:type="dxa"/>
          </w:tcPr>
          <w:p>
            <w:pPr>
              <w:pStyle w:val="Celda"/>
            </w:pPr>
            <w:r>
              <w:t xml:space="preserve">Document 13, which contains the method, the rules and the indicative values. This template extracts its annex (13 §15) and does not modify it. The indicator selection follows document 41 (§1, §5, §19 and §20).</w:t>
            </w:r>
          </w:p>
        </w:tc>
      </w:tr>
      <w:tr>
        <w:tc>
          <w:tcPr>
            <w:tcW w:w="4819" w:type="dxa"/>
          </w:tcPr>
          <w:p>
            <w:pPr>
              <w:pStyle w:val="Celda"/>
            </w:pPr>
            <w:r>
              <w:rPr>
                <w:b/>
              </w:rPr>
              <w:t xml:space="preserve">Lite versus Enterprise</w:t>
            </w:r>
          </w:p>
        </w:tc>
        <w:tc>
          <w:tcPr>
            <w:tcW w:w="4819" w:type="dxa"/>
          </w:tcPr>
          <w:p>
            <w:pPr>
              <w:pStyle w:val="Celda"/>
            </w:pPr>
            <w:r>
              <w:t xml:space="preserve">Fields marked </w:t>
            </w:r>
            <w:r>
              <w:rPr>
                <w:b/>
              </w:rPr>
              <w:t xml:space="preserve">(Enterprise)</w:t>
            </w:r>
            <w:r>
              <w:t xml:space="preserve"> may be omitted in organisations that apply only Lite intensity, with justification.</w:t>
            </w:r>
          </w:p>
        </w:tc>
      </w:tr>
    </w:tbl>
    <w:p>
      <w:pPr>
        <w:pStyle w:val="Espacio"/>
      </w:pPr>
    </w:p>
    <w:p>
      <w:r>
        <w:t xml:space="preserve">Completion rules:</w:t>
      </w:r>
    </w:p>
    <w:p>
      <w:pPr>
        <w:pStyle w:val="Lista"/>
      </w:pPr>
      <w:r>
        <w:t xml:space="preserve">• Where "indicative value" is indicated, the value in document 13 is used as a starting point and replaced by the approved value.</w:t>
      </w:r>
    </w:p>
    <w:p>
      <w:pPr>
        <w:pStyle w:val="Lista"/>
      </w:pPr>
      <w:r>
        <w:t xml:space="preserve">• The likelihood, impact and risk level scales and the responses are those in document 33: this decision sets where the company stands, it does not modify them.</w:t>
      </w:r>
    </w:p>
    <w:p>
      <w:pPr>
        <w:pStyle w:val="Lista"/>
      </w:pPr>
      <w:r>
        <w:t xml:space="preserve">• The appetite grade of a category may </w:t>
      </w:r>
      <w:r>
        <w:rPr>
          <w:b/>
        </w:rPr>
        <w:t xml:space="preserve">tighten</w:t>
      </w:r>
      <w:r>
        <w:t xml:space="preserve"> the general rule for accepting residual risk, </w:t>
      </w:r>
      <w:r>
        <w:rPr>
          <w:b/>
        </w:rPr>
        <w:t xml:space="preserve">never relax it</w:t>
      </w:r>
      <w:r>
        <w:t xml:space="preserve"> (13 §5.2).</w:t>
      </w:r>
    </w:p>
    <w:p>
      <w:pPr>
        <w:pStyle w:val="Lista"/>
      </w:pPr>
      <w:r>
        <w:t xml:space="preserve">• The approved time limits may not exceed those laid down by applicable regulation.</w:t>
      </w:r>
    </w:p>
    <w:p>
      <w:pPr>
        <w:pStyle w:val="Lista"/>
      </w:pPr>
      <w:r>
        <w:t xml:space="preserve">• Each version is identified by number and date; the previous one is retained (13 §13).</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or group</w:t>
            </w:r>
          </w:p>
        </w:tc>
        <w:tc>
          <w:tcPr>
            <w:tcW w:w="3213" w:type="dxa"/>
          </w:tcPr>
          <w:p>
            <w:pPr>
              <w:pStyle w:val="Celda"/>
            </w:pPr>
          </w:p>
        </w:tc>
        <w:tc>
          <w:tcPr>
            <w:tcW w:w="3213" w:type="dxa"/>
          </w:tcPr>
          <w:p>
            <w:pPr>
              <w:pStyle w:val="Celda"/>
            </w:pPr>
            <w:r>
              <w:t xml:space="preserve">Corporate perimeter to which the decision applies.</w:t>
            </w:r>
          </w:p>
        </w:tc>
      </w:tr>
      <w:tr>
        <w:tc>
          <w:tcPr>
            <w:tcW w:w="3213" w:type="dxa"/>
          </w:tcPr>
          <w:p>
            <w:pPr>
              <w:pStyle w:val="Celda"/>
            </w:pPr>
            <w:r>
              <w:t xml:space="preserve">Approving body</w:t>
            </w:r>
          </w:p>
        </w:tc>
        <w:tc>
          <w:tcPr>
            <w:tcW w:w="3213" w:type="dxa"/>
          </w:tcPr>
          <w:p>
            <w:pPr>
              <w:pStyle w:val="Celda"/>
            </w:pPr>
          </w:p>
        </w:tc>
        <w:tc>
          <w:tcPr>
            <w:tcW w:w="3213" w:type="dxa"/>
          </w:tcPr>
          <w:p>
            <w:pPr>
              <w:pStyle w:val="Celda"/>
            </w:pPr>
            <w:r>
              <w:t xml:space="preserve">Board of directors or committee with delegated powers.</w:t>
            </w:r>
          </w:p>
        </w:tc>
      </w:tr>
      <w:tr>
        <w:tc>
          <w:tcPr>
            <w:tcW w:w="3213" w:type="dxa"/>
          </w:tcPr>
          <w:p>
            <w:pPr>
              <w:pStyle w:val="Celda"/>
            </w:pPr>
            <w:r>
              <w:t xml:space="preserve">Session 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r>
              <w:t xml:space="preserve">1.0 on first approval; incremented at each review.</w:t>
            </w:r>
          </w:p>
        </w:tc>
      </w:tr>
      <w:tr>
        <w:tc>
          <w:tcPr>
            <w:tcW w:w="3213" w:type="dxa"/>
          </w:tcPr>
          <w:p>
            <w:pPr>
              <w:pStyle w:val="Celda"/>
            </w:pPr>
            <w:r>
              <w:t xml:space="preserve">Identifier in the decisions register (T18)</w:t>
            </w:r>
          </w:p>
        </w:tc>
        <w:tc>
          <w:tcPr>
            <w:tcW w:w="3213" w:type="dxa"/>
          </w:tcPr>
          <w:p>
            <w:pPr>
              <w:pStyle w:val="Celda"/>
            </w:pPr>
          </w:p>
        </w:tc>
        <w:tc>
          <w:tcPr>
            <w:tcW w:w="3213" w:type="dxa"/>
          </w:tcPr>
          <w:p>
            <w:pPr>
              <w:pStyle w:val="Celda"/>
            </w:pPr>
            <w:r>
              <w:t xml:space="preserve">DEC-AAAA-NNN (document 62).</w:t>
            </w:r>
          </w:p>
        </w:tc>
      </w:tr>
      <w:tr>
        <w:tc>
          <w:tcPr>
            <w:tcW w:w="3213" w:type="dxa"/>
          </w:tcPr>
          <w:p>
            <w:pPr>
              <w:pStyle w:val="Celda"/>
            </w:pPr>
            <w:r>
              <w:t xml:space="preserve">Prepared by</w:t>
            </w:r>
          </w:p>
        </w:tc>
        <w:tc>
          <w:tcPr>
            <w:tcW w:w="3213" w:type="dxa"/>
          </w:tcPr>
          <w:p>
            <w:pPr>
              <w:pStyle w:val="Celda"/>
            </w:pPr>
          </w:p>
        </w:tc>
        <w:tc>
          <w:tcPr>
            <w:tcW w:w="3213" w:type="dxa"/>
          </w:tcPr>
          <w:p>
            <w:pPr>
              <w:pStyle w:val="Celda"/>
            </w:pPr>
            <w:r>
              <w:t xml:space="preserve">Name and position.</w:t>
            </w:r>
          </w:p>
        </w:tc>
      </w:tr>
      <w:tr>
        <w:tc>
          <w:tcPr>
            <w:tcW w:w="3213" w:type="dxa"/>
          </w:tcPr>
          <w:p>
            <w:pPr>
              <w:pStyle w:val="Celda"/>
            </w:pPr>
            <w:r>
              <w:t xml:space="preserve">Verified by</w:t>
            </w:r>
          </w:p>
        </w:tc>
        <w:tc>
          <w:tcPr>
            <w:tcW w:w="3213" w:type="dxa"/>
          </w:tcPr>
          <w:p>
            <w:pPr>
              <w:pStyle w:val="Celda"/>
            </w:pPr>
          </w:p>
        </w:tc>
        <w:tc>
          <w:tcPr>
            <w:tcW w:w="3213" w:type="dxa"/>
          </w:tcPr>
          <w:p>
            <w:pPr>
              <w:pStyle w:val="Celda"/>
            </w:pPr>
            <w:r>
              <w:t xml:space="preserve">AI Auditor or internal audit; different from the preparer.</w:t>
            </w:r>
          </w:p>
        </w:tc>
      </w:tr>
      <w:tr>
        <w:tc>
          <w:tcPr>
            <w:tcW w:w="3213" w:type="dxa"/>
          </w:tcPr>
          <w:p>
            <w:pPr>
              <w:pStyle w:val="Celda"/>
            </w:pPr>
            <w:r>
              <w:t xml:space="preserve">Reference C1 report</w:t>
            </w:r>
          </w:p>
        </w:tc>
        <w:tc>
          <w:tcPr>
            <w:tcW w:w="3213" w:type="dxa"/>
          </w:tcPr>
          <w:p>
            <w:pPr>
              <w:pStyle w:val="Celda"/>
            </w:pPr>
          </w:p>
        </w:tc>
        <w:tc>
          <w:tcPr>
            <w:tcW w:w="3213" w:type="dxa"/>
          </w:tcPr>
          <w:p>
            <w:pPr>
              <w:pStyle w:val="Celda"/>
            </w:pPr>
            <w:r>
              <w:t xml:space="preserve">Code, date and version of P33.</w:t>
            </w:r>
          </w:p>
        </w:tc>
      </w:tr>
    </w:tbl>
    <w:p>
      <w:pPr>
        <w:pStyle w:val="Espacio"/>
      </w:pPr>
    </w:p>
    <w:p>
      <w:pPr>
        <w:pStyle w:val="Separador"/>
      </w:pPr>
    </w:p>
    <w:p>
      <w:pPr>
        <w:pStyle w:val="Heading1"/>
      </w:pPr>
      <w:r>
        <w:t xml:space="preserve">3. Proposed resolutions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No.</w:t>
            </w:r>
          </w:p>
        </w:tc>
        <w:tc>
          <w:tcPr>
            <w:tcW w:w="3213" w:type="dxa"/>
            <w:shd w:val="clear" w:color="auto" w:fill="F2DFCE"/>
          </w:tcPr>
          <w:p>
            <w:pPr>
              <w:pStyle w:val="Celda"/>
            </w:pPr>
            <w:r>
              <w:rPr>
                <w:b/>
              </w:rPr>
              <w:t xml:space="preserve">Resolution</w:t>
            </w:r>
          </w:p>
        </w:tc>
        <w:tc>
          <w:tcPr>
            <w:tcW w:w="3213" w:type="dxa"/>
            <w:shd w:val="clear" w:color="auto" w:fill="F2DFCE"/>
          </w:tcPr>
          <w:p>
            <w:pPr>
              <w:pStyle w:val="Celda"/>
            </w:pPr>
            <w:r>
              <w:rPr>
                <w:b/>
              </w:rPr>
              <w:t xml:space="preserve">Guidance</w:t>
            </w:r>
          </w:p>
        </w:tc>
      </w:tr>
      <w:tr>
        <w:tc>
          <w:tcPr>
            <w:tcW w:w="3213" w:type="dxa"/>
          </w:tcPr>
          <w:p>
            <w:pPr>
              <w:pStyle w:val="Celda"/>
            </w:pPr>
            <w:r>
              <w:t xml:space="preserve">1</w:t>
            </w:r>
          </w:p>
        </w:tc>
        <w:tc>
          <w:tcPr>
            <w:tcW w:w="3213" w:type="dxa"/>
          </w:tcPr>
          <w:p>
            <w:pPr>
              <w:pStyle w:val="Celda"/>
            </w:pPr>
            <w:r>
              <w:t xml:space="preserve">The AI thesis in section 4 is approved.</w:t>
            </w:r>
          </w:p>
        </w:tc>
        <w:tc>
          <w:tcPr>
            <w:tcW w:w="3213" w:type="dxa"/>
          </w:tcPr>
          <w:p>
            <w:pPr>
              <w:pStyle w:val="Celda"/>
            </w:pPr>
            <w:r>
              <w:t xml:space="preserve">One resolution per component, in the form "… is approved".</w:t>
            </w:r>
          </w:p>
        </w:tc>
      </w:tr>
      <w:tr>
        <w:tc>
          <w:tcPr>
            <w:tcW w:w="3213" w:type="dxa"/>
          </w:tcPr>
          <w:p>
            <w:pPr>
              <w:pStyle w:val="Celda"/>
            </w:pPr>
            <w:r>
              <w:t xml:space="preserve">2</w:t>
            </w:r>
          </w:p>
        </w:tc>
        <w:tc>
          <w:tcPr>
            <w:tcW w:w="3213" w:type="dxa"/>
          </w:tcPr>
          <w:p>
            <w:pPr>
              <w:pStyle w:val="Celda"/>
            </w:pPr>
            <w:r>
              <w:t xml:space="preserve">The ambition per sphere in section 5 is approved.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risk appetite by category and its tolerance metrics in section 6 are approved.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thresholds in sections 7 and 8 are approved.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time limits in section 9 are approved.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red lines in section 10 are approved.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framework budget in section 11 is approved.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monitoring targets and the validity in section 12 are approved.</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The indicator selection in section 13 is approved.</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The threshold version in section 14 is approved.</w:t>
            </w:r>
          </w:p>
        </w:tc>
        <w:tc>
          <w:tcPr>
            <w:tcW w:w="3213" w:type="dxa"/>
          </w:tcPr>
          <w:p>
            <w:pPr>
              <w:pStyle w:val="Celda"/>
            </w:pPr>
          </w:p>
        </w:tc>
      </w:tr>
    </w:tbl>
    <w:p>
      <w:pPr>
        <w:pStyle w:val="Espacio"/>
      </w:pPr>
    </w:p>
    <w:p>
      <w:pPr>
        <w:pStyle w:val="Separador"/>
      </w:pPr>
    </w:p>
    <w:p>
      <w:pPr>
        <w:pStyle w:val="Heading1"/>
      </w:pPr>
      <w:r>
        <w:t xml:space="preserve">4. AI thesis</w:t>
      </w:r>
    </w:p>
    <w:p>
      <w:r>
        <w:t xml:space="preserve">Structure and quality criteria in 13 §3. Two to four pages; it must be usable to say no to an initiative.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Context</w:t>
            </w:r>
          </w:p>
        </w:tc>
        <w:tc>
          <w:tcPr>
            <w:tcW w:w="3213" w:type="dxa"/>
          </w:tcPr>
          <w:p>
            <w:pPr>
              <w:pStyle w:val="Celda"/>
            </w:pPr>
          </w:p>
        </w:tc>
        <w:tc>
          <w:tcPr>
            <w:tcW w:w="3213" w:type="dxa"/>
          </w:tcPr>
          <w:p>
            <w:pPr>
              <w:pStyle w:val="Celda"/>
            </w:pPr>
            <w:r>
              <w:t xml:space="preserve">How AI changes the rules of the sector. Why now?</w:t>
            </w:r>
          </w:p>
        </w:tc>
      </w:tr>
      <w:tr>
        <w:tc>
          <w:tcPr>
            <w:tcW w:w="3213" w:type="dxa"/>
          </w:tcPr>
          <w:p>
            <w:pPr>
              <w:pStyle w:val="Celda"/>
            </w:pPr>
            <w:r>
              <w:t xml:space="preserve">Role of AI in the strategy</w:t>
            </w:r>
          </w:p>
        </w:tc>
        <w:tc>
          <w:tcPr>
            <w:tcW w:w="3213" w:type="dxa"/>
          </w:tcPr>
          <w:p>
            <w:pPr>
              <w:pStyle w:val="Celda"/>
            </w:pPr>
          </w:p>
        </w:tc>
        <w:tc>
          <w:tcPr>
            <w:tcW w:w="3213" w:type="dxa"/>
          </w:tcPr>
          <w:p>
            <w:pPr>
              <w:pStyle w:val="Celda"/>
            </w:pPr>
            <w:r>
              <w:t xml:space="preserve">Relative weight of efficiency, growth and operating model.</w:t>
            </w:r>
          </w:p>
        </w:tc>
      </w:tr>
      <w:tr>
        <w:tc>
          <w:tcPr>
            <w:tcW w:w="3213" w:type="dxa"/>
          </w:tcPr>
          <w:p>
            <w:pPr>
              <w:pStyle w:val="Celda"/>
            </w:pPr>
            <w:r>
              <w:t xml:space="preserve">Where we play</w:t>
            </w:r>
          </w:p>
        </w:tc>
        <w:tc>
          <w:tcPr>
            <w:tcW w:w="3213" w:type="dxa"/>
          </w:tcPr>
          <w:p>
            <w:pPr>
              <w:pStyle w:val="Celda"/>
            </w:pPr>
          </w:p>
        </w:tc>
        <w:tc>
          <w:tcPr>
            <w:tcW w:w="3213" w:type="dxa"/>
          </w:tcPr>
          <w:p>
            <w:pPr>
              <w:pStyle w:val="Celda"/>
            </w:pPr>
            <w:r>
              <w:t xml:space="preserve">Refers to section 5.</w:t>
            </w:r>
          </w:p>
        </w:tc>
      </w:tr>
      <w:tr>
        <w:tc>
          <w:tcPr>
            <w:tcW w:w="3213" w:type="dxa"/>
          </w:tcPr>
          <w:p>
            <w:pPr>
              <w:pStyle w:val="Celda"/>
            </w:pPr>
            <w:r>
              <w:t xml:space="preserve">What we will not do</w:t>
            </w:r>
          </w:p>
        </w:tc>
        <w:tc>
          <w:tcPr>
            <w:tcW w:w="3213" w:type="dxa"/>
          </w:tcPr>
          <w:p>
            <w:pPr>
              <w:pStyle w:val="Celda"/>
            </w:pPr>
          </w:p>
        </w:tc>
        <w:tc>
          <w:tcPr>
            <w:tcW w:w="3213" w:type="dxa"/>
          </w:tcPr>
          <w:p>
            <w:pPr>
              <w:pStyle w:val="Celda"/>
            </w:pPr>
            <w:r>
              <w:t xml:space="preserve">At least three specific renunciations.</w:t>
            </w:r>
          </w:p>
        </w:tc>
      </w:tr>
      <w:tr>
        <w:tc>
          <w:tcPr>
            <w:tcW w:w="3213" w:type="dxa"/>
          </w:tcPr>
          <w:p>
            <w:pPr>
              <w:pStyle w:val="Celda"/>
            </w:pPr>
            <w:r>
              <w:t xml:space="preserve">Position on people</w:t>
            </w:r>
          </w:p>
        </w:tc>
        <w:tc>
          <w:tcPr>
            <w:tcW w:w="3213" w:type="dxa"/>
          </w:tcPr>
          <w:p>
            <w:pPr>
              <w:pStyle w:val="Celda"/>
            </w:pPr>
          </w:p>
        </w:tc>
        <w:tc>
          <w:tcPr>
            <w:tcW w:w="3213" w:type="dxa"/>
          </w:tcPr>
          <w:p>
            <w:pPr>
              <w:pStyle w:val="Celda"/>
            </w:pPr>
            <w:r>
              <w:t xml:space="preserve">Replace, augment or reorganise, by area, with commitments.</w:t>
            </w:r>
          </w:p>
        </w:tc>
      </w:tr>
      <w:tr>
        <w:tc>
          <w:tcPr>
            <w:tcW w:w="3213" w:type="dxa"/>
          </w:tcPr>
          <w:p>
            <w:pPr>
              <w:pStyle w:val="Celda"/>
            </w:pPr>
            <w:r>
              <w:t xml:space="preserve">Enabling conditions</w:t>
            </w:r>
          </w:p>
        </w:tc>
        <w:tc>
          <w:tcPr>
            <w:tcW w:w="3213" w:type="dxa"/>
          </w:tcPr>
          <w:p>
            <w:pPr>
              <w:pStyle w:val="Celda"/>
            </w:pPr>
          </w:p>
        </w:tc>
        <w:tc>
          <w:tcPr>
            <w:tcW w:w="3213" w:type="dxa"/>
          </w:tcPr>
          <w:p>
            <w:pPr>
              <w:pStyle w:val="Celda"/>
            </w:pPr>
            <w:r>
              <w:t xml:space="preserve">Data, knowledge, capabilities, platform, suppliers.</w:t>
            </w:r>
          </w:p>
        </w:tc>
      </w:tr>
      <w:tr>
        <w:tc>
          <w:tcPr>
            <w:tcW w:w="3213" w:type="dxa"/>
          </w:tcPr>
          <w:p>
            <w:pPr>
              <w:pStyle w:val="Celda"/>
            </w:pPr>
            <w:r>
              <w:t xml:space="preserve">Principles</w:t>
            </w:r>
          </w:p>
        </w:tc>
        <w:tc>
          <w:tcPr>
            <w:tcW w:w="3213" w:type="dxa"/>
          </w:tcPr>
          <w:p>
            <w:pPr>
              <w:pStyle w:val="Celda"/>
            </w:pPr>
          </w:p>
        </w:tc>
        <w:tc>
          <w:tcPr>
            <w:tcW w:w="3213" w:type="dxa"/>
          </w:tcPr>
          <w:p>
            <w:pPr>
              <w:pStyle w:val="Celda"/>
            </w:pPr>
            <w:r>
              <w:t xml:space="preserve">Refers to the corporate policy (document 31).</w:t>
            </w:r>
          </w:p>
        </w:tc>
      </w:tr>
      <w:tr>
        <w:tc>
          <w:tcPr>
            <w:tcW w:w="3213" w:type="dxa"/>
          </w:tcPr>
          <w:p>
            <w:pPr>
              <w:pStyle w:val="Celda"/>
            </w:pPr>
            <w:r>
              <w:t xml:space="preserve">How we will know it is working</w:t>
            </w:r>
          </w:p>
        </w:tc>
        <w:tc>
          <w:tcPr>
            <w:tcW w:w="3213" w:type="dxa"/>
          </w:tcPr>
          <w:p>
            <w:pPr>
              <w:pStyle w:val="Celda"/>
            </w:pPr>
          </w:p>
        </w:tc>
        <w:tc>
          <w:tcPr>
            <w:tcW w:w="3213" w:type="dxa"/>
          </w:tcPr>
          <w:p>
            <w:pPr>
              <w:pStyle w:val="Celda"/>
            </w:pPr>
            <w:r>
              <w:t xml:space="preserve">Target profile, target maturity, validated value and net value, with horizon.</w:t>
            </w:r>
          </w:p>
        </w:tc>
      </w:tr>
    </w:tbl>
    <w:p>
      <w:pPr>
        <w:pStyle w:val="Espacio"/>
      </w:pPr>
    </w:p>
    <w:p>
      <w:pPr>
        <w:pStyle w:val="Separador"/>
      </w:pPr>
    </w:p>
    <w:p>
      <w:pPr>
        <w:pStyle w:val="Heading1"/>
      </w:pPr>
      <w:r>
        <w:t xml:space="preserve">5. Ambition per sphere</w:t>
      </w:r>
    </w:p>
    <w:p>
      <w:r>
        <w:t xml:space="preserve">Rules in 13 §4.2. At most three high-priority spheres; every sphere with Transform has an envelope and a candidate.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Sphere</w:t>
            </w:r>
          </w:p>
        </w:tc>
        <w:tc>
          <w:tcPr>
            <w:tcW w:w="1377" w:type="dxa"/>
            <w:shd w:val="clear" w:color="auto" w:fill="F2DFCE"/>
          </w:tcPr>
          <w:p>
            <w:pPr>
              <w:pStyle w:val="Celda"/>
            </w:pPr>
            <w:r>
              <w:rPr>
                <w:b/>
              </w:rPr>
              <w:t xml:space="preserve">Priority (High · Medium · Low · Non-priority)</w:t>
            </w:r>
          </w:p>
        </w:tc>
        <w:tc>
          <w:tcPr>
            <w:tcW w:w="1377" w:type="dxa"/>
            <w:shd w:val="clear" w:color="auto" w:fill="F2DFCE"/>
          </w:tcPr>
          <w:p>
            <w:pPr>
              <w:pStyle w:val="Celda"/>
            </w:pPr>
            <w:r>
              <w:rPr>
                <w:b/>
              </w:rPr>
              <w:t xml:space="preserve">Level achieved (C1)</w:t>
            </w:r>
          </w:p>
        </w:tc>
        <w:tc>
          <w:tcPr>
            <w:tcW w:w="1377" w:type="dxa"/>
            <w:shd w:val="clear" w:color="auto" w:fill="F2DFCE"/>
          </w:tcPr>
          <w:p>
            <w:pPr>
              <w:pStyle w:val="Celda"/>
            </w:pPr>
            <w:r>
              <w:rPr>
                <w:b/>
              </w:rPr>
              <w:t xml:space="preserve">Target ambition</w:t>
            </w:r>
          </w:p>
        </w:tc>
        <w:tc>
          <w:tcPr>
            <w:tcW w:w="1377" w:type="dxa"/>
            <w:shd w:val="clear" w:color="auto" w:fill="F2DFCE"/>
          </w:tcPr>
          <w:p>
            <w:pPr>
              <w:pStyle w:val="Celda"/>
            </w:pPr>
            <w:r>
              <w:rPr>
                <w:b/>
              </w:rPr>
              <w:t xml:space="preserve">Horizon (months)</w:t>
            </w:r>
          </w:p>
        </w:tc>
        <w:tc>
          <w:tcPr>
            <w:tcW w:w="1377" w:type="dxa"/>
            <w:shd w:val="clear" w:color="auto" w:fill="F2DFCE"/>
          </w:tcPr>
          <w:p>
            <w:pPr>
              <w:pStyle w:val="Celda"/>
            </w:pPr>
            <w:r>
              <w:rPr>
                <w:b/>
              </w:rPr>
              <w:t xml:space="preserve">Main indicator (current → target)</w:t>
            </w:r>
          </w:p>
        </w:tc>
        <w:tc>
          <w:tcPr>
            <w:tcW w:w="1377" w:type="dxa"/>
            <w:shd w:val="clear" w:color="auto" w:fill="F2DFCE"/>
          </w:tcPr>
          <w:p>
            <w:pPr>
              <w:pStyle w:val="Celda"/>
            </w:pPr>
            <w:r>
              <w:rPr>
                <w:b/>
              </w:rPr>
              <w:t xml:space="preserve">Owner</w:t>
            </w:r>
          </w:p>
        </w:tc>
      </w:tr>
      <w:tr>
        <w:tc>
          <w:tcPr>
            <w:tcW w:w="1377" w:type="dxa"/>
          </w:tcPr>
          <w:p>
            <w:pPr>
              <w:pStyle w:val="Celda"/>
            </w:pPr>
            <w:r>
              <w:t xml:space="preserve">01 · Customer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02 · Product and service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03 · People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04 · Operations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05 · Data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06 · Knowledge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07 · Decision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04 · Operations</w:t>
            </w:r>
          </w:p>
        </w:tc>
        <w:tc>
          <w:tcPr>
            <w:tcW w:w="1377" w:type="dxa"/>
          </w:tcPr>
          <w:p>
            <w:pPr>
              <w:pStyle w:val="Celda"/>
            </w:pPr>
            <w:r>
              <w:t xml:space="preserve">High</w:t>
            </w:r>
          </w:p>
        </w:tc>
        <w:tc>
          <w:tcPr>
            <w:tcW w:w="1377" w:type="dxa"/>
          </w:tcPr>
          <w:p>
            <w:pPr>
              <w:pStyle w:val="Celda"/>
            </w:pPr>
            <w:r>
              <w:t xml:space="preserve">Optimise</w:t>
            </w:r>
          </w:p>
        </w:tc>
        <w:tc>
          <w:tcPr>
            <w:tcW w:w="1377" w:type="dxa"/>
          </w:tcPr>
          <w:p>
            <w:pPr>
              <w:pStyle w:val="Celda"/>
            </w:pPr>
            <w:r>
              <w:t xml:space="preserve">Optimise</w:t>
            </w:r>
          </w:p>
        </w:tc>
        <w:tc>
          <w:tcPr>
            <w:tcW w:w="1377" w:type="dxa"/>
          </w:tcPr>
          <w:p>
            <w:pPr>
              <w:pStyle w:val="Celda"/>
            </w:pPr>
            <w:r>
              <w:t xml:space="preserve">12</w:t>
            </w:r>
          </w:p>
        </w:tc>
        <w:tc>
          <w:tcPr>
            <w:tcW w:w="1377" w:type="dxa"/>
          </w:tcPr>
          <w:p>
            <w:pPr>
              <w:pStyle w:val="Celda"/>
            </w:pPr>
            <w:r>
              <w:t xml:space="preserve">IE04.06 Validated materialised savings: €1.80M → €2.50M</w:t>
            </w:r>
          </w:p>
        </w:tc>
        <w:tc>
          <w:tcPr>
            <w:tcW w:w="1377" w:type="dxa"/>
          </w:tcPr>
          <w:p>
            <w:pPr>
              <w:pStyle w:val="Celda"/>
            </w:pPr>
            <w:r>
              <w:t xml:space="preserve">Operations director</w:t>
            </w:r>
          </w:p>
        </w:tc>
      </w:tr>
    </w:tbl>
    <w:p>
      <w:pPr>
        <w:pStyle w:val="Espacio"/>
      </w:pPr>
    </w:p>
    <w:p>
      <w:r>
        <w:t xml:space="preserve">For spheres 08 and 09 a grade is set, never an ambition level.</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Sphere</w:t>
            </w:r>
          </w:p>
        </w:tc>
        <w:tc>
          <w:tcPr>
            <w:tcW w:w="1377" w:type="dxa"/>
            <w:shd w:val="clear" w:color="auto" w:fill="F2DFCE"/>
          </w:tcPr>
          <w:p>
            <w:pPr>
              <w:pStyle w:val="Celda"/>
            </w:pPr>
            <w:r>
              <w:rPr>
                <w:b/>
              </w:rPr>
              <w:t xml:space="preserve">Dimension</w:t>
            </w:r>
          </w:p>
        </w:tc>
        <w:tc>
          <w:tcPr>
            <w:tcW w:w="1377" w:type="dxa"/>
            <w:shd w:val="clear" w:color="auto" w:fill="F2DFCE"/>
          </w:tcPr>
          <w:p>
            <w:pPr>
              <w:pStyle w:val="Celda"/>
            </w:pPr>
            <w:r>
              <w:rPr>
                <w:b/>
              </w:rPr>
              <w:t xml:space="preserve">Current grade</w:t>
            </w:r>
          </w:p>
        </w:tc>
        <w:tc>
          <w:tcPr>
            <w:tcW w:w="1377" w:type="dxa"/>
            <w:shd w:val="clear" w:color="auto" w:fill="F2DFCE"/>
          </w:tcPr>
          <w:p>
            <w:pPr>
              <w:pStyle w:val="Celda"/>
            </w:pPr>
            <w:r>
              <w:rPr>
                <w:b/>
              </w:rPr>
              <w:t xml:space="preserve">Target grade (Absent · Basic · Systematic · Advanced)</w:t>
            </w:r>
          </w:p>
        </w:tc>
        <w:tc>
          <w:tcPr>
            <w:tcW w:w="1377" w:type="dxa"/>
            <w:shd w:val="clear" w:color="auto" w:fill="F2DFCE"/>
          </w:tcPr>
          <w:p>
            <w:pPr>
              <w:pStyle w:val="Celda"/>
            </w:pPr>
            <w:r>
              <w:rPr>
                <w:b/>
              </w:rPr>
              <w:t xml:space="preserve">Horizon</w:t>
            </w:r>
          </w:p>
        </w:tc>
        <w:tc>
          <w:tcPr>
            <w:tcW w:w="1377" w:type="dxa"/>
            <w:shd w:val="clear" w:color="auto" w:fill="F2DFCE"/>
          </w:tcPr>
          <w:p>
            <w:pPr>
              <w:pStyle w:val="Celda"/>
            </w:pPr>
            <w:r>
              <w:rPr>
                <w:b/>
              </w:rPr>
              <w:t xml:space="preserve">Indicator</w:t>
            </w:r>
          </w:p>
        </w:tc>
        <w:tc>
          <w:tcPr>
            <w:tcW w:w="1377" w:type="dxa"/>
            <w:shd w:val="clear" w:color="auto" w:fill="F2DFCE"/>
          </w:tcPr>
          <w:p>
            <w:pPr>
              <w:pStyle w:val="Celda"/>
            </w:pPr>
            <w:r>
              <w:rPr>
                <w:b/>
              </w:rPr>
              <w:t xml:space="preserve">Owner</w:t>
            </w:r>
          </w:p>
        </w:tc>
      </w:tr>
      <w:tr>
        <w:tc>
          <w:tcPr>
            <w:tcW w:w="1377" w:type="dxa"/>
          </w:tcPr>
          <w:p>
            <w:pPr>
              <w:pStyle w:val="Celda"/>
            </w:pPr>
            <w:r>
              <w:t xml:space="preserve">08</w:t>
            </w:r>
          </w:p>
        </w:tc>
        <w:tc>
          <w:tcPr>
            <w:tcW w:w="1377" w:type="dxa"/>
          </w:tcPr>
          <w:p>
            <w:pPr>
              <w:pStyle w:val="Celda"/>
            </w:pPr>
            <w:r>
              <w:t xml:space="preserve">Compliance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08</w:t>
            </w:r>
          </w:p>
        </w:tc>
        <w:tc>
          <w:tcPr>
            <w:tcW w:w="1377" w:type="dxa"/>
          </w:tcPr>
          <w:p>
            <w:pPr>
              <w:pStyle w:val="Celda"/>
            </w:pPr>
            <w:r>
              <w:t xml:space="preserve">Anticipation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08</w:t>
            </w:r>
          </w:p>
        </w:tc>
        <w:tc>
          <w:tcPr>
            <w:tcW w:w="1377" w:type="dxa"/>
          </w:tcPr>
          <w:p>
            <w:pPr>
              <w:pStyle w:val="Celda"/>
            </w:pPr>
            <w:r>
              <w:t xml:space="preserve">Ethical leadership</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09</w:t>
            </w:r>
          </w:p>
        </w:tc>
        <w:tc>
          <w:tcPr>
            <w:tcW w:w="1377" w:type="dxa"/>
          </w:tcPr>
          <w:p>
            <w:pPr>
              <w:pStyle w:val="Celda"/>
            </w:pPr>
            <w:r>
              <w:t xml:space="preserve">Structure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09</w:t>
            </w:r>
          </w:p>
        </w:tc>
        <w:tc>
          <w:tcPr>
            <w:tcW w:w="1377" w:type="dxa"/>
          </w:tcPr>
          <w:p>
            <w:pPr>
              <w:pStyle w:val="Celda"/>
            </w:pPr>
            <w:r>
              <w:t xml:space="preserve">Speed and control</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09</w:t>
            </w:r>
          </w:p>
        </w:tc>
        <w:tc>
          <w:tcPr>
            <w:tcW w:w="1377" w:type="dxa"/>
          </w:tcPr>
          <w:p>
            <w:pPr>
              <w:pStyle w:val="Celda"/>
            </w:pPr>
            <w:r>
              <w:t xml:space="preserve">Supplier ecosystem</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6. Risk appetite</w:t>
      </w:r>
    </w:p>
    <w:p>
      <w:pPr>
        <w:pStyle w:val="Heading2"/>
      </w:pPr>
      <w:r>
        <w:t xml:space="preserve">6.1 Grade and statement by category</w:t>
      </w:r>
    </w:p>
    <w:p>
      <w:r>
        <w:t xml:space="preserve">Grades in 13 §5.2: </w:t>
      </w:r>
      <w:r>
        <w:rPr>
          <w:b/>
        </w:rPr>
        <w:t xml:space="preserve">Averse · Cautious · Moderate · Open</w:t>
      </w:r>
      <w:r>
        <w:t xml:space="preserve">. Recommended starting grades in 13 §5.3. The exceptional acceptance of a Critical risk permitted by the Open grade is not permitted in LEG or SEG (13 §5.2).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Code</w:t>
            </w:r>
          </w:p>
        </w:tc>
        <w:tc>
          <w:tcPr>
            <w:tcW w:w="1928" w:type="dxa"/>
            <w:shd w:val="clear" w:color="auto" w:fill="F2DFCE"/>
          </w:tcPr>
          <w:p>
            <w:pPr>
              <w:pStyle w:val="Celda"/>
            </w:pPr>
            <w:r>
              <w:rPr>
                <w:b/>
              </w:rPr>
              <w:t xml:space="preserve">Category</w:t>
            </w:r>
          </w:p>
        </w:tc>
        <w:tc>
          <w:tcPr>
            <w:tcW w:w="1928" w:type="dxa"/>
            <w:shd w:val="clear" w:color="auto" w:fill="F2DFCE"/>
          </w:tcPr>
          <w:p>
            <w:pPr>
              <w:pStyle w:val="Celda"/>
            </w:pPr>
            <w:r>
              <w:rPr>
                <w:b/>
              </w:rPr>
              <w:t xml:space="preserve">Grade</w:t>
            </w:r>
          </w:p>
        </w:tc>
        <w:tc>
          <w:tcPr>
            <w:tcW w:w="1928" w:type="dxa"/>
            <w:shd w:val="clear" w:color="auto" w:fill="F2DFCE"/>
          </w:tcPr>
          <w:p>
            <w:pPr>
              <w:pStyle w:val="Celda"/>
            </w:pPr>
            <w:r>
              <w:rPr>
                <w:b/>
              </w:rPr>
              <w:t xml:space="preserve">Statement</w:t>
            </w:r>
          </w:p>
        </w:tc>
        <w:tc>
          <w:tcPr>
            <w:tcW w:w="1928" w:type="dxa"/>
            <w:shd w:val="clear" w:color="auto" w:fill="F2DFCE"/>
          </w:tcPr>
          <w:p>
            <w:pPr>
              <w:pStyle w:val="Celda"/>
            </w:pPr>
            <w:r>
              <w:rPr>
                <w:b/>
              </w:rPr>
              <w:t xml:space="preserve">Owner</w:t>
            </w:r>
          </w:p>
        </w:tc>
      </w:tr>
      <w:tr>
        <w:tc>
          <w:tcPr>
            <w:tcW w:w="1928" w:type="dxa"/>
          </w:tcPr>
          <w:p>
            <w:pPr>
              <w:pStyle w:val="Celda"/>
            </w:pPr>
            <w:r>
              <w:t xml:space="preserve">EST</w:t>
            </w:r>
          </w:p>
        </w:tc>
        <w:tc>
          <w:tcPr>
            <w:tcW w:w="1928" w:type="dxa"/>
          </w:tcPr>
          <w:p>
            <w:pPr>
              <w:pStyle w:val="Celda"/>
            </w:pPr>
            <w:r>
              <w:t xml:space="preserve">Strategic</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TEC</w:t>
            </w:r>
          </w:p>
        </w:tc>
        <w:tc>
          <w:tcPr>
            <w:tcW w:w="1928" w:type="dxa"/>
          </w:tcPr>
          <w:p>
            <w:pPr>
              <w:pStyle w:val="Celda"/>
            </w:pPr>
            <w:r>
              <w:t xml:space="preserve">Technical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w:t>
            </w:r>
          </w:p>
        </w:tc>
        <w:tc>
          <w:tcPr>
            <w:tcW w:w="1928" w:type="dxa"/>
          </w:tcPr>
          <w:p>
            <w:pPr>
              <w:pStyle w:val="Celda"/>
            </w:pPr>
            <w:r>
              <w:t xml:space="preserve">Data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ECO</w:t>
            </w:r>
          </w:p>
        </w:tc>
        <w:tc>
          <w:tcPr>
            <w:tcW w:w="1928" w:type="dxa"/>
          </w:tcPr>
          <w:p>
            <w:pPr>
              <w:pStyle w:val="Celda"/>
            </w:pPr>
            <w:r>
              <w:t xml:space="preserve">Economic</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LEG</w:t>
            </w:r>
          </w:p>
        </w:tc>
        <w:tc>
          <w:tcPr>
            <w:tcW w:w="1928" w:type="dxa"/>
          </w:tcPr>
          <w:p>
            <w:pPr>
              <w:pStyle w:val="Celda"/>
            </w:pPr>
            <w:r>
              <w:t xml:space="preserve">Legal and 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ORG</w:t>
            </w:r>
          </w:p>
        </w:tc>
        <w:tc>
          <w:tcPr>
            <w:tcW w:w="1928" w:type="dxa"/>
          </w:tcPr>
          <w:p>
            <w:pPr>
              <w:pStyle w:val="Celda"/>
            </w:pPr>
            <w:r>
              <w:t xml:space="preserve">Organisational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REP</w:t>
            </w:r>
          </w:p>
        </w:tc>
        <w:tc>
          <w:tcPr>
            <w:tcW w:w="1928" w:type="dxa"/>
          </w:tcPr>
          <w:p>
            <w:pPr>
              <w:pStyle w:val="Celda"/>
            </w:pPr>
            <w:r>
              <w:t xml:space="preserve">Reputational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GEN</w:t>
            </w:r>
          </w:p>
        </w:tc>
        <w:tc>
          <w:tcPr>
            <w:tcW w:w="1928" w:type="dxa"/>
          </w:tcPr>
          <w:p>
            <w:pPr>
              <w:pStyle w:val="Celda"/>
            </w:pPr>
            <w:r>
              <w:t xml:space="preserve">Generative AI and agents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SEG</w:t>
            </w:r>
          </w:p>
        </w:tc>
        <w:tc>
          <w:tcPr>
            <w:tcW w:w="1928" w:type="dxa"/>
          </w:tcPr>
          <w:p>
            <w:pPr>
              <w:pStyle w:val="Celda"/>
            </w:pPr>
            <w:r>
              <w:t xml:space="preserve">Security and offensive AI</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TER</w:t>
            </w:r>
          </w:p>
        </w:tc>
        <w:tc>
          <w:tcPr>
            <w:tcW w:w="1928" w:type="dxa"/>
          </w:tcPr>
          <w:p>
            <w:pPr>
              <w:pStyle w:val="Celda"/>
            </w:pPr>
            <w:r>
              <w:t xml:space="preserve">Third parties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6.2 Tolerance metrics</w:t>
      </w:r>
    </w:p>
    <w:p>
      <w:r>
        <w:t xml:space="preserve">At least one metric per category, with formula, tolerance (amber) and limit (red). Starting catalogue in 13 §5.3; escalation in 13 §5.5. "—" in amber indicates zero tolerance.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Category</w:t>
            </w:r>
          </w:p>
        </w:tc>
        <w:tc>
          <w:tcPr>
            <w:tcW w:w="1377" w:type="dxa"/>
            <w:shd w:val="clear" w:color="auto" w:fill="F2DFCE"/>
          </w:tcPr>
          <w:p>
            <w:pPr>
              <w:pStyle w:val="Celda"/>
            </w:pPr>
            <w:r>
              <w:rPr>
                <w:b/>
              </w:rPr>
              <w:t xml:space="preserve">Metric</w:t>
            </w:r>
          </w:p>
        </w:tc>
        <w:tc>
          <w:tcPr>
            <w:tcW w:w="1377" w:type="dxa"/>
            <w:shd w:val="clear" w:color="auto" w:fill="F2DFCE"/>
          </w:tcPr>
          <w:p>
            <w:pPr>
              <w:pStyle w:val="Celda"/>
            </w:pPr>
            <w:r>
              <w:rPr>
                <w:b/>
              </w:rPr>
              <w:t xml:space="preserve">Formula</w:t>
            </w:r>
          </w:p>
        </w:tc>
        <w:tc>
          <w:tcPr>
            <w:tcW w:w="1377" w:type="dxa"/>
            <w:shd w:val="clear" w:color="auto" w:fill="F2DFCE"/>
          </w:tcPr>
          <w:p>
            <w:pPr>
              <w:pStyle w:val="Celda"/>
            </w:pPr>
            <w:r>
              <w:rPr>
                <w:b/>
              </w:rPr>
              <w:t xml:space="preserve">Tolerance (amber)</w:t>
            </w:r>
          </w:p>
        </w:tc>
        <w:tc>
          <w:tcPr>
            <w:tcW w:w="1377" w:type="dxa"/>
            <w:shd w:val="clear" w:color="auto" w:fill="F2DFCE"/>
          </w:tcPr>
          <w:p>
            <w:pPr>
              <w:pStyle w:val="Celda"/>
            </w:pPr>
            <w:r>
              <w:rPr>
                <w:b/>
              </w:rPr>
              <w:t xml:space="preserve">Limit (red)</w:t>
            </w:r>
          </w:p>
        </w:tc>
        <w:tc>
          <w:tcPr>
            <w:tcW w:w="1377" w:type="dxa"/>
            <w:shd w:val="clear" w:color="auto" w:fill="F2DFCE"/>
          </w:tcPr>
          <w:p>
            <w:pPr>
              <w:pStyle w:val="Celda"/>
            </w:pPr>
            <w:r>
              <w:rPr>
                <w:b/>
              </w:rPr>
              <w:t xml:space="preserve">Source</w:t>
            </w:r>
          </w:p>
        </w:tc>
        <w:tc>
          <w:tcPr>
            <w:tcW w:w="1377" w:type="dxa"/>
            <w:shd w:val="clear" w:color="auto" w:fill="F2DFCE"/>
          </w:tcPr>
          <w:p>
            <w:pPr>
              <w:pStyle w:val="Celda"/>
            </w:pPr>
            <w:r>
              <w:rPr>
                <w:b/>
              </w:rPr>
              <w:t xml:space="preserve">Frequency</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TER</w:t>
            </w:r>
          </w:p>
        </w:tc>
        <w:tc>
          <w:tcPr>
            <w:tcW w:w="1377" w:type="dxa"/>
          </w:tcPr>
          <w:p>
            <w:pPr>
              <w:pStyle w:val="Celda"/>
            </w:pPr>
            <w:r>
              <w:t xml:space="preserve">Supplier concentration</w:t>
            </w:r>
          </w:p>
        </w:tc>
        <w:tc>
          <w:tcPr>
            <w:tcW w:w="1377" w:type="dxa"/>
          </w:tcPr>
          <w:p>
            <w:pPr>
              <w:pStyle w:val="Celda"/>
            </w:pPr>
            <w:r>
              <w:t xml:space="preserve">Spend on main model supplier ÷ total spend on models × 100</w:t>
            </w:r>
          </w:p>
        </w:tc>
        <w:tc>
          <w:tcPr>
            <w:tcW w:w="1377" w:type="dxa"/>
          </w:tcPr>
          <w:p>
            <w:pPr>
              <w:pStyle w:val="Celda"/>
            </w:pPr>
            <w:r>
              <w:t xml:space="preserve">&gt; 60 %</w:t>
            </w:r>
          </w:p>
        </w:tc>
        <w:tc>
          <w:tcPr>
            <w:tcW w:w="1377" w:type="dxa"/>
          </w:tcPr>
          <w:p>
            <w:pPr>
              <w:pStyle w:val="Celda"/>
            </w:pPr>
            <w:r>
              <w:t xml:space="preserve">&gt; 80 %</w:t>
            </w:r>
          </w:p>
        </w:tc>
        <w:tc>
          <w:tcPr>
            <w:tcW w:w="1377" w:type="dxa"/>
          </w:tcPr>
          <w:p>
            <w:pPr>
              <w:pStyle w:val="Celda"/>
            </w:pPr>
            <w:r>
              <w:t xml:space="preserve">T09, T13</w:t>
            </w:r>
          </w:p>
        </w:tc>
        <w:tc>
          <w:tcPr>
            <w:tcW w:w="1377" w:type="dxa"/>
          </w:tcPr>
          <w:p>
            <w:pPr>
              <w:pStyle w:val="Celda"/>
            </w:pPr>
            <w:r>
              <w:t xml:space="preserve">Quarterly</w:t>
            </w:r>
          </w:p>
        </w:tc>
      </w:tr>
    </w:tbl>
    <w:p>
      <w:pPr>
        <w:pStyle w:val="Espacio"/>
      </w:pPr>
    </w:p>
    <w:p>
      <w:pPr>
        <w:pStyle w:val="Separador"/>
      </w:pPr>
    </w:p>
    <w:p>
      <w:pPr>
        <w:pStyle w:val="Heading1"/>
      </w:pPr>
      <w:r>
        <w:t xml:space="preserve">7. Economic thresholds</w:t>
      </w:r>
    </w:p>
    <w:p>
      <w:pPr>
        <w:pStyle w:val="Heading2"/>
      </w:pPr>
      <w:r>
        <w:t xml:space="preserve">7.1 Economic impact thresholds</w:t>
      </w:r>
    </w:p>
    <w:p>
      <w:r>
        <w:t xml:space="preserve">Proportionate to size, on a stable reference measure (13 §5.4). Used by the risk matrix (P12, T06).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Reference measure and value</w:t>
            </w:r>
          </w:p>
        </w:tc>
        <w:tc>
          <w:tcPr>
            <w:tcW w:w="3213" w:type="dxa"/>
          </w:tcPr>
          <w:p>
            <w:pPr>
              <w:pStyle w:val="Celda"/>
            </w:pPr>
          </w:p>
        </w:tc>
        <w:tc>
          <w:tcPr>
            <w:tcW w:w="3213" w:type="dxa"/>
          </w:tcPr>
          <w:p>
            <w:pPr>
              <w:pStyle w:val="Celda"/>
            </w:pPr>
            <w:r>
              <w:t xml:space="preserve">EBITDA, revenue, equity or budget; reference financial year.</w:t>
            </w:r>
          </w:p>
        </w:tc>
      </w:tr>
      <w:tr>
        <w:tc>
          <w:tcPr>
            <w:tcW w:w="3213" w:type="dxa"/>
          </w:tcPr>
          <w:p>
            <w:pPr>
              <w:pStyle w:val="Celda"/>
            </w:pPr>
            <w:r>
              <w:t xml:space="preserve">Impact 1 · Negligible</w:t>
            </w:r>
          </w:p>
        </w:tc>
        <w:tc>
          <w:tcPr>
            <w:tcW w:w="3213" w:type="dxa"/>
          </w:tcPr>
          <w:p>
            <w:pPr>
              <w:pStyle w:val="Celda"/>
            </w:pPr>
          </w:p>
        </w:tc>
        <w:tc>
          <w:tcPr>
            <w:tcW w:w="3213" w:type="dxa"/>
          </w:tcPr>
          <w:p>
            <w:pPr>
              <w:pStyle w:val="Celda"/>
            </w:pPr>
            <w:r>
              <w:t xml:space="preserve">Proportion and euros.</w:t>
            </w:r>
          </w:p>
        </w:tc>
      </w:tr>
      <w:tr>
        <w:tc>
          <w:tcPr>
            <w:tcW w:w="3213" w:type="dxa"/>
          </w:tcPr>
          <w:p>
            <w:pPr>
              <w:pStyle w:val="Celda"/>
            </w:pPr>
            <w:r>
              <w:t xml:space="preserve">Impact 2 · Minor</w:t>
            </w:r>
          </w:p>
        </w:tc>
        <w:tc>
          <w:tcPr>
            <w:tcW w:w="3213" w:type="dxa"/>
          </w:tcPr>
          <w:p>
            <w:pPr>
              <w:pStyle w:val="Celda"/>
            </w:pPr>
          </w:p>
        </w:tc>
        <w:tc>
          <w:tcPr>
            <w:tcW w:w="3213" w:type="dxa"/>
          </w:tcPr>
          <w:p>
            <w:pPr>
              <w:pStyle w:val="Celda"/>
            </w:pPr>
          </w:p>
        </w:tc>
      </w:tr>
      <w:tr>
        <w:tc>
          <w:tcPr>
            <w:tcW w:w="3213" w:type="dxa"/>
          </w:tcPr>
          <w:p>
            <w:pPr>
              <w:pStyle w:val="Celda"/>
            </w:pPr>
            <w:r>
              <w:t xml:space="preserve">Impact 3 · Moderate</w:t>
            </w:r>
          </w:p>
        </w:tc>
        <w:tc>
          <w:tcPr>
            <w:tcW w:w="3213" w:type="dxa"/>
          </w:tcPr>
          <w:p>
            <w:pPr>
              <w:pStyle w:val="Celda"/>
            </w:pPr>
          </w:p>
        </w:tc>
        <w:tc>
          <w:tcPr>
            <w:tcW w:w="3213" w:type="dxa"/>
          </w:tcPr>
          <w:p>
            <w:pPr>
              <w:pStyle w:val="Celda"/>
            </w:pPr>
          </w:p>
        </w:tc>
      </w:tr>
      <w:tr>
        <w:tc>
          <w:tcPr>
            <w:tcW w:w="3213" w:type="dxa"/>
          </w:tcPr>
          <w:p>
            <w:pPr>
              <w:pStyle w:val="Celda"/>
            </w:pPr>
            <w:r>
              <w:t xml:space="preserve">Impact 4 · Major</w:t>
            </w:r>
          </w:p>
        </w:tc>
        <w:tc>
          <w:tcPr>
            <w:tcW w:w="3213" w:type="dxa"/>
          </w:tcPr>
          <w:p>
            <w:pPr>
              <w:pStyle w:val="Celda"/>
            </w:pPr>
          </w:p>
        </w:tc>
        <w:tc>
          <w:tcPr>
            <w:tcW w:w="3213" w:type="dxa"/>
          </w:tcPr>
          <w:p>
            <w:pPr>
              <w:pStyle w:val="Celda"/>
            </w:pPr>
          </w:p>
        </w:tc>
      </w:tr>
      <w:tr>
        <w:tc>
          <w:tcPr>
            <w:tcW w:w="3213" w:type="dxa"/>
          </w:tcPr>
          <w:p>
            <w:pPr>
              <w:pStyle w:val="Celda"/>
            </w:pPr>
            <w:r>
              <w:t xml:space="preserve">Impact 5 · Critical</w:t>
            </w:r>
          </w:p>
        </w:tc>
        <w:tc>
          <w:tcPr>
            <w:tcW w:w="3213" w:type="dxa"/>
          </w:tcPr>
          <w:p>
            <w:pPr>
              <w:pStyle w:val="Celda"/>
            </w:pPr>
          </w:p>
        </w:tc>
        <w:tc>
          <w:tcPr>
            <w:tcW w:w="3213" w:type="dxa"/>
          </w:tcPr>
          <w:p>
            <w:pPr>
              <w:pStyle w:val="Celda"/>
            </w:pPr>
          </w:p>
        </w:tc>
      </w:tr>
    </w:tbl>
    <w:p>
      <w:pPr>
        <w:pStyle w:val="Espacio"/>
      </w:pPr>
    </w:p>
    <w:p>
      <w:pPr>
        <w:pStyle w:val="Heading2"/>
      </w:pPr>
      <w:r>
        <w:t xml:space="preserve">7.2 Investment and materiality thresholds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Enterprise investment threshold</w:t>
            </w:r>
          </w:p>
        </w:tc>
        <w:tc>
          <w:tcPr>
            <w:tcW w:w="3213" w:type="dxa"/>
          </w:tcPr>
          <w:p>
            <w:pPr>
              <w:pStyle w:val="Celda"/>
            </w:pPr>
          </w:p>
        </w:tc>
        <w:tc>
          <w:tcPr>
            <w:tcW w:w="3213" w:type="dxa"/>
          </w:tcPr>
          <w:p>
            <w:pPr>
              <w:pStyle w:val="Celda"/>
            </w:pPr>
            <w:r>
              <w:t xml:space="preserve">Total three-year cost; indicative value 0.5 % of EBITDA (13 §6). Splitting an initiative to stay below it is a major nonconformity.</w:t>
            </w:r>
          </w:p>
        </w:tc>
      </w:tr>
      <w:tr>
        <w:tc>
          <w:tcPr>
            <w:tcW w:w="3213" w:type="dxa"/>
          </w:tcPr>
          <w:p>
            <w:pPr>
              <w:pStyle w:val="Celda"/>
            </w:pPr>
            <w:r>
              <w:t xml:space="preserve">Materiality for individual reporting to the board</w:t>
            </w:r>
          </w:p>
        </w:tc>
        <w:tc>
          <w:tcPr>
            <w:tcW w:w="3213" w:type="dxa"/>
          </w:tcPr>
          <w:p>
            <w:pPr>
              <w:pStyle w:val="Celda"/>
            </w:pPr>
          </w:p>
        </w:tc>
        <w:tc>
          <w:tcPr>
            <w:tcW w:w="3213" w:type="dxa"/>
          </w:tcPr>
          <w:p>
            <w:pPr>
              <w:pStyle w:val="Celda"/>
            </w:pPr>
            <w:r>
              <w:t xml:space="preserve">Indicative value 2 % of EBITDA.</w:t>
            </w:r>
          </w:p>
        </w:tc>
      </w:tr>
      <w:tr>
        <w:tc>
          <w:tcPr>
            <w:tcW w:w="3213" w:type="dxa"/>
          </w:tcPr>
          <w:p>
            <w:pPr>
              <w:pStyle w:val="Celda"/>
            </w:pPr>
            <w:r>
              <w:t xml:space="preserve">Board approval threshold by amount </w:t>
            </w:r>
            <w:r>
              <w:rPr>
                <w:b/>
              </w:rPr>
              <w:t xml:space="preserve">(Enterprise)</w:t>
            </w:r>
          </w:p>
        </w:tc>
        <w:tc>
          <w:tcPr>
            <w:tcW w:w="3213" w:type="dxa"/>
          </w:tcPr>
          <w:p>
            <w:pPr>
              <w:pStyle w:val="Celda"/>
            </w:pPr>
          </w:p>
        </w:tc>
        <w:tc>
          <w:tcPr>
            <w:tcW w:w="3213" w:type="dxa"/>
          </w:tcPr>
          <w:p>
            <w:pPr>
              <w:pStyle w:val="Celda"/>
            </w:pPr>
            <w:r>
              <w:t xml:space="preserve">Optional, according to delegation rules.</w:t>
            </w:r>
          </w:p>
        </w:tc>
      </w:tr>
      <w:tr>
        <w:tc>
          <w:tcPr>
            <w:tcW w:w="3213" w:type="dxa"/>
          </w:tcPr>
          <w:p>
            <w:pPr>
              <w:pStyle w:val="Celda"/>
            </w:pPr>
            <w:r>
              <w:t xml:space="preserve">Minimum scale in production (B3)</w:t>
            </w:r>
          </w:p>
        </w:tc>
        <w:tc>
          <w:tcPr>
            <w:tcW w:w="3213" w:type="dxa"/>
          </w:tcPr>
          <w:p>
            <w:pPr>
              <w:pStyle w:val="Celda"/>
            </w:pPr>
          </w:p>
        </w:tc>
        <w:tc>
          <w:tcPr>
            <w:tcW w:w="3213" w:type="dxa"/>
          </w:tcPr>
          <w:p>
            <w:pPr>
              <w:pStyle w:val="Celda"/>
            </w:pPr>
            <w:r>
              <w:t xml:space="preserve">Indicative value 5.</w:t>
            </w:r>
          </w:p>
        </w:tc>
      </w:tr>
    </w:tbl>
    <w:p>
      <w:pPr>
        <w:pStyle w:val="Espacio"/>
      </w:pPr>
    </w:p>
    <w:p>
      <w:pPr>
        <w:pStyle w:val="Separador"/>
      </w:pPr>
    </w:p>
    <w:p>
      <w:pPr>
        <w:pStyle w:val="Heading1"/>
      </w:pPr>
      <w:r>
        <w:t xml:space="preserve">8. Return horizon and portfolio balance</w:t>
      </w:r>
    </w:p>
    <w:p>
      <w:pPr>
        <w:pStyle w:val="Heading2"/>
      </w:pPr>
      <w:r>
        <w:t xml:space="preserve">8.1 Return horizon</w:t>
      </w:r>
    </w:p>
    <w:p>
      <w:r>
        <w:t xml:space="preserve">Indicative values and definitions in 13 §7 and document 40. At G3 the only economic feasibility criterion is NPV ≥ 0 with the horizon and rate set here.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Level</w:t>
            </w:r>
          </w:p>
        </w:tc>
        <w:tc>
          <w:tcPr>
            <w:tcW w:w="2410" w:type="dxa"/>
            <w:shd w:val="clear" w:color="auto" w:fill="F2DFCE"/>
          </w:tcPr>
          <w:p>
            <w:pPr>
              <w:pStyle w:val="Celda"/>
            </w:pPr>
            <w:r>
              <w:rPr>
                <w:b/>
              </w:rPr>
              <w:t xml:space="preserve">Criterion at G3</w:t>
            </w:r>
          </w:p>
        </w:tc>
        <w:tc>
          <w:tcPr>
            <w:tcW w:w="2410" w:type="dxa"/>
            <w:shd w:val="clear" w:color="auto" w:fill="F2DFCE"/>
          </w:tcPr>
          <w:p>
            <w:pPr>
              <w:pStyle w:val="Celda"/>
            </w:pPr>
            <w:r>
              <w:rPr>
                <w:b/>
              </w:rPr>
              <w:t xml:space="preserve">Time limit at G7</w:t>
            </w:r>
          </w:p>
        </w:tc>
        <w:tc>
          <w:tcPr>
            <w:tcW w:w="2410" w:type="dxa"/>
            <w:shd w:val="clear" w:color="auto" w:fill="F2DFCE"/>
          </w:tcPr>
          <w:p>
            <w:pPr>
              <w:pStyle w:val="Celda"/>
            </w:pPr>
            <w:r>
              <w:rPr>
                <w:b/>
              </w:rPr>
              <w:t xml:space="preserve">Guidance</w:t>
            </w:r>
          </w:p>
        </w:tc>
      </w:tr>
      <w:tr>
        <w:tc>
          <w:tcPr>
            <w:tcW w:w="2410" w:type="dxa"/>
          </w:tcPr>
          <w:p>
            <w:pPr>
              <w:pStyle w:val="Celda"/>
            </w:pPr>
            <w:r>
              <w:t xml:space="preserve">Optimise</w:t>
            </w:r>
          </w:p>
        </w:tc>
        <w:tc>
          <w:tcPr>
            <w:tcW w:w="2410" w:type="dxa"/>
          </w:tcPr>
          <w:p>
            <w:pPr>
              <w:pStyle w:val="Celda"/>
            </w:pPr>
          </w:p>
        </w:tc>
        <w:tc>
          <w:tcPr>
            <w:tcW w:w="2410" w:type="dxa"/>
          </w:tcPr>
          <w:p>
            <w:pPr>
              <w:pStyle w:val="Celda"/>
            </w:pPr>
          </w:p>
        </w:tc>
        <w:tc>
          <w:tcPr>
            <w:tcW w:w="2410" w:type="dxa"/>
          </w:tcPr>
          <w:p>
            <w:pPr>
              <w:pStyle w:val="Celda"/>
            </w:pPr>
            <w:r>
              <w:t xml:space="preserve">Indicative values in 13 §7.</w:t>
            </w:r>
          </w:p>
        </w:tc>
      </w:tr>
      <w:tr>
        <w:tc>
          <w:tcPr>
            <w:tcW w:w="2410" w:type="dxa"/>
          </w:tcPr>
          <w:p>
            <w:pPr>
              <w:pStyle w:val="Celda"/>
            </w:pPr>
            <w:r>
              <w:t xml:space="preserve">Augment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Transform</w:t>
            </w:r>
          </w:p>
        </w:tc>
        <w:tc>
          <w:tcPr>
            <w:tcW w:w="2410" w:type="dxa"/>
          </w:tcPr>
          <w:p>
            <w:pPr>
              <w:pStyle w:val="Celda"/>
            </w:pPr>
          </w:p>
        </w:tc>
        <w:tc>
          <w:tcPr>
            <w:tcW w:w="2410" w:type="dxa"/>
          </w:tcPr>
          <w:p>
            <w:pPr>
              <w:pStyle w:val="Celda"/>
            </w:pPr>
          </w:p>
        </w:tc>
        <w:tc>
          <w:tcPr>
            <w:tcW w:w="2410" w:type="dxa"/>
          </w:tcPr>
          <w:p>
            <w:pPr>
              <w:pStyle w:val="Celda"/>
            </w:pPr>
            <w:r>
              <w:t xml:space="preserve">First-stage cap and milestone frequency.</w:t>
            </w:r>
          </w:p>
        </w:tc>
      </w:tr>
      <w:tr>
        <w:tc>
          <w:tcPr>
            <w:tcW w:w="2410" w:type="dxa"/>
          </w:tcPr>
          <w:p>
            <w:pPr>
              <w:pStyle w:val="Celda"/>
            </w:pPr>
            <w:r>
              <w:t xml:space="preserve">Horizon and rate for NPV</w:t>
            </w:r>
          </w:p>
        </w:tc>
        <w:tc>
          <w:tcPr>
            <w:tcW w:w="2410" w:type="dxa"/>
          </w:tcPr>
          <w:p>
            <w:pPr>
              <w:pStyle w:val="Celda"/>
            </w:pPr>
          </w:p>
        </w:tc>
        <w:tc>
          <w:tcPr>
            <w:tcW w:w="2410" w:type="dxa"/>
          </w:tcPr>
          <w:p>
            <w:pPr>
              <w:pStyle w:val="Celda"/>
            </w:pPr>
            <w:r>
              <w:t xml:space="preserve">—</w:t>
            </w:r>
          </w:p>
        </w:tc>
        <w:tc>
          <w:tcPr>
            <w:tcW w:w="2410" w:type="dxa"/>
          </w:tcPr>
          <w:p>
            <w:pPr>
              <w:pStyle w:val="Celda"/>
            </w:pPr>
            <w:r>
              <w:t xml:space="preserve">Document 40.</w:t>
            </w:r>
          </w:p>
        </w:tc>
      </w:tr>
    </w:tbl>
    <w:p>
      <w:pPr>
        <w:pStyle w:val="Espacio"/>
      </w:pPr>
    </w:p>
    <w:p>
      <w:pPr>
        <w:pStyle w:val="Heading2"/>
      </w:pPr>
      <w:r>
        <w:t xml:space="preserve">8.2 Target portfolio balance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Stance</w:t>
            </w:r>
          </w:p>
        </w:tc>
        <w:tc>
          <w:tcPr>
            <w:tcW w:w="3213" w:type="dxa"/>
          </w:tcPr>
          <w:p>
            <w:pPr>
              <w:pStyle w:val="Celda"/>
            </w:pPr>
          </w:p>
        </w:tc>
        <w:tc>
          <w:tcPr>
            <w:tcW w:w="3213" w:type="dxa"/>
          </w:tcPr>
          <w:p>
            <w:pPr>
              <w:pStyle w:val="Celda"/>
            </w:pPr>
            <w:r>
              <w:t xml:space="preserve">Prudent, Balanced, Ambitious or own (13 §8).</w:t>
            </w:r>
          </w:p>
        </w:tc>
      </w:tr>
      <w:tr>
        <w:tc>
          <w:tcPr>
            <w:tcW w:w="3213" w:type="dxa"/>
          </w:tcPr>
          <w:p>
            <w:pPr>
              <w:pStyle w:val="Celda"/>
            </w:pPr>
            <w:r>
              <w:t xml:space="preserve">Optimise band</w:t>
            </w:r>
          </w:p>
        </w:tc>
        <w:tc>
          <w:tcPr>
            <w:tcW w:w="3213" w:type="dxa"/>
          </w:tcPr>
          <w:p>
            <w:pPr>
              <w:pStyle w:val="Celda"/>
            </w:pPr>
          </w:p>
        </w:tc>
        <w:tc>
          <w:tcPr>
            <w:tcW w:w="3213" w:type="dxa"/>
          </w:tcPr>
          <w:p>
            <w:pPr>
              <w:pStyle w:val="Celda"/>
            </w:pPr>
            <w:r>
              <w:t xml:space="preserve">Minimum and maximum percentage.</w:t>
            </w:r>
          </w:p>
        </w:tc>
      </w:tr>
      <w:tr>
        <w:tc>
          <w:tcPr>
            <w:tcW w:w="3213" w:type="dxa"/>
          </w:tcPr>
          <w:p>
            <w:pPr>
              <w:pStyle w:val="Celda"/>
            </w:pPr>
            <w:r>
              <w:t xml:space="preserve">Augment band</w:t>
            </w:r>
          </w:p>
        </w:tc>
        <w:tc>
          <w:tcPr>
            <w:tcW w:w="3213" w:type="dxa"/>
          </w:tcPr>
          <w:p>
            <w:pPr>
              <w:pStyle w:val="Celda"/>
            </w:pPr>
          </w:p>
        </w:tc>
        <w:tc>
          <w:tcPr>
            <w:tcW w:w="3213" w:type="dxa"/>
          </w:tcPr>
          <w:p>
            <w:pPr>
              <w:pStyle w:val="Celda"/>
            </w:pPr>
          </w:p>
        </w:tc>
      </w:tr>
      <w:tr>
        <w:tc>
          <w:tcPr>
            <w:tcW w:w="3213" w:type="dxa"/>
          </w:tcPr>
          <w:p>
            <w:pPr>
              <w:pStyle w:val="Celda"/>
            </w:pPr>
            <w:r>
              <w:t xml:space="preserve">Transform band</w:t>
            </w:r>
          </w:p>
        </w:tc>
        <w:tc>
          <w:tcPr>
            <w:tcW w:w="3213" w:type="dxa"/>
          </w:tcPr>
          <w:p>
            <w:pPr>
              <w:pStyle w:val="Celda"/>
            </w:pPr>
          </w:p>
        </w:tc>
        <w:tc>
          <w:tcPr>
            <w:tcW w:w="3213" w:type="dxa"/>
          </w:tcPr>
          <w:p>
            <w:pPr>
              <w:pStyle w:val="Celda"/>
            </w:pPr>
            <w:r>
              <w:t xml:space="preserve">Cannot start at 0 % if Transform is in the thesis (except in the first year).</w:t>
            </w:r>
          </w:p>
        </w:tc>
      </w:tr>
    </w:tbl>
    <w:p>
      <w:pPr>
        <w:pStyle w:val="Espacio"/>
      </w:pPr>
    </w:p>
    <w:p>
      <w:pPr>
        <w:pStyle w:val="Separador"/>
      </w:pPr>
    </w:p>
    <w:p>
      <w:pPr>
        <w:pStyle w:val="Heading1"/>
      </w:pPr>
      <w:r>
        <w:t xml:space="preserve">9. Time limits</w:t>
      </w:r>
    </w:p>
    <w:p>
      <w:pPr>
        <w:pStyle w:val="Heading2"/>
      </w:pPr>
      <w:r>
        <w:t xml:space="preserve">9.1 Reference time limits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Time limit</w:t>
            </w:r>
          </w:p>
        </w:tc>
        <w:tc>
          <w:tcPr>
            <w:tcW w:w="2410" w:type="dxa"/>
            <w:shd w:val="clear" w:color="auto" w:fill="F2DFCE"/>
          </w:tcPr>
          <w:p>
            <w:pPr>
              <w:pStyle w:val="Celda"/>
            </w:pPr>
            <w:r>
              <w:rPr>
                <w:b/>
              </w:rPr>
              <w:t xml:space="preserve">Lite</w:t>
            </w:r>
          </w:p>
        </w:tc>
        <w:tc>
          <w:tcPr>
            <w:tcW w:w="2410" w:type="dxa"/>
            <w:shd w:val="clear" w:color="auto" w:fill="F2DFCE"/>
          </w:tcPr>
          <w:p>
            <w:pPr>
              <w:pStyle w:val="Celda"/>
            </w:pPr>
            <w:r>
              <w:rPr>
                <w:b/>
              </w:rPr>
              <w:t xml:space="preserve">Enterprise</w:t>
            </w:r>
          </w:p>
        </w:tc>
        <w:tc>
          <w:tcPr>
            <w:tcW w:w="2410" w:type="dxa"/>
            <w:shd w:val="clear" w:color="auto" w:fill="F2DFCE"/>
          </w:tcPr>
          <w:p>
            <w:pPr>
              <w:pStyle w:val="Celda"/>
            </w:pPr>
            <w:r>
              <w:rPr>
                <w:b/>
              </w:rPr>
              <w:t xml:space="preserve">Guidance</w:t>
            </w:r>
          </w:p>
        </w:tc>
      </w:tr>
      <w:tr>
        <w:tc>
          <w:tcPr>
            <w:tcW w:w="2410" w:type="dxa"/>
          </w:tcPr>
          <w:p>
            <w:pPr>
              <w:pStyle w:val="Celda"/>
            </w:pPr>
            <w:r>
              <w:t xml:space="preserve">Phase 0</w:t>
            </w:r>
          </w:p>
        </w:tc>
        <w:tc>
          <w:tcPr>
            <w:tcW w:w="2410" w:type="dxa"/>
          </w:tcPr>
          <w:p>
            <w:pPr>
              <w:pStyle w:val="Celda"/>
            </w:pPr>
          </w:p>
        </w:tc>
        <w:tc>
          <w:tcPr>
            <w:tcW w:w="2410" w:type="dxa"/>
          </w:tcPr>
          <w:p>
            <w:pPr>
              <w:pStyle w:val="Celda"/>
            </w:pPr>
          </w:p>
        </w:tc>
        <w:tc>
          <w:tcPr>
            <w:tcW w:w="2410" w:type="dxa"/>
          </w:tcPr>
          <w:p>
            <w:pPr>
              <w:pStyle w:val="Celda"/>
            </w:pPr>
            <w:r>
              <w:t xml:space="preserve">Indicative values in 03 §3.6.</w:t>
            </w:r>
          </w:p>
        </w:tc>
      </w:tr>
      <w:tr>
        <w:tc>
          <w:tcPr>
            <w:tcW w:w="2410" w:type="dxa"/>
          </w:tcPr>
          <w:p>
            <w:pPr>
              <w:pStyle w:val="Celda"/>
            </w:pPr>
            <w:r>
              <w:t xml:space="preserve">Phase 1</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Phase 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Phase 3</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Phase 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Phase 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Phase 7</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Gate</w:t>
            </w:r>
            <w:r>
              <w:t xml:space="preserve"> decision</w:t>
            </w:r>
          </w:p>
        </w:tc>
        <w:tc>
          <w:tcPr>
            <w:tcW w:w="2410" w:type="dxa"/>
          </w:tcPr>
          <w:p>
            <w:pPr>
              <w:pStyle w:val="Celda"/>
            </w:pPr>
          </w:p>
        </w:tc>
        <w:tc>
          <w:tcPr>
            <w:tcW w:w="2410" w:type="dxa"/>
          </w:tcPr>
          <w:p>
            <w:pPr>
              <w:pStyle w:val="Celda"/>
            </w:pPr>
          </w:p>
        </w:tc>
        <w:tc>
          <w:tcPr>
            <w:tcW w:w="2410" w:type="dxa"/>
          </w:tcPr>
          <w:p>
            <w:pPr>
              <w:pStyle w:val="Celda"/>
            </w:pPr>
            <w:r>
              <w:t xml:space="preserve">Working days.</w:t>
            </w:r>
          </w:p>
        </w:tc>
      </w:tr>
      <w:tr>
        <w:tc>
          <w:tcPr>
            <w:tcW w:w="2410" w:type="dxa"/>
          </w:tcPr>
          <w:p>
            <w:pPr>
              <w:pStyle w:val="Celda"/>
            </w:pPr>
            <w:r>
              <w:t xml:space="preserve">R6 frequency</w:t>
            </w:r>
          </w:p>
        </w:tc>
        <w:tc>
          <w:tcPr>
            <w:tcW w:w="2410" w:type="dxa"/>
          </w:tcPr>
          <w:p>
            <w:pPr>
              <w:pStyle w:val="Celda"/>
            </w:pPr>
          </w:p>
        </w:tc>
        <w:tc>
          <w:tcPr>
            <w:tcW w:w="2410" w:type="dxa"/>
          </w:tcPr>
          <w:p>
            <w:pPr>
              <w:pStyle w:val="Celda"/>
            </w:pPr>
          </w:p>
        </w:tc>
        <w:tc>
          <w:tcPr>
            <w:tcW w:w="2410" w:type="dxa"/>
          </w:tcPr>
          <w:p>
            <w:pPr>
              <w:pStyle w:val="Celda"/>
            </w:pPr>
            <w:r>
              <w:t xml:space="preserve">No longer than every six months (Lite) or quarterly (Enterprise).</w:t>
            </w:r>
          </w:p>
        </w:tc>
      </w:tr>
      <w:tr>
        <w:tc>
          <w:tcPr>
            <w:tcW w:w="2410" w:type="dxa"/>
          </w:tcPr>
          <w:p>
            <w:pPr>
              <w:pStyle w:val="Celda"/>
            </w:pPr>
            <w:r>
              <w:t xml:space="preserve">Regularisation of earlier initiatives</w:t>
            </w:r>
          </w:p>
        </w:tc>
        <w:tc>
          <w:tcPr>
            <w:tcW w:w="2410" w:type="dxa"/>
          </w:tcPr>
          <w:p>
            <w:pPr>
              <w:pStyle w:val="Celda"/>
            </w:pPr>
          </w:p>
        </w:tc>
        <w:tc>
          <w:tcPr>
            <w:tcW w:w="2410" w:type="dxa"/>
          </w:tcPr>
          <w:p>
            <w:pPr>
              <w:pStyle w:val="Celda"/>
            </w:pPr>
          </w:p>
        </w:tc>
        <w:tc>
          <w:tcPr>
            <w:tcW w:w="2410" w:type="dxa"/>
          </w:tcPr>
          <w:p>
            <w:pPr>
              <w:pStyle w:val="Celda"/>
            </w:pPr>
            <w:r>
              <w:t xml:space="preserve">Months.</w:t>
            </w:r>
          </w:p>
        </w:tc>
      </w:tr>
      <w:tr>
        <w:tc>
          <w:tcPr>
            <w:tcW w:w="2410" w:type="dxa"/>
          </w:tcPr>
          <w:p>
            <w:pPr>
              <w:pStyle w:val="Celda"/>
            </w:pPr>
            <w:r>
              <w:t xml:space="preserve">Pending regulatory classification</w:t>
            </w:r>
          </w:p>
        </w:tc>
        <w:tc>
          <w:tcPr>
            <w:tcW w:w="2410" w:type="dxa"/>
          </w:tcPr>
          <w:p>
            <w:pPr>
              <w:pStyle w:val="Celda"/>
            </w:pPr>
          </w:p>
        </w:tc>
        <w:tc>
          <w:tcPr>
            <w:tcW w:w="2410" w:type="dxa"/>
          </w:tcPr>
          <w:p>
            <w:pPr>
              <w:pStyle w:val="Celda"/>
            </w:pPr>
          </w:p>
        </w:tc>
        <w:tc>
          <w:tcPr>
            <w:tcW w:w="2410" w:type="dxa"/>
          </w:tcPr>
          <w:p>
            <w:pPr>
              <w:pStyle w:val="Celda"/>
            </w:pPr>
            <w:r>
              <w:t xml:space="preserve">Days.</w:t>
            </w:r>
          </w:p>
        </w:tc>
      </w:tr>
      <w:tr>
        <w:tc>
          <w:tcPr>
            <w:tcW w:w="2410" w:type="dxa"/>
          </w:tcPr>
          <w:p>
            <w:pPr>
              <w:pStyle w:val="Celda"/>
            </w:pPr>
            <w:r>
              <w:t xml:space="preserve">Maximum time limit for a </w:t>
            </w:r>
            <w:r>
              <w:rPr>
                <w:i/>
              </w:rPr>
              <w:t xml:space="preserve">gate</w:t>
            </w:r>
            <w:r>
              <w:t xml:space="preserve"> condition</w:t>
            </w:r>
          </w:p>
        </w:tc>
        <w:tc>
          <w:tcPr>
            <w:tcW w:w="2410" w:type="dxa"/>
          </w:tcPr>
          <w:p>
            <w:pPr>
              <w:pStyle w:val="Celda"/>
            </w:pPr>
          </w:p>
        </w:tc>
        <w:tc>
          <w:tcPr>
            <w:tcW w:w="2410" w:type="dxa"/>
          </w:tcPr>
          <w:p>
            <w:pPr>
              <w:pStyle w:val="Celda"/>
            </w:pPr>
          </w:p>
        </w:tc>
        <w:tc>
          <w:tcPr>
            <w:tcW w:w="2410" w:type="dxa"/>
          </w:tcPr>
          <w:p>
            <w:pPr>
              <w:pStyle w:val="Celda"/>
            </w:pPr>
            <w:r>
              <w:t xml:space="preserve">Until the next </w:t>
            </w:r>
            <w:r>
              <w:rPr>
                <w:i/>
              </w:rPr>
              <w:t xml:space="preserve">gate</w:t>
            </w:r>
            <w:r>
              <w:t xml:space="preserve">; at R6, indicative value 90 days (13 §9).</w:t>
            </w:r>
          </w:p>
        </w:tc>
      </w:tr>
    </w:tbl>
    <w:p>
      <w:pPr>
        <w:pStyle w:val="Espacio"/>
      </w:pPr>
    </w:p>
    <w:p>
      <w:pPr>
        <w:pStyle w:val="Heading2"/>
      </w:pPr>
      <w:r>
        <w:t xml:space="preserve">9.2 Nonconformity and incident time limits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Field</w:t>
            </w:r>
          </w:p>
        </w:tc>
        <w:tc>
          <w:tcPr>
            <w:tcW w:w="1928" w:type="dxa"/>
            <w:shd w:val="clear" w:color="auto" w:fill="F2DFCE"/>
          </w:tcPr>
          <w:p>
            <w:pPr>
              <w:pStyle w:val="Celda"/>
            </w:pPr>
            <w:r>
              <w:rPr>
                <w:b/>
              </w:rPr>
              <w:t xml:space="preserve">Containment</w:t>
            </w:r>
          </w:p>
        </w:tc>
        <w:tc>
          <w:tcPr>
            <w:tcW w:w="1928" w:type="dxa"/>
            <w:shd w:val="clear" w:color="auto" w:fill="F2DFCE"/>
          </w:tcPr>
          <w:p>
            <w:pPr>
              <w:pStyle w:val="Celda"/>
            </w:pPr>
            <w:r>
              <w:rPr>
                <w:b/>
              </w:rPr>
              <w:t xml:space="preserve">Action plan or communication</w:t>
            </w:r>
          </w:p>
        </w:tc>
        <w:tc>
          <w:tcPr>
            <w:tcW w:w="1928" w:type="dxa"/>
            <w:shd w:val="clear" w:color="auto" w:fill="F2DFCE"/>
          </w:tcPr>
          <w:p>
            <w:pPr>
              <w:pStyle w:val="Celda"/>
            </w:pPr>
            <w:r>
              <w:rPr>
                <w:b/>
              </w:rPr>
              <w:t xml:space="preserve">Reports to</w:t>
            </w:r>
          </w:p>
        </w:tc>
        <w:tc>
          <w:tcPr>
            <w:tcW w:w="1928" w:type="dxa"/>
            <w:shd w:val="clear" w:color="auto" w:fill="F2DFCE"/>
          </w:tcPr>
          <w:p>
            <w:pPr>
              <w:pStyle w:val="Celda"/>
            </w:pPr>
            <w:r>
              <w:rPr>
                <w:b/>
              </w:rPr>
              <w:t xml:space="preserve">Guidance</w:t>
            </w:r>
          </w:p>
        </w:tc>
      </w:tr>
      <w:tr>
        <w:tc>
          <w:tcPr>
            <w:tcW w:w="1928" w:type="dxa"/>
          </w:tcPr>
          <w:p>
            <w:pPr>
              <w:pStyle w:val="Celda"/>
            </w:pPr>
            <w:r>
              <w:t xml:space="preserve">Critical nonconformity</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Reference: 48 hours and 10 days.</w:t>
            </w:r>
          </w:p>
        </w:tc>
      </w:tr>
      <w:tr>
        <w:tc>
          <w:tcPr>
            <w:tcW w:w="1928" w:type="dxa"/>
          </w:tcPr>
          <w:p>
            <w:pPr>
              <w:pStyle w:val="Celda"/>
            </w:pPr>
            <w:r>
              <w:t xml:space="preserve">Major nonconformity</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Reference: 10 and 30 days.</w:t>
            </w:r>
          </w:p>
        </w:tc>
      </w:tr>
      <w:tr>
        <w:tc>
          <w:tcPr>
            <w:tcW w:w="1928" w:type="dxa"/>
          </w:tcPr>
          <w:p>
            <w:pPr>
              <w:pStyle w:val="Celda"/>
            </w:pPr>
            <w:r>
              <w:t xml:space="preserve">Minor nonconformity</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Before the next </w:t>
            </w:r>
            <w:r>
              <w:rPr>
                <w:i/>
              </w:rPr>
              <w:t xml:space="preserve">gate</w:t>
            </w:r>
            <w:r>
              <w:t xml:space="preserve">.</w:t>
            </w:r>
          </w:p>
        </w:tc>
      </w:tr>
      <w:tr>
        <w:tc>
          <w:tcPr>
            <w:tcW w:w="1928" w:type="dxa"/>
          </w:tcPr>
          <w:p>
            <w:pPr>
              <w:pStyle w:val="Celda"/>
            </w:pPr>
            <w:r>
              <w:t xml:space="preserve">S1 incident</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r>
              <w:t xml:space="preserve">Without prejudice to regulatory time limits, which always prevail (13 §10.2).</w:t>
            </w:r>
          </w:p>
        </w:tc>
      </w:tr>
      <w:tr>
        <w:tc>
          <w:tcPr>
            <w:tcW w:w="1928" w:type="dxa"/>
          </w:tcPr>
          <w:p>
            <w:pPr>
              <w:pStyle w:val="Celda"/>
            </w:pPr>
            <w:r>
              <w:t xml:space="preserve">S2 incident</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S3 incident </w:t>
            </w:r>
            <w:r>
              <w:rPr>
                <w:b/>
              </w:rPr>
              <w:t xml:space="preserve">(Enterprise)</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10. Red lines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Confirmation of the SEVEN-G minimum</w:t>
            </w:r>
          </w:p>
        </w:tc>
        <w:tc>
          <w:tcPr>
            <w:tcW w:w="3213" w:type="dxa"/>
          </w:tcPr>
          <w:p>
            <w:pPr>
              <w:pStyle w:val="Celda"/>
            </w:pPr>
            <w:r>
              <w:t xml:space="preserve">Yes · No</w:t>
            </w:r>
          </w:p>
        </w:tc>
        <w:tc>
          <w:tcPr>
            <w:tcW w:w="3213" w:type="dxa"/>
          </w:tcPr>
          <w:p>
            <w:pPr>
              <w:pStyle w:val="Celda"/>
            </w:pPr>
            <w:r>
              <w:t xml:space="preserve">Prohibited practices and table in 13 §11.2. The company may extend it, not reduce it.</w:t>
            </w:r>
          </w:p>
        </w:tc>
      </w:tr>
      <w:tr>
        <w:tc>
          <w:tcPr>
            <w:tcW w:w="3213" w:type="dxa"/>
          </w:tcPr>
          <w:p>
            <w:pPr>
              <w:pStyle w:val="Celda"/>
            </w:pPr>
            <w:r>
              <w:t xml:space="preserve">Extensions to the table of non-delegable decisions</w:t>
            </w:r>
          </w:p>
        </w:tc>
        <w:tc>
          <w:tcPr>
            <w:tcW w:w="3213" w:type="dxa"/>
          </w:tcPr>
          <w:p>
            <w:pPr>
              <w:pStyle w:val="Celda"/>
            </w:pPr>
          </w:p>
        </w:tc>
        <w:tc>
          <w:tcPr>
            <w:tcW w:w="3213" w:type="dxa"/>
          </w:tcPr>
          <w:p>
            <w:pPr>
              <w:pStyle w:val="Celda"/>
            </w:pPr>
            <w:r>
              <w:t xml:space="preserve">Decision, maximum autonomy (A0–A3) and reason.</w:t>
            </w:r>
          </w:p>
        </w:tc>
      </w:tr>
      <w:tr>
        <w:tc>
          <w:tcPr>
            <w:tcW w:w="3213" w:type="dxa"/>
          </w:tcPr>
          <w:p>
            <w:pPr>
              <w:pStyle w:val="Celda"/>
            </w:pPr>
            <w:r>
              <w:t xml:space="preserve">The company's own red lines</w:t>
            </w:r>
          </w:p>
        </w:tc>
        <w:tc>
          <w:tcPr>
            <w:tcW w:w="3213" w:type="dxa"/>
          </w:tcPr>
          <w:p>
            <w:pPr>
              <w:pStyle w:val="Celda"/>
            </w:pPr>
          </w:p>
        </w:tc>
        <w:tc>
          <w:tcPr>
            <w:tcW w:w="3213" w:type="dxa"/>
          </w:tcPr>
          <w:p>
            <w:pPr>
              <w:pStyle w:val="Celda"/>
            </w:pPr>
            <w:r>
              <w:t xml:space="preserve">Examples in 13 §11.3. Only the board may modify them.</w:t>
            </w:r>
          </w:p>
        </w:tc>
      </w:tr>
    </w:tbl>
    <w:p>
      <w:pPr>
        <w:pStyle w:val="Espacio"/>
      </w:pPr>
    </w:p>
    <w:p>
      <w:pPr>
        <w:pStyle w:val="Separador"/>
      </w:pPr>
    </w:p>
    <w:p>
      <w:pPr>
        <w:pStyle w:val="Heading1"/>
      </w:pPr>
      <w:r>
        <w:t xml:space="preserve">11. Framework budget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Envelope</w:t>
            </w:r>
          </w:p>
        </w:tc>
        <w:tc>
          <w:tcPr>
            <w:tcW w:w="2410" w:type="dxa"/>
            <w:shd w:val="clear" w:color="auto" w:fill="F2DFCE"/>
          </w:tcPr>
          <w:p>
            <w:pPr>
              <w:pStyle w:val="Celda"/>
            </w:pPr>
            <w:r>
              <w:rPr>
                <w:b/>
              </w:rPr>
              <w:t xml:space="preserve">Amount</w:t>
            </w:r>
          </w:p>
        </w:tc>
        <w:tc>
          <w:tcPr>
            <w:tcW w:w="2410" w:type="dxa"/>
            <w:shd w:val="clear" w:color="auto" w:fill="F2DFCE"/>
          </w:tcPr>
          <w:p>
            <w:pPr>
              <w:pStyle w:val="Celda"/>
            </w:pPr>
            <w:r>
              <w:rPr>
                <w:b/>
              </w:rPr>
              <w:t xml:space="preserve">% of total</w:t>
            </w:r>
          </w:p>
        </w:tc>
        <w:tc>
          <w:tcPr>
            <w:tcW w:w="2410" w:type="dxa"/>
            <w:shd w:val="clear" w:color="auto" w:fill="F2DFCE"/>
          </w:tcPr>
          <w:p>
            <w:pPr>
              <w:pStyle w:val="Celda"/>
            </w:pPr>
            <w:r>
              <w:rPr>
                <w:b/>
              </w:rPr>
              <w:t xml:space="preserve">Guidance</w:t>
            </w:r>
          </w:p>
        </w:tc>
      </w:tr>
      <w:tr>
        <w:tc>
          <w:tcPr>
            <w:tcW w:w="2410" w:type="dxa"/>
          </w:tcPr>
          <w:p>
            <w:pPr>
              <w:pStyle w:val="Celda"/>
            </w:pPr>
            <w:r>
              <w:t xml:space="preserve">Optimise</w:t>
            </w:r>
          </w:p>
        </w:tc>
        <w:tc>
          <w:tcPr>
            <w:tcW w:w="2410" w:type="dxa"/>
          </w:tcPr>
          <w:p>
            <w:pPr>
              <w:pStyle w:val="Celda"/>
            </w:pPr>
          </w:p>
        </w:tc>
        <w:tc>
          <w:tcPr>
            <w:tcW w:w="2410" w:type="dxa"/>
          </w:tcPr>
          <w:p>
            <w:pPr>
              <w:pStyle w:val="Celda"/>
            </w:pPr>
          </w:p>
        </w:tc>
        <w:tc>
          <w:tcPr>
            <w:tcW w:w="2410" w:type="dxa"/>
          </w:tcPr>
          <w:p>
            <w:pPr>
              <w:pStyle w:val="Celda"/>
            </w:pPr>
            <w:r>
              <w:t xml:space="preserve">Within the band in section 8.2.</w:t>
            </w:r>
          </w:p>
        </w:tc>
      </w:tr>
      <w:tr>
        <w:tc>
          <w:tcPr>
            <w:tcW w:w="2410" w:type="dxa"/>
          </w:tcPr>
          <w:p>
            <w:pPr>
              <w:pStyle w:val="Celda"/>
            </w:pPr>
            <w:r>
              <w:t xml:space="preserve">Augment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Staged Transform</w:t>
            </w:r>
          </w:p>
        </w:tc>
        <w:tc>
          <w:tcPr>
            <w:tcW w:w="2410" w:type="dxa"/>
          </w:tcPr>
          <w:p>
            <w:pPr>
              <w:pStyle w:val="Celda"/>
            </w:pPr>
          </w:p>
        </w:tc>
        <w:tc>
          <w:tcPr>
            <w:tcW w:w="2410" w:type="dxa"/>
          </w:tcPr>
          <w:p>
            <w:pPr>
              <w:pStyle w:val="Celda"/>
            </w:pPr>
          </w:p>
        </w:tc>
        <w:tc>
          <w:tcPr>
            <w:tcW w:w="2410" w:type="dxa"/>
          </w:tcPr>
          <w:p>
            <w:pPr>
              <w:pStyle w:val="Celda"/>
            </w:pPr>
            <w:r>
              <w:t xml:space="preserve">Approved stages and stages pending release.</w:t>
            </w:r>
          </w:p>
        </w:tc>
      </w:tr>
      <w:tr>
        <w:tc>
          <w:tcPr>
            <w:tcW w:w="2410" w:type="dxa"/>
          </w:tcPr>
          <w:p>
            <w:pPr>
              <w:pStyle w:val="Celda"/>
            </w:pPr>
            <w:r>
              <w:t xml:space="preserve">Enablement</w:t>
            </w:r>
          </w:p>
        </w:tc>
        <w:tc>
          <w:tcPr>
            <w:tcW w:w="2410" w:type="dxa"/>
          </w:tcPr>
          <w:p>
            <w:pPr>
              <w:pStyle w:val="Celda"/>
            </w:pPr>
          </w:p>
        </w:tc>
        <w:tc>
          <w:tcPr>
            <w:tcW w:w="2410" w:type="dxa"/>
          </w:tcPr>
          <w:p>
            <w:pPr>
              <w:pStyle w:val="Celda"/>
            </w:pPr>
          </w:p>
        </w:tc>
        <w:tc>
          <w:tcPr>
            <w:tcW w:w="2410" w:type="dxa"/>
          </w:tcPr>
          <w:p>
            <w:pPr>
              <w:pStyle w:val="Celda"/>
            </w:pPr>
            <w:r>
              <w:t xml:space="preserve">Includes spheres 08 and 09.</w:t>
            </w:r>
          </w:p>
        </w:tc>
      </w:tr>
      <w:tr>
        <w:tc>
          <w:tcPr>
            <w:tcW w:w="2410" w:type="dxa"/>
          </w:tcPr>
          <w:p>
            <w:pPr>
              <w:pStyle w:val="Celda"/>
            </w:pPr>
            <w:r>
              <w:t xml:space="preserve">Committed recurring cost</w:t>
            </w:r>
          </w:p>
        </w:tc>
        <w:tc>
          <w:tcPr>
            <w:tcW w:w="2410" w:type="dxa"/>
          </w:tcPr>
          <w:p>
            <w:pPr>
              <w:pStyle w:val="Celda"/>
            </w:pPr>
          </w:p>
        </w:tc>
        <w:tc>
          <w:tcPr>
            <w:tcW w:w="2410" w:type="dxa"/>
          </w:tcPr>
          <w:p>
            <w:pPr>
              <w:pStyle w:val="Celda"/>
            </w:pPr>
          </w:p>
        </w:tc>
        <w:tc>
          <w:tcPr>
            <w:tcW w:w="2410" w:type="dxa"/>
          </w:tcPr>
          <w:p>
            <w:pPr>
              <w:pStyle w:val="Celda"/>
            </w:pPr>
            <w:r>
              <w:t xml:space="preserve">Budgeted in full.</w:t>
            </w:r>
          </w:p>
        </w:tc>
      </w:tr>
      <w:tr>
        <w:tc>
          <w:tcPr>
            <w:tcW w:w="2410" w:type="dxa"/>
          </w:tcPr>
          <w:p>
            <w:pPr>
              <w:pStyle w:val="Celda"/>
            </w:pPr>
            <w:r>
              <w:t xml:space="preserve">Adoption and training</w:t>
            </w:r>
          </w:p>
        </w:tc>
        <w:tc>
          <w:tcPr>
            <w:tcW w:w="2410" w:type="dxa"/>
          </w:tcPr>
          <w:p>
            <w:pPr>
              <w:pStyle w:val="Celda"/>
            </w:pPr>
          </w:p>
        </w:tc>
        <w:tc>
          <w:tcPr>
            <w:tcW w:w="2410" w:type="dxa"/>
          </w:tcPr>
          <w:p>
            <w:pPr>
              <w:pStyle w:val="Celda"/>
            </w:pPr>
          </w:p>
        </w:tc>
        <w:tc>
          <w:tcPr>
            <w:tcW w:w="2410" w:type="dxa"/>
          </w:tcPr>
          <w:p>
            <w:pPr>
              <w:pStyle w:val="Celda"/>
            </w:pPr>
            <w:r>
              <w:t xml:space="preserve">Explicit, not residual.</w:t>
            </w:r>
          </w:p>
        </w:tc>
      </w:tr>
      <w:tr>
        <w:tc>
          <w:tcPr>
            <w:tcW w:w="2410" w:type="dxa"/>
          </w:tcPr>
          <w:p>
            <w:pPr>
              <w:pStyle w:val="Celda"/>
            </w:pPr>
            <w:r>
              <w:t xml:space="preserve">Contingency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b/>
              </w:rPr>
              <w:t xml:space="preserve">Total</w:t>
            </w:r>
          </w:p>
        </w:tc>
        <w:tc>
          <w:tcPr>
            <w:tcW w:w="2410" w:type="dxa"/>
          </w:tcPr>
          <w:p>
            <w:pPr>
              <w:pStyle w:val="Celda"/>
            </w:pPr>
          </w:p>
        </w:tc>
        <w:tc>
          <w:tcPr>
            <w:tcW w:w="2410" w:type="dxa"/>
          </w:tcPr>
          <w:p>
            <w:pPr>
              <w:pStyle w:val="Celda"/>
            </w:pPr>
            <w:r>
              <w:t xml:space="preserve">100 %</w:t>
            </w:r>
          </w:p>
        </w:tc>
        <w:tc>
          <w:tcPr>
            <w:tcW w:w="2410" w:type="dxa"/>
          </w:tcPr>
          <w:p>
            <w:pPr>
              <w:pStyle w:val="Celda"/>
            </w:pPr>
          </w:p>
        </w:tc>
      </w:tr>
      <w:tr>
        <w:tc>
          <w:tcPr>
            <w:tcW w:w="2410" w:type="dxa"/>
          </w:tcPr>
          <w:p>
            <w:pPr>
              <w:pStyle w:val="Celda"/>
            </w:pPr>
            <w:r>
              <w:t xml:space="preserve">Reallocation rules</w:t>
            </w:r>
          </w:p>
        </w:tc>
        <w:tc>
          <w:tcPr>
            <w:tcW w:w="2410" w:type="dxa"/>
          </w:tcPr>
          <w:p>
            <w:pPr>
              <w:pStyle w:val="Celda"/>
            </w:pPr>
          </w:p>
        </w:tc>
        <w:tc>
          <w:tcPr>
            <w:tcW w:w="2410" w:type="dxa"/>
          </w:tcPr>
          <w:p>
            <w:pPr>
              <w:pStyle w:val="Celda"/>
            </w:pPr>
          </w:p>
        </w:tc>
        <w:tc>
          <w:tcPr>
            <w:tcW w:w="2410" w:type="dxa"/>
          </w:tcPr>
          <w:p>
            <w:pPr>
              <w:pStyle w:val="Celda"/>
            </w:pPr>
            <w:r>
              <w:t xml:space="preserve">Committee and board limits (13 §12).</w:t>
            </w:r>
          </w:p>
        </w:tc>
      </w:tr>
    </w:tbl>
    <w:p>
      <w:pPr>
        <w:pStyle w:val="Espacio"/>
      </w:pPr>
    </w:p>
    <w:p>
      <w:pPr>
        <w:pStyle w:val="Separador"/>
      </w:pPr>
    </w:p>
    <w:p>
      <w:pPr>
        <w:pStyle w:val="Heading1"/>
      </w:pPr>
      <w:r>
        <w:t xml:space="preserve">12. Monitoring targets, review and validity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Indicator</w:t>
            </w:r>
          </w:p>
        </w:tc>
        <w:tc>
          <w:tcPr>
            <w:tcW w:w="1928" w:type="dxa"/>
            <w:shd w:val="clear" w:color="auto" w:fill="F2DFCE"/>
          </w:tcPr>
          <w:p>
            <w:pPr>
              <w:pStyle w:val="Celda"/>
            </w:pPr>
            <w:r>
              <w:rPr>
                <w:b/>
              </w:rPr>
              <w:t xml:space="preserve">Current value (C1)</w:t>
            </w:r>
          </w:p>
        </w:tc>
        <w:tc>
          <w:tcPr>
            <w:tcW w:w="1928" w:type="dxa"/>
            <w:shd w:val="clear" w:color="auto" w:fill="F2DFCE"/>
          </w:tcPr>
          <w:p>
            <w:pPr>
              <w:pStyle w:val="Celda"/>
            </w:pPr>
            <w:r>
              <w:rPr>
                <w:b/>
              </w:rPr>
              <w:t xml:space="preserve">Target</w:t>
            </w:r>
          </w:p>
        </w:tc>
        <w:tc>
          <w:tcPr>
            <w:tcW w:w="1928" w:type="dxa"/>
            <w:shd w:val="clear" w:color="auto" w:fill="F2DFCE"/>
          </w:tcPr>
          <w:p>
            <w:pPr>
              <w:pStyle w:val="Celda"/>
            </w:pPr>
            <w:r>
              <w:rPr>
                <w:b/>
              </w:rPr>
              <w:t xml:space="preserve">Horizon</w:t>
            </w:r>
          </w:p>
        </w:tc>
        <w:tc>
          <w:tcPr>
            <w:tcW w:w="1928" w:type="dxa"/>
            <w:shd w:val="clear" w:color="auto" w:fill="F2DFCE"/>
          </w:tcPr>
          <w:p>
            <w:pPr>
              <w:pStyle w:val="Celda"/>
            </w:pPr>
            <w:r>
              <w:rPr>
                <w:b/>
              </w:rPr>
              <w:t xml:space="preserve">Guidance</w:t>
            </w:r>
          </w:p>
        </w:tc>
      </w:tr>
      <w:tr>
        <w:tc>
          <w:tcPr>
            <w:tcW w:w="1928" w:type="dxa"/>
          </w:tcPr>
          <w:p>
            <w:pPr>
              <w:pStyle w:val="Celda"/>
            </w:pPr>
            <w:r>
              <w:t xml:space="preserve">Transformation index profile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Document 12.</w:t>
            </w:r>
          </w:p>
        </w:tc>
      </w:tr>
      <w:tr>
        <w:tc>
          <w:tcPr>
            <w:tcW w:w="1928" w:type="dxa"/>
          </w:tcPr>
          <w:p>
            <w:pPr>
              <w:pStyle w:val="Celda"/>
            </w:pPr>
            <w:r>
              <w:t xml:space="preserve">Overall maturity level and priority dimensions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Document 11; references in 11 §8.</w:t>
            </w:r>
          </w:p>
        </w:tc>
      </w:tr>
      <w:tr>
        <w:tc>
          <w:tcPr>
            <w:tcW w:w="1928" w:type="dxa"/>
          </w:tcPr>
          <w:p>
            <w:pPr>
              <w:pStyle w:val="Celda"/>
            </w:pPr>
            <w:r>
              <w:t xml:space="preserve">Proportion of validated value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Condition B2.</w:t>
            </w:r>
          </w:p>
        </w:tc>
      </w:tr>
      <w:tr>
        <w:tc>
          <w:tcPr>
            <w:tcW w:w="1928" w:type="dxa"/>
          </w:tcPr>
          <w:p>
            <w:pPr>
              <w:pStyle w:val="Celda"/>
            </w:pPr>
            <w:r>
              <w:t xml:space="preserve">Annual net value of the portfolio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Document 40.</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Validity</w:t>
            </w:r>
          </w:p>
        </w:tc>
        <w:tc>
          <w:tcPr>
            <w:tcW w:w="3213" w:type="dxa"/>
          </w:tcPr>
          <w:p>
            <w:pPr>
              <w:pStyle w:val="Celda"/>
            </w:pPr>
          </w:p>
        </w:tc>
        <w:tc>
          <w:tcPr>
            <w:tcW w:w="3213" w:type="dxa"/>
          </w:tcPr>
          <w:p>
            <w:pPr>
              <w:pStyle w:val="Celda"/>
            </w:pPr>
            <w:r>
              <w:t xml:space="preserve">Until the next version is approved.</w:t>
            </w:r>
          </w:p>
        </w:tc>
      </w:tr>
      <w:tr>
        <w:tc>
          <w:tcPr>
            <w:tcW w:w="3213" w:type="dxa"/>
          </w:tcPr>
          <w:p>
            <w:pPr>
              <w:pStyle w:val="Celda"/>
            </w:pPr>
            <w:r>
              <w:t xml:space="preserve">Planned annual review date</w:t>
            </w:r>
          </w:p>
        </w:tc>
        <w:tc>
          <w:tcPr>
            <w:tcW w:w="3213" w:type="dxa"/>
          </w:tcPr>
          <w:p>
            <w:pPr>
              <w:pStyle w:val="Celda"/>
            </w:pPr>
          </w:p>
        </w:tc>
        <w:tc>
          <w:tcPr>
            <w:tcW w:w="3213" w:type="dxa"/>
          </w:tcPr>
          <w:p>
            <w:pPr>
              <w:pStyle w:val="Celda"/>
            </w:pPr>
            <w:r>
              <w:t xml:space="preserve">After C5 (P37).</w:t>
            </w:r>
          </w:p>
        </w:tc>
      </w:tr>
      <w:tr>
        <w:tc>
          <w:tcPr>
            <w:tcW w:w="3213" w:type="dxa"/>
          </w:tcPr>
          <w:p>
            <w:pPr>
              <w:pStyle w:val="Celda"/>
            </w:pPr>
            <w:r>
              <w:t xml:space="preserve">Additional triggers for extraordinary review</w:t>
            </w:r>
          </w:p>
        </w:tc>
        <w:tc>
          <w:tcPr>
            <w:tcW w:w="3213" w:type="dxa"/>
          </w:tcPr>
          <w:p>
            <w:pPr>
              <w:pStyle w:val="Celda"/>
            </w:pPr>
          </w:p>
        </w:tc>
        <w:tc>
          <w:tcPr>
            <w:tcW w:w="3213" w:type="dxa"/>
          </w:tcPr>
          <w:p>
            <w:pPr>
              <w:pStyle w:val="Celda"/>
            </w:pPr>
            <w:r>
              <w:t xml:space="preserve">In addition to those in 13 §13.</w:t>
            </w:r>
          </w:p>
        </w:tc>
      </w:tr>
    </w:tbl>
    <w:p>
      <w:pPr>
        <w:pStyle w:val="Espacio"/>
      </w:pPr>
    </w:p>
    <w:p>
      <w:pPr>
        <w:pStyle w:val="Separador"/>
      </w:pPr>
    </w:p>
    <w:p>
      <w:pPr>
        <w:pStyle w:val="Heading1"/>
      </w:pPr>
      <w:r>
        <w:t xml:space="preserve">13. Approved indicator selection</w:t>
      </w:r>
    </w:p>
    <w:p>
      <w:r>
        <w:t xml:space="preserve">No company needs every indicator in the catalogue: they are selected in C2 according to the thesis, the portfolio and the intensity, and the selection is recorded (41 §1). Starting point: the recommended minimum set for Lite (41 §19) and the selection for the board dashboard (41 §20). Thresholds marked "to be set" in the catalogue are approved here.</w:t>
      </w:r>
    </w:p>
    <w:p>
      <w:pPr>
        <w:pStyle w:val="Heading2"/>
      </w:pPr>
      <w:r>
        <w:t xml:space="preserve">13.1 Catalogue indicators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 (IND-FAM-NN)</w:t>
            </w:r>
          </w:p>
        </w:tc>
        <w:tc>
          <w:tcPr>
            <w:tcW w:w="1205" w:type="dxa"/>
            <w:shd w:val="clear" w:color="auto" w:fill="F2DFCE"/>
          </w:tcPr>
          <w:p>
            <w:pPr>
              <w:pStyle w:val="Celda"/>
            </w:pPr>
            <w:r>
              <w:rPr>
                <w:b/>
              </w:rPr>
              <w:t xml:space="preserve">Name</w:t>
            </w:r>
          </w:p>
        </w:tc>
        <w:tc>
          <w:tcPr>
            <w:tcW w:w="1205" w:type="dxa"/>
            <w:shd w:val="clear" w:color="auto" w:fill="F2DFCE"/>
          </w:tcPr>
          <w:p>
            <w:pPr>
              <w:pStyle w:val="Celda"/>
            </w:pPr>
            <w:r>
              <w:rPr>
                <w:b/>
              </w:rPr>
              <w:t xml:space="preserve">Target</w:t>
            </w:r>
          </w:p>
        </w:tc>
        <w:tc>
          <w:tcPr>
            <w:tcW w:w="1205" w:type="dxa"/>
            <w:shd w:val="clear" w:color="auto" w:fill="F2DFCE"/>
          </w:tcPr>
          <w:p>
            <w:pPr>
              <w:pStyle w:val="Celda"/>
            </w:pPr>
            <w:r>
              <w:rPr>
                <w:b/>
              </w:rPr>
              <w:t xml:space="preserve">Threshold or traffic-light reading</w:t>
            </w:r>
          </w:p>
        </w:tc>
        <w:tc>
          <w:tcPr>
            <w:tcW w:w="1205" w:type="dxa"/>
            <w:shd w:val="clear" w:color="auto" w:fill="F2DFCE"/>
          </w:tcPr>
          <w:p>
            <w:pPr>
              <w:pStyle w:val="Celda"/>
            </w:pPr>
            <w:r>
              <w:rPr>
                <w:b/>
              </w:rPr>
              <w:t xml:space="preserve">Frequency</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Source</w:t>
            </w:r>
          </w:p>
        </w:tc>
        <w:tc>
          <w:tcPr>
            <w:tcW w:w="1205" w:type="dxa"/>
            <w:shd w:val="clear" w:color="auto" w:fill="F2DFCE"/>
          </w:tcPr>
          <w:p>
            <w:pPr>
              <w:pStyle w:val="Celda"/>
            </w:pPr>
            <w:r>
              <w:rPr>
                <w:b/>
              </w:rPr>
              <w:t xml:space="preserve">On the board dashboard (Yes · No)</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IND-VAL-05</w:t>
            </w:r>
          </w:p>
        </w:tc>
        <w:tc>
          <w:tcPr>
            <w:tcW w:w="1205" w:type="dxa"/>
          </w:tcPr>
          <w:p>
            <w:pPr>
              <w:pStyle w:val="Celda"/>
            </w:pPr>
            <w:r>
              <w:t xml:space="preserve">Validated proportion</w:t>
            </w:r>
          </w:p>
        </w:tc>
        <w:tc>
          <w:tcPr>
            <w:tcW w:w="1205" w:type="dxa"/>
          </w:tcPr>
          <w:p>
            <w:pPr>
              <w:pStyle w:val="Celda"/>
            </w:pPr>
            <w:r>
              <w:t xml:space="preserve">60 % within 24 months</w:t>
            </w:r>
          </w:p>
        </w:tc>
        <w:tc>
          <w:tcPr>
            <w:tcW w:w="1205" w:type="dxa"/>
          </w:tcPr>
          <w:p>
            <w:pPr>
              <w:pStyle w:val="Celda"/>
            </w:pPr>
            <w:r>
              <w:t xml:space="preserve">Amber &lt; 50 % · Red &lt; 30 % (ECO metric in section 6.2)</w:t>
            </w:r>
          </w:p>
        </w:tc>
        <w:tc>
          <w:tcPr>
            <w:tcW w:w="1205" w:type="dxa"/>
          </w:tcPr>
          <w:p>
            <w:pPr>
              <w:pStyle w:val="Celda"/>
            </w:pPr>
            <w:r>
              <w:t xml:space="preserve">Quarterly</w:t>
            </w:r>
          </w:p>
        </w:tc>
        <w:tc>
          <w:tcPr>
            <w:tcW w:w="1205" w:type="dxa"/>
          </w:tcPr>
          <w:p>
            <w:pPr>
              <w:pStyle w:val="Celda"/>
            </w:pPr>
            <w:r>
              <w:t xml:space="preserve">Management control</w:t>
            </w:r>
          </w:p>
        </w:tc>
        <w:tc>
          <w:tcPr>
            <w:tcW w:w="1205" w:type="dxa"/>
          </w:tcPr>
          <w:p>
            <w:pPr>
              <w:pStyle w:val="Celda"/>
            </w:pPr>
            <w:r>
              <w:t xml:space="preserve">T12</w:t>
            </w:r>
          </w:p>
        </w:tc>
        <w:tc>
          <w:tcPr>
            <w:tcW w:w="1205" w:type="dxa"/>
          </w:tcPr>
          <w:p>
            <w:pPr>
              <w:pStyle w:val="Celda"/>
            </w:pPr>
            <w:r>
              <w:t xml:space="preserve">Yes</w:t>
            </w:r>
          </w:p>
        </w:tc>
      </w:tr>
      <w:tr>
        <w:tc>
          <w:tcPr>
            <w:tcW w:w="1205" w:type="dxa"/>
          </w:tcPr>
          <w:p>
            <w:pPr>
              <w:pStyle w:val="Celda"/>
            </w:pPr>
            <w:r>
              <w:rPr>
                <w:i/>
              </w:rPr>
              <w:t xml:space="preserve">(illustrative example)</w:t>
            </w:r>
            <w:r>
              <w:t xml:space="preserve"> IND-RIE-02</w:t>
            </w:r>
          </w:p>
        </w:tc>
        <w:tc>
          <w:tcPr>
            <w:tcW w:w="1205" w:type="dxa"/>
          </w:tcPr>
          <w:p>
            <w:pPr>
              <w:pStyle w:val="Celda"/>
            </w:pPr>
            <w:r>
              <w:t xml:space="preserve">Systems in production without a </w:t>
            </w:r>
            <w:r>
              <w:rPr>
                <w:i/>
              </w:rPr>
              <w:t xml:space="preserve">gate</w:t>
            </w:r>
          </w:p>
        </w:tc>
        <w:tc>
          <w:tcPr>
            <w:tcW w:w="1205" w:type="dxa"/>
          </w:tcPr>
          <w:p>
            <w:pPr>
              <w:pStyle w:val="Celda"/>
            </w:pPr>
            <w:r>
              <w:t xml:space="preserve">0</w:t>
            </w:r>
          </w:p>
        </w:tc>
        <w:tc>
          <w:tcPr>
            <w:tcW w:w="1205" w:type="dxa"/>
          </w:tcPr>
          <w:p>
            <w:pPr>
              <w:pStyle w:val="Celda"/>
            </w:pPr>
            <w:r>
              <w:t xml:space="preserve">0 (critical nonconformity)</w:t>
            </w:r>
          </w:p>
        </w:tc>
        <w:tc>
          <w:tcPr>
            <w:tcW w:w="1205" w:type="dxa"/>
          </w:tcPr>
          <w:p>
            <w:pPr>
              <w:pStyle w:val="Celda"/>
            </w:pPr>
            <w:r>
              <w:t xml:space="preserve">Monthly</w:t>
            </w:r>
          </w:p>
        </w:tc>
        <w:tc>
          <w:tcPr>
            <w:tcW w:w="1205" w:type="dxa"/>
          </w:tcPr>
          <w:p>
            <w:pPr>
              <w:pStyle w:val="Celda"/>
            </w:pPr>
            <w:r>
              <w:t xml:space="preserve">AI Auditor</w:t>
            </w:r>
          </w:p>
        </w:tc>
        <w:tc>
          <w:tcPr>
            <w:tcW w:w="1205" w:type="dxa"/>
          </w:tcPr>
          <w:p>
            <w:pPr>
              <w:pStyle w:val="Celda"/>
            </w:pPr>
            <w:r>
              <w:t xml:space="preserve">T02 · T03</w:t>
            </w:r>
          </w:p>
        </w:tc>
        <w:tc>
          <w:tcPr>
            <w:tcW w:w="1205" w:type="dxa"/>
          </w:tcPr>
          <w:p>
            <w:pPr>
              <w:pStyle w:val="Celda"/>
            </w:pPr>
            <w:r>
              <w:t xml:space="preserve">Yes</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Check of the selection</w:t>
            </w:r>
          </w:p>
        </w:tc>
        <w:tc>
          <w:tcPr>
            <w:tcW w:w="4819" w:type="dxa"/>
            <w:shd w:val="clear" w:color="auto" w:fill="F2DFCE"/>
          </w:tcPr>
          <w:p>
            <w:pPr>
              <w:pStyle w:val="Celda"/>
            </w:pPr>
            <w:r>
              <w:rPr>
                <w:b/>
              </w:rPr>
              <w:t xml:space="preserve">Yes · No</w:t>
            </w:r>
          </w:p>
        </w:tc>
      </w:tr>
      <w:tr>
        <w:tc>
          <w:tcPr>
            <w:tcW w:w="4819" w:type="dxa"/>
          </w:tcPr>
          <w:p>
            <w:pPr>
              <w:pStyle w:val="Celda"/>
            </w:pPr>
            <w:r>
              <w:t xml:space="preserve">It includes the minimum set in 41 §19, or justifies each exclusion.</w:t>
            </w:r>
          </w:p>
        </w:tc>
        <w:tc>
          <w:tcPr>
            <w:tcW w:w="4819" w:type="dxa"/>
          </w:tcPr>
          <w:p>
            <w:pPr>
              <w:pStyle w:val="Celda"/>
            </w:pPr>
          </w:p>
        </w:tc>
      </w:tr>
      <w:tr>
        <w:tc>
          <w:tcPr>
            <w:tcW w:w="4819" w:type="dxa"/>
          </w:tcPr>
          <w:p>
            <w:pPr>
              <w:pStyle w:val="Celda"/>
            </w:pPr>
            <w:r>
              <w:t xml:space="preserve">It includes, for the board dashboard, the blocks in 41 §20 that apply.</w:t>
            </w:r>
          </w:p>
        </w:tc>
        <w:tc>
          <w:tcPr>
            <w:tcW w:w="4819" w:type="dxa"/>
          </w:tcPr>
          <w:p>
            <w:pPr>
              <w:pStyle w:val="Celda"/>
            </w:pPr>
          </w:p>
        </w:tc>
      </w:tr>
      <w:tr>
        <w:tc>
          <w:tcPr>
            <w:tcW w:w="4819" w:type="dxa"/>
          </w:tcPr>
          <w:p>
            <w:pPr>
              <w:pStyle w:val="Celda"/>
            </w:pPr>
            <w:r>
              <w:t xml:space="preserve">Each speed or automation indicator has its contrasting quality or risk indicator (41 §2, rule 7).</w:t>
            </w:r>
          </w:p>
        </w:tc>
        <w:tc>
          <w:tcPr>
            <w:tcW w:w="4819" w:type="dxa"/>
          </w:tcPr>
          <w:p>
            <w:pPr>
              <w:pStyle w:val="Celda"/>
            </w:pPr>
          </w:p>
        </w:tc>
      </w:tr>
      <w:tr>
        <w:tc>
          <w:tcPr>
            <w:tcW w:w="4819" w:type="dxa"/>
          </w:tcPr>
          <w:p>
            <w:pPr>
              <w:pStyle w:val="Celda"/>
            </w:pPr>
            <w:r>
              <w:t xml:space="preserve">Value indicators show their validated proportion (41 §2, rule 4).</w:t>
            </w:r>
          </w:p>
        </w:tc>
        <w:tc>
          <w:tcPr>
            <w:tcW w:w="4819" w:type="dxa"/>
          </w:tcPr>
          <w:p>
            <w:pPr>
              <w:pStyle w:val="Celda"/>
            </w:pPr>
          </w:p>
        </w:tc>
      </w:tr>
    </w:tbl>
    <w:p>
      <w:pPr>
        <w:pStyle w:val="Espacio"/>
      </w:pPr>
    </w:p>
    <w:p>
      <w:pPr>
        <w:pStyle w:val="Heading2"/>
      </w:pPr>
      <w:r>
        <w:t xml:space="preserve">13.2 The company's own indicators</w:t>
      </w:r>
    </w:p>
    <w:p>
      <w:r>
        <w:t xml:space="preserve">Each own indicator is documented with the record in 41 §5 and approved by the AI Office with the clearance of management control (41 §2, rule 8). Its selection is recorded here.</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Code</w:t>
            </w:r>
          </w:p>
        </w:tc>
        <w:tc>
          <w:tcPr>
            <w:tcW w:w="876" w:type="dxa"/>
            <w:shd w:val="clear" w:color="auto" w:fill="F2DFCE"/>
          </w:tcPr>
          <w:p>
            <w:pPr>
              <w:pStyle w:val="Celda"/>
            </w:pPr>
            <w:r>
              <w:rPr>
                <w:b/>
              </w:rPr>
              <w:t xml:space="preserve">Name and definition</w:t>
            </w:r>
          </w:p>
        </w:tc>
        <w:tc>
          <w:tcPr>
            <w:tcW w:w="876" w:type="dxa"/>
            <w:shd w:val="clear" w:color="auto" w:fill="F2DFCE"/>
          </w:tcPr>
          <w:p>
            <w:pPr>
              <w:pStyle w:val="Celda"/>
            </w:pPr>
            <w:r>
              <w:rPr>
                <w:b/>
              </w:rPr>
              <w:t xml:space="preserve">Formula</w:t>
            </w:r>
          </w:p>
        </w:tc>
        <w:tc>
          <w:tcPr>
            <w:tcW w:w="876" w:type="dxa"/>
            <w:shd w:val="clear" w:color="auto" w:fill="F2DFCE"/>
          </w:tcPr>
          <w:p>
            <w:pPr>
              <w:pStyle w:val="Celda"/>
            </w:pPr>
            <w:r>
              <w:rPr>
                <w:b/>
              </w:rPr>
              <w:t xml:space="preserve">Unit</w:t>
            </w:r>
          </w:p>
        </w:tc>
        <w:tc>
          <w:tcPr>
            <w:tcW w:w="876" w:type="dxa"/>
            <w:shd w:val="clear" w:color="auto" w:fill="F2DFCE"/>
          </w:tcPr>
          <w:p>
            <w:pPr>
              <w:pStyle w:val="Celda"/>
            </w:pPr>
            <w:r>
              <w:rPr>
                <w:b/>
              </w:rPr>
              <w:t xml:space="preserve">Target</w:t>
            </w:r>
          </w:p>
        </w:tc>
        <w:tc>
          <w:tcPr>
            <w:tcW w:w="876" w:type="dxa"/>
            <w:shd w:val="clear" w:color="auto" w:fill="F2DFCE"/>
          </w:tcPr>
          <w:p>
            <w:pPr>
              <w:pStyle w:val="Celda"/>
            </w:pPr>
            <w:r>
              <w:rPr>
                <w:b/>
              </w:rPr>
              <w:t xml:space="preserve">Threshold</w:t>
            </w:r>
          </w:p>
        </w:tc>
        <w:tc>
          <w:tcPr>
            <w:tcW w:w="876" w:type="dxa"/>
            <w:shd w:val="clear" w:color="auto" w:fill="F2DFCE"/>
          </w:tcPr>
          <w:p>
            <w:pPr>
              <w:pStyle w:val="Celda"/>
            </w:pPr>
            <w:r>
              <w:rPr>
                <w:b/>
              </w:rPr>
              <w:t xml:space="preserve">Frequency</w:t>
            </w:r>
          </w:p>
        </w:tc>
        <w:tc>
          <w:tcPr>
            <w:tcW w:w="876" w:type="dxa"/>
            <w:shd w:val="clear" w:color="auto" w:fill="F2DFCE"/>
          </w:tcPr>
          <w:p>
            <w:pPr>
              <w:pStyle w:val="Celda"/>
            </w:pPr>
            <w:r>
              <w:rPr>
                <w:b/>
              </w:rPr>
              <w:t xml:space="preserve">Owner</w:t>
            </w:r>
          </w:p>
        </w:tc>
        <w:tc>
          <w:tcPr>
            <w:tcW w:w="876" w:type="dxa"/>
            <w:shd w:val="clear" w:color="auto" w:fill="F2DFCE"/>
          </w:tcPr>
          <w:p>
            <w:pPr>
              <w:pStyle w:val="Celda"/>
            </w:pPr>
            <w:r>
              <w:rPr>
                <w:b/>
              </w:rPr>
              <w:t xml:space="preserve">Source</w:t>
            </w:r>
          </w:p>
        </w:tc>
        <w:tc>
          <w:tcPr>
            <w:tcW w:w="876" w:type="dxa"/>
            <w:shd w:val="clear" w:color="auto" w:fill="F2DFCE"/>
          </w:tcPr>
          <w:p>
            <w:pPr>
              <w:pStyle w:val="Celda"/>
            </w:pPr>
            <w:r>
              <w:rPr>
                <w:b/>
              </w:rPr>
              <w:t xml:space="preserve">Contrasting indicator</w:t>
            </w:r>
          </w:p>
        </w:tc>
        <w:tc>
          <w:tcPr>
            <w:tcW w:w="876" w:type="dxa"/>
            <w:shd w:val="clear" w:color="auto" w:fill="F2DFCE"/>
          </w:tcPr>
          <w:p>
            <w:pPr>
              <w:pStyle w:val="Celda"/>
            </w:pPr>
            <w:r>
              <w:rPr>
                <w:b/>
              </w:rPr>
              <w:t xml:space="preserve">Record in 41 §5 completed (Yes · No)</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Separador"/>
      </w:pPr>
    </w:p>
    <w:p>
      <w:pPr>
        <w:pStyle w:val="Heading1"/>
      </w:pPr>
      <w:r>
        <w:t xml:space="preserve">14. Threshold version register</w:t>
      </w:r>
    </w:p>
    <w:p>
      <w:r>
        <w:t xml:space="preserve">Thresholds </w:t>
      </w:r>
      <w:r>
        <w:rPr>
          <w:b/>
        </w:rPr>
        <w:t xml:space="preserve">are not changed within the annual cycle</w:t>
      </w:r>
      <w:r>
        <w:t xml:space="preserve">; they are recalibrated in C5 with the company's own data and approved by the board (12 §8; 13 §13). Each calculation of the index, the heat map or the traffic light records the threshold version it used. Version 0.1 is that of the framework's indicative values.</w:t>
      </w:r>
    </w:p>
    <w:p>
      <w:r>
        <w:rPr>
          <w:b/>
        </w:rPr>
        <w:t xml:space="preserve">Versioned parameters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Parameter</w:t>
            </w:r>
          </w:p>
        </w:tc>
        <w:tc>
          <w:tcPr>
            <w:tcW w:w="2410" w:type="dxa"/>
            <w:shd w:val="clear" w:color="auto" w:fill="F2DFCE"/>
          </w:tcPr>
          <w:p>
            <w:pPr>
              <w:pStyle w:val="Celda"/>
            </w:pPr>
            <w:r>
              <w:rPr>
                <w:b/>
              </w:rPr>
              <w:t xml:space="preserve">Source document</w:t>
            </w:r>
          </w:p>
        </w:tc>
        <w:tc>
          <w:tcPr>
            <w:tcW w:w="2410" w:type="dxa"/>
            <w:shd w:val="clear" w:color="auto" w:fill="F2DFCE"/>
          </w:tcPr>
          <w:p>
            <w:pPr>
              <w:pStyle w:val="Celda"/>
            </w:pPr>
            <w:r>
              <w:rPr>
                <w:b/>
              </w:rPr>
              <w:t xml:space="preserve">Current version</w:t>
            </w:r>
          </w:p>
        </w:tc>
        <w:tc>
          <w:tcPr>
            <w:tcW w:w="2410" w:type="dxa"/>
            <w:shd w:val="clear" w:color="auto" w:fill="F2DFCE"/>
          </w:tcPr>
          <w:p>
            <w:pPr>
              <w:pStyle w:val="Celda"/>
            </w:pPr>
            <w:r>
              <w:rPr>
                <w:b/>
              </w:rPr>
              <w:t xml:space="preserve">Deviation from the framework value (Yes · No)</w:t>
            </w:r>
          </w:p>
        </w:tc>
      </w:tr>
      <w:tr>
        <w:tc>
          <w:tcPr>
            <w:tcW w:w="2410" w:type="dxa"/>
          </w:tcPr>
          <w:p>
            <w:pPr>
              <w:pStyle w:val="Celda"/>
            </w:pPr>
            <w:r>
              <w:t xml:space="preserve">Thresholds for the signals and conditions of the transformation index</w:t>
            </w:r>
          </w:p>
        </w:tc>
        <w:tc>
          <w:tcPr>
            <w:tcW w:w="2410" w:type="dxa"/>
          </w:tcPr>
          <w:p>
            <w:pPr>
              <w:pStyle w:val="Celda"/>
            </w:pPr>
            <w:r>
              <w:t xml:space="preserve">12 §4.3 and §4.5</w:t>
            </w:r>
          </w:p>
        </w:tc>
        <w:tc>
          <w:tcPr>
            <w:tcW w:w="2410" w:type="dxa"/>
          </w:tcPr>
          <w:p>
            <w:pPr>
              <w:pStyle w:val="Celda"/>
            </w:pPr>
          </w:p>
        </w:tc>
        <w:tc>
          <w:tcPr>
            <w:tcW w:w="2410" w:type="dxa"/>
          </w:tcPr>
          <w:p>
            <w:pPr>
              <w:pStyle w:val="Celda"/>
            </w:pPr>
          </w:p>
        </w:tc>
      </w:tr>
      <w:tr>
        <w:tc>
          <w:tcPr>
            <w:tcW w:w="2410" w:type="dxa"/>
          </w:tcPr>
          <w:p>
            <w:pPr>
              <w:pStyle w:val="Celda"/>
            </w:pPr>
            <w:r>
              <w:t xml:space="preserve">Heat map colour thresholds and markers</w:t>
            </w:r>
          </w:p>
        </w:tc>
        <w:tc>
          <w:tcPr>
            <w:tcW w:w="2410" w:type="dxa"/>
          </w:tcPr>
          <w:p>
            <w:pPr>
              <w:pStyle w:val="Celda"/>
            </w:pPr>
            <w:r>
              <w:t xml:space="preserve">10 §8.1</w:t>
            </w:r>
          </w:p>
        </w:tc>
        <w:tc>
          <w:tcPr>
            <w:tcW w:w="2410" w:type="dxa"/>
          </w:tcPr>
          <w:p>
            <w:pPr>
              <w:pStyle w:val="Celda"/>
            </w:pPr>
          </w:p>
        </w:tc>
        <w:tc>
          <w:tcPr>
            <w:tcW w:w="2410" w:type="dxa"/>
          </w:tcPr>
          <w:p>
            <w:pPr>
              <w:pStyle w:val="Celda"/>
            </w:pPr>
          </w:p>
        </w:tc>
      </w:tr>
      <w:tr>
        <w:tc>
          <w:tcPr>
            <w:tcW w:w="2410" w:type="dxa"/>
          </w:tcPr>
          <w:p>
            <w:pPr>
              <w:pStyle w:val="Celda"/>
            </w:pPr>
            <w:r>
              <w:t xml:space="preserve">Programme traffic light</w:t>
            </w:r>
          </w:p>
        </w:tc>
        <w:tc>
          <w:tcPr>
            <w:tcW w:w="2410" w:type="dxa"/>
          </w:tcPr>
          <w:p>
            <w:pPr>
              <w:pStyle w:val="Celda"/>
            </w:pPr>
            <w:r>
              <w:t xml:space="preserve">14 §12.1</w:t>
            </w:r>
          </w:p>
        </w:tc>
        <w:tc>
          <w:tcPr>
            <w:tcW w:w="2410" w:type="dxa"/>
          </w:tcPr>
          <w:p>
            <w:pPr>
              <w:pStyle w:val="Celda"/>
            </w:pPr>
          </w:p>
        </w:tc>
        <w:tc>
          <w:tcPr>
            <w:tcW w:w="2410" w:type="dxa"/>
          </w:tcPr>
          <w:p>
            <w:pPr>
              <w:pStyle w:val="Celda"/>
            </w:pPr>
          </w:p>
        </w:tc>
      </w:tr>
      <w:tr>
        <w:tc>
          <w:tcPr>
            <w:tcW w:w="2410" w:type="dxa"/>
          </w:tcPr>
          <w:p>
            <w:pPr>
              <w:pStyle w:val="Celda"/>
            </w:pPr>
            <w:r>
              <w:t xml:space="preserve">Maturity dimension weights</w:t>
            </w:r>
          </w:p>
        </w:tc>
        <w:tc>
          <w:tcPr>
            <w:tcW w:w="2410" w:type="dxa"/>
          </w:tcPr>
          <w:p>
            <w:pPr>
              <w:pStyle w:val="Celda"/>
            </w:pPr>
            <w:r>
              <w:t xml:space="preserve">11 §2.3</w:t>
            </w:r>
          </w:p>
        </w:tc>
        <w:tc>
          <w:tcPr>
            <w:tcW w:w="2410" w:type="dxa"/>
          </w:tcPr>
          <w:p>
            <w:pPr>
              <w:pStyle w:val="Celda"/>
            </w:pPr>
          </w:p>
        </w:tc>
        <w:tc>
          <w:tcPr>
            <w:tcW w:w="2410" w:type="dxa"/>
          </w:tcPr>
          <w:p>
            <w:pPr>
              <w:pStyle w:val="Celda"/>
            </w:pPr>
          </w:p>
        </w:tc>
      </w:tr>
      <w:tr>
        <w:tc>
          <w:tcPr>
            <w:tcW w:w="2410" w:type="dxa"/>
          </w:tcPr>
          <w:p>
            <w:pPr>
              <w:pStyle w:val="Celda"/>
            </w:pPr>
            <w:r>
              <w:t xml:space="preserve">Economic impact, investment and materiality thresholds</w:t>
            </w:r>
          </w:p>
        </w:tc>
        <w:tc>
          <w:tcPr>
            <w:tcW w:w="2410" w:type="dxa"/>
          </w:tcPr>
          <w:p>
            <w:pPr>
              <w:pStyle w:val="Celda"/>
            </w:pPr>
            <w:r>
              <w:t xml:space="preserve">Sections 7.1 and 7.2</w:t>
            </w:r>
          </w:p>
        </w:tc>
        <w:tc>
          <w:tcPr>
            <w:tcW w:w="2410" w:type="dxa"/>
          </w:tcPr>
          <w:p>
            <w:pPr>
              <w:pStyle w:val="Celda"/>
            </w:pPr>
          </w:p>
        </w:tc>
        <w:tc>
          <w:tcPr>
            <w:tcW w:w="2410" w:type="dxa"/>
          </w:tcPr>
          <w:p>
            <w:pPr>
              <w:pStyle w:val="Celda"/>
            </w:pPr>
          </w:p>
        </w:tc>
      </w:tr>
      <w:tr>
        <w:tc>
          <w:tcPr>
            <w:tcW w:w="2410" w:type="dxa"/>
          </w:tcPr>
          <w:p>
            <w:pPr>
              <w:pStyle w:val="Celda"/>
            </w:pPr>
            <w:r>
              <w:t xml:space="preserve">Reference time limits</w:t>
            </w:r>
          </w:p>
        </w:tc>
        <w:tc>
          <w:tcPr>
            <w:tcW w:w="2410" w:type="dxa"/>
          </w:tcPr>
          <w:p>
            <w:pPr>
              <w:pStyle w:val="Celda"/>
            </w:pPr>
            <w:r>
              <w:t xml:space="preserve">Section 9.1; 03 §3.6</w:t>
            </w:r>
          </w:p>
        </w:tc>
        <w:tc>
          <w:tcPr>
            <w:tcW w:w="2410" w:type="dxa"/>
          </w:tcPr>
          <w:p>
            <w:pPr>
              <w:pStyle w:val="Celda"/>
            </w:pPr>
          </w:p>
        </w:tc>
        <w:tc>
          <w:tcPr>
            <w:tcW w:w="2410" w:type="dxa"/>
          </w:tcPr>
          <w:p>
            <w:pPr>
              <w:pStyle w:val="Celda"/>
            </w:pPr>
          </w:p>
        </w:tc>
      </w:tr>
      <w:tr>
        <w:tc>
          <w:tcPr>
            <w:tcW w:w="2410" w:type="dxa"/>
          </w:tcPr>
          <w:p>
            <w:pPr>
              <w:pStyle w:val="Celda"/>
            </w:pPr>
            <w:r>
              <w:t xml:space="preserve">Tolerance metrics</w:t>
            </w:r>
          </w:p>
        </w:tc>
        <w:tc>
          <w:tcPr>
            <w:tcW w:w="2410" w:type="dxa"/>
          </w:tcPr>
          <w:p>
            <w:pPr>
              <w:pStyle w:val="Celda"/>
            </w:pPr>
            <w:r>
              <w:t xml:space="preserve">Section 6.2</w:t>
            </w:r>
          </w:p>
        </w:tc>
        <w:tc>
          <w:tcPr>
            <w:tcW w:w="2410" w:type="dxa"/>
          </w:tcPr>
          <w:p>
            <w:pPr>
              <w:pStyle w:val="Celda"/>
            </w:pPr>
          </w:p>
        </w:tc>
        <w:tc>
          <w:tcPr>
            <w:tcW w:w="2410" w:type="dxa"/>
          </w:tcPr>
          <w:p>
            <w:pPr>
              <w:pStyle w:val="Celda"/>
            </w:pPr>
          </w:p>
        </w:tc>
      </w:tr>
    </w:tbl>
    <w:p>
      <w:pPr>
        <w:pStyle w:val="Espacio"/>
      </w:pPr>
    </w:p>
    <w:p>
      <w:r>
        <w:rPr>
          <w:b/>
        </w:rPr>
        <w:t xml:space="preserve">Change history</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Version</w:t>
            </w:r>
          </w:p>
        </w:tc>
        <w:tc>
          <w:tcPr>
            <w:tcW w:w="1205" w:type="dxa"/>
            <w:shd w:val="clear" w:color="auto" w:fill="F2DFCE"/>
          </w:tcPr>
          <w:p>
            <w:pPr>
              <w:pStyle w:val="Celda"/>
            </w:pPr>
            <w:r>
              <w:rPr>
                <w:b/>
              </w:rPr>
              <w:t xml:space="preserve">Parameter</w:t>
            </w:r>
          </w:p>
        </w:tc>
        <w:tc>
          <w:tcPr>
            <w:tcW w:w="1205" w:type="dxa"/>
            <w:shd w:val="clear" w:color="auto" w:fill="F2DFCE"/>
          </w:tcPr>
          <w:p>
            <w:pPr>
              <w:pStyle w:val="Celda"/>
            </w:pPr>
            <w:r>
              <w:rPr>
                <w:b/>
              </w:rPr>
              <w:t xml:space="preserve">Previous value</w:t>
            </w:r>
          </w:p>
        </w:tc>
        <w:tc>
          <w:tcPr>
            <w:tcW w:w="1205" w:type="dxa"/>
            <w:shd w:val="clear" w:color="auto" w:fill="F2DFCE"/>
          </w:tcPr>
          <w:p>
            <w:pPr>
              <w:pStyle w:val="Celda"/>
            </w:pPr>
            <w:r>
              <w:rPr>
                <w:b/>
              </w:rPr>
              <w:t xml:space="preserve">New value</w:t>
            </w:r>
          </w:p>
        </w:tc>
        <w:tc>
          <w:tcPr>
            <w:tcW w:w="1205" w:type="dxa"/>
            <w:shd w:val="clear" w:color="auto" w:fill="F2DFCE"/>
          </w:tcPr>
          <w:p>
            <w:pPr>
              <w:pStyle w:val="Celda"/>
            </w:pPr>
            <w:r>
              <w:rPr>
                <w:b/>
              </w:rPr>
              <w:t xml:space="preserve">Justification with own data</w:t>
            </w:r>
          </w:p>
        </w:tc>
        <w:tc>
          <w:tcPr>
            <w:tcW w:w="1205" w:type="dxa"/>
            <w:shd w:val="clear" w:color="auto" w:fill="F2DFCE"/>
          </w:tcPr>
          <w:p>
            <w:pPr>
              <w:pStyle w:val="Celda"/>
            </w:pPr>
            <w:r>
              <w:rPr>
                <w:b/>
              </w:rPr>
              <w:t xml:space="preserve">Previous period recalculated (Yes · No)</w:t>
            </w:r>
          </w:p>
        </w:tc>
        <w:tc>
          <w:tcPr>
            <w:tcW w:w="1205" w:type="dxa"/>
            <w:shd w:val="clear" w:color="auto" w:fill="F2DFCE"/>
          </w:tcPr>
          <w:p>
            <w:pPr>
              <w:pStyle w:val="Celda"/>
            </w:pPr>
            <w:r>
              <w:rPr>
                <w:b/>
              </w:rPr>
              <w:t xml:space="preserve">Internal audit check: not proposed to improve the year's result</w:t>
            </w:r>
          </w:p>
        </w:tc>
        <w:tc>
          <w:tcPr>
            <w:tcW w:w="1205" w:type="dxa"/>
            <w:shd w:val="clear" w:color="auto" w:fill="F2DFCE"/>
          </w:tcPr>
          <w:p>
            <w:pPr>
              <w:pStyle w:val="Celda"/>
            </w:pPr>
            <w:r>
              <w:rPr>
                <w:b/>
              </w:rPr>
              <w:t xml:space="preserve">Approved by and date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0.2</w:t>
            </w:r>
          </w:p>
        </w:tc>
        <w:tc>
          <w:tcPr>
            <w:tcW w:w="1205" w:type="dxa"/>
          </w:tcPr>
          <w:p>
            <w:pPr>
              <w:pStyle w:val="Celda"/>
            </w:pPr>
            <w:r>
              <w:t xml:space="preserve">Signal 6 · AI-enabled revenue, level 2 threshold</w:t>
            </w:r>
          </w:p>
        </w:tc>
        <w:tc>
          <w:tcPr>
            <w:tcW w:w="1205" w:type="dxa"/>
          </w:tcPr>
          <w:p>
            <w:pPr>
              <w:pStyle w:val="Celda"/>
            </w:pPr>
            <w:r>
              <w:t xml:space="preserve">0.5 %</w:t>
            </w:r>
          </w:p>
        </w:tc>
        <w:tc>
          <w:tcPr>
            <w:tcW w:w="1205" w:type="dxa"/>
          </w:tcPr>
          <w:p>
            <w:pPr>
              <w:pStyle w:val="Celda"/>
            </w:pPr>
            <w:r>
              <w:t xml:space="preserve">0.3 %</w:t>
            </w:r>
          </w:p>
        </w:tc>
        <w:tc>
          <w:tcPr>
            <w:tcW w:w="1205" w:type="dxa"/>
          </w:tcPr>
          <w:p>
            <w:pPr>
              <w:pStyle w:val="Celda"/>
            </w:pPr>
            <w:r>
              <w:t xml:space="preserve">Low-margin sector; distribution of four quarterly calculations</w:t>
            </w:r>
          </w:p>
        </w:tc>
        <w:tc>
          <w:tcPr>
            <w:tcW w:w="1205" w:type="dxa"/>
          </w:tcPr>
          <w:p>
            <w:pPr>
              <w:pStyle w:val="Celda"/>
            </w:pPr>
            <w:r>
              <w:t xml:space="preserve">Yes</w:t>
            </w:r>
          </w:p>
        </w:tc>
        <w:tc>
          <w:tcPr>
            <w:tcW w:w="1205" w:type="dxa"/>
          </w:tcPr>
          <w:p>
            <w:pPr>
              <w:pStyle w:val="Celda"/>
            </w:pPr>
            <w:r>
              <w:t xml:space="preserve">Conformant</w:t>
            </w:r>
          </w:p>
        </w:tc>
        <w:tc>
          <w:tcPr>
            <w:tcW w:w="1205" w:type="dxa"/>
          </w:tcPr>
          <w:p>
            <w:pPr>
              <w:pStyle w:val="Celda"/>
            </w:pPr>
            <w:r>
              <w:t xml:space="preserve">Board, 15-12-2027</w:t>
            </w:r>
          </w:p>
        </w:tc>
      </w:tr>
    </w:tbl>
    <w:p>
      <w:pPr>
        <w:pStyle w:val="Espacio"/>
      </w:pPr>
    </w:p>
    <w:p>
      <w:r>
        <w:t xml:space="preserve">A company that declares that it applies SEVEN-G states its deviations from the framework's thresholds (12 §8).</w:t>
      </w:r>
    </w:p>
    <w:p>
      <w:pPr>
        <w:pStyle w:val="Separador"/>
      </w:pPr>
    </w:p>
    <w:p>
      <w:pPr>
        <w:pStyle w:val="Heading1"/>
      </w:pPr>
      <w:r>
        <w:t xml:space="preserve">15. Quality criteria</w:t>
      </w:r>
    </w:p>
    <w:p>
      <w:r>
        <w:t xml:space="preserve">Criteria in 13 §14, which the AI Auditor or internal audit checks before approval.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Diagnostic basis: each component cites the C1 results on which it is based, with explicit "no data".</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Completeness: the twelve components in 13 §2 are present, or their absence is justified.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Renunciations: the thesis includes what will not be done and there are non-priority or low-priority spheres.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Ambition–budget consistency: every sphere with Transform has an envelope and a candidate; the bands are compatible with the thesis.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No mixing of levels: spheres 08 and 09 have grades, not ambition levels.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Measurable appetite: each category has a grade, a statement and at least one metric with formula, tolerance and limit.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Proportionality: the economic thresholds are expressed on a reference measure and in euros.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Regulatory limits: the time limits do not exceed the regulatory ones; the red lines include the minimum in 13 §11.</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Owners: each sphere and each category has an owner from senior management.</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Review: there is an annual review date, triggers for extraordinary review and a recorded threshold version.</w:t>
            </w:r>
          </w:p>
        </w:tc>
        <w:tc>
          <w:tcPr>
            <w:tcW w:w="3213" w:type="dxa"/>
          </w:tcPr>
          <w:p>
            <w:pPr>
              <w:pStyle w:val="Celda"/>
            </w:pPr>
          </w:p>
        </w:tc>
      </w:tr>
      <w:tr>
        <w:tc>
          <w:tcPr>
            <w:tcW w:w="3213" w:type="dxa"/>
          </w:tcPr>
          <w:p>
            <w:pPr>
              <w:pStyle w:val="Celda"/>
            </w:pPr>
            <w:r>
              <w:t xml:space="preserve">11</w:t>
            </w:r>
          </w:p>
        </w:tc>
        <w:tc>
          <w:tcPr>
            <w:tcW w:w="3213" w:type="dxa"/>
          </w:tcPr>
          <w:p>
            <w:pPr>
              <w:pStyle w:val="Celda"/>
            </w:pPr>
            <w:r>
              <w:t xml:space="preserve">Indicators: the selection includes the minimum set in 41 §19 or justifies the exclusions, each indicator has a target, threshold, frequency, owner and source, and the company's own indicators have the record in 41 §5.</w:t>
            </w:r>
          </w:p>
        </w:tc>
        <w:tc>
          <w:tcPr>
            <w:tcW w:w="3213" w:type="dxa"/>
          </w:tcPr>
          <w:p>
            <w:pPr>
              <w:pStyle w:val="Celda"/>
            </w:pPr>
          </w:p>
        </w:tc>
      </w:tr>
    </w:tbl>
    <w:p>
      <w:pPr>
        <w:pStyle w:val="Espacio"/>
      </w:pPr>
    </w:p>
    <w:p>
      <w:pPr>
        <w:pStyle w:val="Separador"/>
      </w:pPr>
    </w:p>
    <w:p>
      <w:pPr>
        <w:pStyle w:val="Heading1"/>
      </w:pPr>
      <w:r>
        <w:t xml:space="preserve">16.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Senior management, with the 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Gives clearance on the risk appetite</w:t>
            </w:r>
          </w:p>
        </w:tc>
        <w:tc>
          <w:tcPr>
            <w:tcW w:w="1928" w:type="dxa"/>
          </w:tcPr>
          <w:p>
            <w:pPr>
              <w:pStyle w:val="Celda"/>
            </w:pPr>
            <w:r>
              <w:t xml:space="preserve">Second line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Auditor or internal audit</w:t>
            </w:r>
          </w:p>
        </w:tc>
        <w:tc>
          <w:tcPr>
            <w:tcW w:w="1928" w:type="dxa"/>
          </w:tcPr>
          <w:p>
            <w:pPr>
              <w:pStyle w:val="Celda"/>
            </w:pPr>
          </w:p>
        </w:tc>
        <w:tc>
          <w:tcPr>
            <w:tcW w:w="1928" w:type="dxa"/>
          </w:tcPr>
          <w:p>
            <w:pPr>
              <w:pStyle w:val="Celda"/>
            </w:pPr>
          </w:p>
        </w:tc>
        <w:tc>
          <w:tcPr>
            <w:tcW w:w="1928" w:type="dxa"/>
          </w:tcPr>
          <w:p>
            <w:pPr>
              <w:pStyle w:val="Celda"/>
            </w:pPr>
            <w:r>
              <w:t xml:space="preserve">Result: Conformant · Conformant with observations · Nonconformant</w:t>
            </w:r>
          </w:p>
        </w:tc>
      </w:tr>
      <w:tr>
        <w:tc>
          <w:tcPr>
            <w:tcW w:w="1928" w:type="dxa"/>
          </w:tcPr>
          <w:p>
            <w:pPr>
              <w:pStyle w:val="Celda"/>
            </w:pPr>
            <w:r>
              <w:t xml:space="preserve">Approves</w:t>
            </w:r>
          </w:p>
        </w:tc>
        <w:tc>
          <w:tcPr>
            <w:tcW w:w="1928" w:type="dxa"/>
          </w:tcPr>
          <w:p>
            <w:pPr>
              <w:pStyle w:val="Celda"/>
            </w:pPr>
            <w:r>
              <w:t xml:space="preserve">Board or committee with delegated powers</w:t>
            </w:r>
          </w:p>
        </w:tc>
        <w:tc>
          <w:tcPr>
            <w:tcW w:w="1928" w:type="dxa"/>
          </w:tcPr>
          <w:p>
            <w:pPr>
              <w:pStyle w:val="Celda"/>
            </w:pPr>
          </w:p>
        </w:tc>
        <w:tc>
          <w:tcPr>
            <w:tcW w:w="1928" w:type="dxa"/>
          </w:tcPr>
          <w:p>
            <w:pPr>
              <w:pStyle w:val="Celda"/>
            </w:pPr>
          </w:p>
        </w:tc>
        <w:tc>
          <w:tcPr>
            <w:tcW w:w="1928" w:type="dxa"/>
          </w:tcPr>
          <w:p>
            <w:pPr>
              <w:pStyle w:val="Celda"/>
            </w:pPr>
            <w:r>
              <w:t xml:space="preserve">Reference to the minutes · DEC-AAAA-NNN</w:t>
            </w:r>
          </w:p>
        </w:tc>
      </w:tr>
      <w:tr>
        <w:tc>
          <w:tcPr>
            <w:tcW w:w="1928" w:type="dxa"/>
          </w:tcPr>
          <w:p>
            <w:pPr>
              <w:pStyle w:val="Celda"/>
            </w:pPr>
            <w:r>
              <w:t xml:space="preserve">Records and communicates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r>
              <w:t xml:space="preserve">T18; parameters updated in the tools</w:t>
            </w:r>
          </w:p>
        </w:tc>
      </w:tr>
    </w:tbl>
    <w:p>
      <w:pPr>
        <w:pStyle w:val="Espacio"/>
      </w:pPr>
    </w:p>
    <w:p>
      <w:r>
        <w:t xml:space="preserve">Segregation of duties: whoever prepares the document does not verify it; approval of the thesis, risk appetite, framework budget and red lines is not delegated to any AI system (13 §11.2).</w:t>
      </w:r>
    </w:p>
    <w:p>
      <w:pPr>
        <w:pStyle w:val="Separador"/>
      </w:pPr>
    </w:p>
    <w:p>
      <w:pPr>
        <w:pStyle w:val="Heading1"/>
      </w:pPr>
      <w:r>
        <w:t xml:space="preserve">17.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Extracts the annex in 13 §15 (tool T19) as a fillable template, incorporates the quality criteria in 13 §14 and adds the approved indicator selection (41 §1, §5, §19 and §20) and the threshold version register in 12 §8 and 13 §13.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P35 · AI thesis and risk appetite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P35 · AI thesis and risk appetite</dc:title>
  <dc:creator>Fernando García Varela</dc:creator>
  <dc:language>en</dc:language>
  <dc:description>sha256:3de8e54fca90e7892456f3758fc373caeedb541f34d2ba8e93f23288dd503e19</dc:description>
  <cp:keywords>SEVEN-G</cp:keywords>
</cp:coreProperties>
</file>