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Quarterly second-line report</w:t>
      </w:r>
    </w:p>
    <w:p>
      <w:r>
        <w:rPr>
          <w:b/>
        </w:rPr>
        <w:t xml:space="preserve">Reports each quarter to the board committee, or the committee that replaces it, on portfolio risks, incidents, nonconformities, exceptions, the inventory reconciliation and regulatory changes, with the decisions it is asked to take.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P42 · Quarterly second-line report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board committee oversees the effectiveness of control over AI, but it can only do so with an overall view that no single initiative provides: risks concentrating on one supplier or model, recurring incidents, overdue nonconformities, exceptions that never end, systems appearing outside the inventory or regulations that change. This report is the second line's contribution to C4 (30 §6.3) and turns that view into specific decisions for the committee.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Once a quarter, before the board committee meeting (C4), with the same cut-off date as the board pack (60 §7.2). A partial report is brought forward if there is an S1 incident or a critical nonconformity.</w:t>
            </w:r>
          </w:p>
        </w:tc>
      </w:tr>
      <w:tr>
        <w:tc>
          <w:tcPr>
            <w:tcW w:w="4819" w:type="dxa"/>
          </w:tcPr>
          <w:p>
            <w:pPr>
              <w:pStyle w:val="Celda"/>
            </w:pPr>
            <w:r>
              <w:rPr>
                <w:b/>
              </w:rPr>
              <w:t xml:space="preserve">Who completes it</w:t>
            </w:r>
          </w:p>
        </w:tc>
        <w:tc>
          <w:tcPr>
            <w:tcW w:w="4819" w:type="dxa"/>
          </w:tcPr>
          <w:p>
            <w:pPr>
              <w:pStyle w:val="Celda"/>
            </w:pPr>
            <w:r>
              <w:t xml:space="preserve">The second-line coordinator for AI (accountable and responsible, 30 §6.3), with the AI Risk Owners, security, data protection and compliance; the AI Office provides the data from T01, T02, T06, T08, T09 and T21.</w:t>
            </w:r>
          </w:p>
        </w:tc>
      </w:tr>
      <w:tr>
        <w:tc>
          <w:tcPr>
            <w:tcW w:w="4819" w:type="dxa"/>
          </w:tcPr>
          <w:p>
            <w:pPr>
              <w:pStyle w:val="Celda"/>
            </w:pPr>
            <w:r>
              <w:rPr>
                <w:b/>
              </w:rPr>
              <w:t xml:space="preserve">Who verifies it</w:t>
            </w:r>
          </w:p>
        </w:tc>
        <w:tc>
          <w:tcPr>
            <w:tcW w:w="4819" w:type="dxa"/>
          </w:tcPr>
          <w:p>
            <w:pPr>
              <w:pStyle w:val="Celda"/>
            </w:pPr>
            <w:r>
              <w:t xml:space="preserve">The third line is consulted (30 §6.3); the AI Committee sees it before it is sent and may add its position, without changing the content.</w:t>
            </w:r>
          </w:p>
        </w:tc>
      </w:tr>
      <w:tr>
        <w:tc>
          <w:tcPr>
            <w:tcW w:w="4819" w:type="dxa"/>
          </w:tcPr>
          <w:p>
            <w:pPr>
              <w:pStyle w:val="Celda"/>
            </w:pPr>
            <w:r>
              <w:rPr>
                <w:b/>
              </w:rPr>
              <w:t xml:space="preserve">Who decides or approves</w:t>
            </w:r>
          </w:p>
        </w:tc>
        <w:tc>
          <w:tcPr>
            <w:tcW w:w="4819" w:type="dxa"/>
          </w:tcPr>
          <w:p>
            <w:pPr>
              <w:pStyle w:val="Celda"/>
            </w:pPr>
            <w:r>
              <w:t xml:space="preserve">The board committee oversees and decides on the proposals in section 11.</w:t>
            </w:r>
          </w:p>
        </w:tc>
      </w:tr>
      <w:tr>
        <w:tc>
          <w:tcPr>
            <w:tcW w:w="4819" w:type="dxa"/>
          </w:tcPr>
          <w:p>
            <w:pPr>
              <w:pStyle w:val="Celda"/>
            </w:pPr>
            <w:r>
              <w:rPr>
                <w:b/>
              </w:rPr>
              <w:t xml:space="preserve">Corporate cycle stage</w:t>
            </w:r>
          </w:p>
        </w:tc>
        <w:tc>
          <w:tcPr>
            <w:tcW w:w="4819" w:type="dxa"/>
          </w:tcPr>
          <w:p>
            <w:pPr>
              <w:pStyle w:val="Celda"/>
            </w:pPr>
            <w:r>
              <w:t xml:space="preserve">C4 · Oversight (quarterly). The fourth quarter feeds C5.</w:t>
            </w:r>
          </w:p>
        </w:tc>
      </w:tr>
      <w:tr>
        <w:tc>
          <w:tcPr>
            <w:tcW w:w="4819" w:type="dxa"/>
          </w:tcPr>
          <w:p>
            <w:pPr>
              <w:pStyle w:val="Celda"/>
            </w:pPr>
            <w:r>
              <w:rPr>
                <w:b/>
              </w:rPr>
              <w:t xml:space="preserve">Tool</w:t>
            </w:r>
          </w:p>
        </w:tc>
        <w:tc>
          <w:tcPr>
            <w:tcW w:w="4819" w:type="dxa"/>
          </w:tcPr>
          <w:p>
            <w:pPr>
              <w:pStyle w:val="Celda"/>
            </w:pPr>
            <w:r>
              <w:t xml:space="preserve">T06 (risks), T08 (incidents and nonconformities), T02 (inventory), T09 (suppliers), T21 (corporate use), T01 (exceptions and conditions) and T18 (decisions).</w:t>
            </w:r>
          </w:p>
        </w:tc>
      </w:tr>
      <w:tr>
        <w:tc>
          <w:tcPr>
            <w:tcW w:w="4819" w:type="dxa"/>
          </w:tcPr>
          <w:p>
            <w:pPr>
              <w:pStyle w:val="Celda"/>
            </w:pPr>
            <w:r>
              <w:rPr>
                <w:b/>
              </w:rPr>
              <w:t xml:space="preserve">Reference document</w:t>
            </w:r>
          </w:p>
        </w:tc>
        <w:tc>
          <w:tcPr>
            <w:tcW w:w="4819" w:type="dxa"/>
          </w:tcPr>
          <w:p>
            <w:pPr>
              <w:pStyle w:val="Celda"/>
            </w:pPr>
            <w:r>
              <w:t xml:space="preserve">30 §3.2 and §6.3; 32 §9; 33 §10–12; 34 §10.3; 37 §9; 60 §4.5–4.6.</w:t>
            </w:r>
          </w:p>
        </w:tc>
      </w:tr>
    </w:tbl>
    <w:p>
      <w:pPr>
        <w:pStyle w:val="Espacio"/>
      </w:pPr>
    </w:p>
    <w:p>
      <w:r>
        <w:t xml:space="preserve">Completion rules:</w:t>
      </w:r>
    </w:p>
    <w:p>
      <w:pPr>
        <w:pStyle w:val="Lista"/>
      </w:pPr>
      <w:r>
        <w:t xml:space="preserve">• Business language: what may happen, whom it affects, what is being done and what decision is requested; no unprioritised technical listings (33 §12).</w:t>
      </w:r>
    </w:p>
    <w:p>
      <w:pPr>
        <w:pStyle w:val="Lista"/>
      </w:pPr>
      <w:r>
        <w:t xml:space="preserve">• Scales of the common specification §5.1 (risk), §5.5 (S1–S4 severity) and 01 §12 (minor, major and critical nonconformities).</w:t>
      </w:r>
    </w:p>
    <w:p>
      <w:pPr>
        <w:pStyle w:val="Lista"/>
      </w:pPr>
      <w:r>
        <w:t xml:space="preserve">• </w:t>
      </w:r>
      <w:r>
        <w:rPr>
          <w:b/>
        </w:rPr>
        <w:t xml:space="preserve">Confirmed facts</w:t>
      </w:r>
      <w:r>
        <w:t xml:space="preserve"> are always distinguished from </w:t>
      </w:r>
      <w:r>
        <w:rPr>
          <w:b/>
        </w:rPr>
        <w:t xml:space="preserve">assessments in progress</w:t>
      </w:r>
      <w:r>
        <w:t xml:space="preserve"> (37 §9).</w:t>
      </w:r>
    </w:p>
    <w:p>
      <w:pPr>
        <w:pStyle w:val="Lista"/>
      </w:pPr>
      <w:r>
        <w:t xml:space="preserve">• Regulatory changes carry a consultation date; the report does not constitute legal advice.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Period</w:t>
            </w:r>
          </w:p>
        </w:tc>
        <w:tc>
          <w:tcPr>
            <w:tcW w:w="3213" w:type="dxa"/>
          </w:tcPr>
          <w:p>
            <w:pPr>
              <w:pStyle w:val="Celda"/>
            </w:pPr>
          </w:p>
        </w:tc>
        <w:tc>
          <w:tcPr>
            <w:tcW w:w="3213" w:type="dxa"/>
          </w:tcPr>
          <w:p>
            <w:pPr>
              <w:pStyle w:val="Celda"/>
            </w:pPr>
            <w:r>
              <w:t xml:space="preserve">AAAA-Qn.</w:t>
            </w:r>
          </w:p>
        </w:tc>
      </w:tr>
      <w:tr>
        <w:tc>
          <w:tcPr>
            <w:tcW w:w="3213" w:type="dxa"/>
          </w:tcPr>
          <w:p>
            <w:pPr>
              <w:pStyle w:val="Celda"/>
            </w:pPr>
            <w:r>
              <w:t xml:space="preserve">Data cut-off date</w:t>
            </w:r>
          </w:p>
        </w:tc>
        <w:tc>
          <w:tcPr>
            <w:tcW w:w="3213" w:type="dxa"/>
          </w:tcPr>
          <w:p>
            <w:pPr>
              <w:pStyle w:val="Celda"/>
            </w:pPr>
          </w:p>
        </w:tc>
        <w:tc>
          <w:tcPr>
            <w:tcW w:w="3213" w:type="dxa"/>
          </w:tcPr>
          <w:p>
            <w:pPr>
              <w:pStyle w:val="Celda"/>
            </w:pPr>
          </w:p>
        </w:tc>
      </w:tr>
      <w:tr>
        <w:tc>
          <w:tcPr>
            <w:tcW w:w="3213" w:type="dxa"/>
          </w:tcPr>
          <w:p>
            <w:pPr>
              <w:pStyle w:val="Celda"/>
            </w:pPr>
            <w:r>
              <w:t xml:space="preserve">Addressee</w:t>
            </w:r>
          </w:p>
        </w:tc>
        <w:tc>
          <w:tcPr>
            <w:tcW w:w="3213" w:type="dxa"/>
          </w:tcPr>
          <w:p>
            <w:pPr>
              <w:pStyle w:val="Celda"/>
            </w:pPr>
          </w:p>
        </w:tc>
        <w:tc>
          <w:tcPr>
            <w:tcW w:w="3213" w:type="dxa"/>
          </w:tcPr>
          <w:p>
            <w:pPr>
              <w:pStyle w:val="Celda"/>
            </w:pPr>
            <w:r>
              <w:t xml:space="preserve">[Audit / Risk / Technology Committee] or the board if there is no committee.</w:t>
            </w:r>
          </w:p>
        </w:tc>
      </w:tr>
      <w:tr>
        <w:tc>
          <w:tcPr>
            <w:tcW w:w="3213" w:type="dxa"/>
          </w:tcPr>
          <w:p>
            <w:pPr>
              <w:pStyle w:val="Celda"/>
            </w:pPr>
            <w:r>
              <w:t xml:space="preserve">Meeting at which it is presented</w:t>
            </w:r>
          </w:p>
        </w:tc>
        <w:tc>
          <w:tcPr>
            <w:tcW w:w="3213" w:type="dxa"/>
          </w:tcPr>
          <w:p>
            <w:pPr>
              <w:pStyle w:val="Celda"/>
            </w:pPr>
          </w:p>
        </w:tc>
        <w:tc>
          <w:tcPr>
            <w:tcW w:w="3213" w:type="dxa"/>
          </w:tcPr>
          <w:p>
            <w:pPr>
              <w:pStyle w:val="Celda"/>
            </w:pPr>
            <w:r>
              <w:t xml:space="preserve">Minutes reference (P39).</w:t>
            </w:r>
          </w:p>
        </w:tc>
      </w:tr>
      <w:tr>
        <w:tc>
          <w:tcPr>
            <w:tcW w:w="3213" w:type="dxa"/>
          </w:tcPr>
          <w:p>
            <w:pPr>
              <w:pStyle w:val="Celda"/>
            </w:pPr>
            <w:r>
              <w:t xml:space="preserve">Prepared by</w:t>
            </w:r>
          </w:p>
        </w:tc>
        <w:tc>
          <w:tcPr>
            <w:tcW w:w="3213" w:type="dxa"/>
          </w:tcPr>
          <w:p>
            <w:pPr>
              <w:pStyle w:val="Celda"/>
            </w:pPr>
          </w:p>
        </w:tc>
        <w:tc>
          <w:tcPr>
            <w:tcW w:w="3213" w:type="dxa"/>
          </w:tcPr>
          <w:p>
            <w:pPr>
              <w:pStyle w:val="Celda"/>
            </w:pPr>
            <w:r>
              <w:t xml:space="preserve">Second-line coordinator for AI.</w:t>
            </w:r>
          </w:p>
        </w:tc>
      </w:tr>
      <w:tr>
        <w:tc>
          <w:tcPr>
            <w:tcW w:w="3213" w:type="dxa"/>
          </w:tcPr>
          <w:p>
            <w:pPr>
              <w:pStyle w:val="Celda"/>
            </w:pPr>
            <w:r>
              <w:t xml:space="preserve">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Key message and decisions requested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Key message</w:t>
            </w:r>
          </w:p>
        </w:tc>
        <w:tc>
          <w:tcPr>
            <w:tcW w:w="3213" w:type="dxa"/>
          </w:tcPr>
          <w:p>
            <w:pPr>
              <w:pStyle w:val="Celda"/>
            </w:pPr>
          </w:p>
        </w:tc>
        <w:tc>
          <w:tcPr>
            <w:tcW w:w="3213" w:type="dxa"/>
          </w:tcPr>
          <w:p>
            <w:pPr>
              <w:pStyle w:val="Celda"/>
            </w:pPr>
            <w:r>
              <w:t xml:space="preserve">Three lines using the response format: "Yes" · "Yes, with one condition: …" · "Not yet, because … is missing" · "No, because …". Answers "is AI within the risk appetite?".</w:t>
            </w:r>
          </w:p>
        </w:tc>
      </w:tr>
      <w:tr>
        <w:tc>
          <w:tcPr>
            <w:tcW w:w="3213" w:type="dxa"/>
          </w:tcPr>
          <w:p>
            <w:pPr>
              <w:pStyle w:val="Celda"/>
            </w:pPr>
            <w:r>
              <w:t xml:space="preserve">Changes since the previous quarter</w:t>
            </w:r>
          </w:p>
        </w:tc>
        <w:tc>
          <w:tcPr>
            <w:tcW w:w="3213" w:type="dxa"/>
          </w:tcPr>
          <w:p>
            <w:pPr>
              <w:pStyle w:val="Celda"/>
            </w:pPr>
          </w:p>
        </w:tc>
        <w:tc>
          <w:tcPr>
            <w:tcW w:w="3213" w:type="dxa"/>
          </w:tcPr>
          <w:p>
            <w:pPr>
              <w:pStyle w:val="Celda"/>
            </w:pPr>
          </w:p>
        </w:tc>
      </w:tr>
      <w:tr>
        <w:tc>
          <w:tcPr>
            <w:tcW w:w="3213" w:type="dxa"/>
          </w:tcPr>
          <w:p>
            <w:pPr>
              <w:pStyle w:val="Celda"/>
            </w:pPr>
            <w:r>
              <w:t xml:space="preserve">Decisions requested</w:t>
            </w:r>
          </w:p>
        </w:tc>
        <w:tc>
          <w:tcPr>
            <w:tcW w:w="3213" w:type="dxa"/>
          </w:tcPr>
          <w:p>
            <w:pPr>
              <w:pStyle w:val="Celda"/>
            </w:pPr>
          </w:p>
        </w:tc>
        <w:tc>
          <w:tcPr>
            <w:tcW w:w="3213" w:type="dxa"/>
          </w:tcPr>
          <w:p>
            <w:pPr>
              <w:pStyle w:val="Celda"/>
            </w:pPr>
            <w:r>
              <w:t xml:space="preserve">List with DEC code and one line; if there are none, this is stated expressly.</w:t>
            </w:r>
          </w:p>
        </w:tc>
      </w:tr>
      <w:tr>
        <w:tc>
          <w:tcPr>
            <w:tcW w:w="3213" w:type="dxa"/>
          </w:tcPr>
          <w:p>
            <w:pPr>
              <w:pStyle w:val="Celda"/>
            </w:pPr>
            <w:r>
              <w:rPr>
                <w:i/>
              </w:rPr>
              <w:t xml:space="preserve">(illustrative example)</w:t>
            </w:r>
            <w:r>
              <w:t xml:space="preserve"> Key message</w:t>
            </w:r>
          </w:p>
        </w:tc>
        <w:tc>
          <w:tcPr>
            <w:tcW w:w="3213" w:type="dxa"/>
          </w:tcPr>
          <w:p>
            <w:pPr>
              <w:pStyle w:val="Celda"/>
            </w:pPr>
            <w:r>
              <w:t xml:space="preserve">Yes, with one condition: that the exit plan for the main model supplier, on which 62% of validated value depends, is approved.</w:t>
            </w:r>
          </w:p>
        </w:tc>
        <w:tc>
          <w:tcPr>
            <w:tcW w:w="3213" w:type="dxa"/>
          </w:tcPr>
          <w:p>
            <w:pPr>
              <w:pStyle w:val="Celda"/>
            </w:pPr>
          </w:p>
        </w:tc>
      </w:tr>
    </w:tbl>
    <w:p>
      <w:pPr>
        <w:pStyle w:val="Espacio"/>
      </w:pPr>
    </w:p>
    <w:p>
      <w:pPr>
        <w:pStyle w:val="Separador"/>
      </w:pPr>
    </w:p>
    <w:p>
      <w:pPr>
        <w:pStyle w:val="Heading1"/>
      </w:pPr>
      <w:r>
        <w:t xml:space="preserve">4. Portfolio risks</w:t>
      </w:r>
    </w:p>
    <w:p>
      <w:pPr>
        <w:pStyle w:val="Heading2"/>
      </w:pPr>
      <w:r>
        <w:t xml:space="preserve">4.1 Critical and High residual risks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Risk (initiative · Rnn)</w:t>
            </w:r>
          </w:p>
        </w:tc>
        <w:tc>
          <w:tcPr>
            <w:tcW w:w="1205" w:type="dxa"/>
            <w:shd w:val="clear" w:color="auto" w:fill="F2DFCE"/>
          </w:tcPr>
          <w:p>
            <w:pPr>
              <w:pStyle w:val="Celda"/>
            </w:pPr>
            <w:r>
              <w:rPr>
                <w:b/>
              </w:rPr>
              <w:t xml:space="preserve">Typical risk</w:t>
            </w:r>
          </w:p>
        </w:tc>
        <w:tc>
          <w:tcPr>
            <w:tcW w:w="1205" w:type="dxa"/>
            <w:shd w:val="clear" w:color="auto" w:fill="F2DFCE"/>
          </w:tcPr>
          <w:p>
            <w:pPr>
              <w:pStyle w:val="Celda"/>
            </w:pPr>
            <w:r>
              <w:rPr>
                <w:b/>
              </w:rPr>
              <w:t xml:space="preserve">Inherent level</w:t>
            </w:r>
          </w:p>
        </w:tc>
        <w:tc>
          <w:tcPr>
            <w:tcW w:w="1205" w:type="dxa"/>
            <w:shd w:val="clear" w:color="auto" w:fill="F2DFCE"/>
          </w:tcPr>
          <w:p>
            <w:pPr>
              <w:pStyle w:val="Celda"/>
            </w:pPr>
            <w:r>
              <w:rPr>
                <w:b/>
              </w:rPr>
              <w:t xml:space="preserve">Residual level</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Controls and effectiveness</w:t>
            </w:r>
          </w:p>
        </w:tc>
        <w:tc>
          <w:tcPr>
            <w:tcW w:w="1205" w:type="dxa"/>
            <w:shd w:val="clear" w:color="auto" w:fill="F2DFCE"/>
          </w:tcPr>
          <w:p>
            <w:pPr>
              <w:pStyle w:val="Celda"/>
            </w:pPr>
            <w:r>
              <w:rPr>
                <w:b/>
              </w:rPr>
              <w:t xml:space="preserve">Accepted by and validity</w:t>
            </w:r>
          </w:p>
        </w:tc>
        <w:tc>
          <w:tcPr>
            <w:tcW w:w="1205" w:type="dxa"/>
            <w:shd w:val="clear" w:color="auto" w:fill="F2DFCE"/>
          </w:tcPr>
          <w:p>
            <w:pPr>
              <w:pStyle w:val="Celda"/>
            </w:pPr>
            <w:r>
              <w:rPr>
                <w:b/>
              </w:rPr>
              <w:t xml:space="preserve">Next review</w:t>
            </w:r>
          </w:p>
        </w:tc>
      </w:tr>
      <w:tr>
        <w:tc>
          <w:tcPr>
            <w:tcW w:w="1205" w:type="dxa"/>
          </w:tcPr>
          <w:p>
            <w:pPr>
              <w:pStyle w:val="Celda"/>
            </w:pPr>
            <w:r>
              <w:t xml:space="preserve">IA-AAAA-NNN · R01</w:t>
            </w:r>
          </w:p>
        </w:tc>
        <w:tc>
          <w:tcPr>
            <w:tcW w:w="1205" w:type="dxa"/>
          </w:tcPr>
          <w:p>
            <w:pPr>
              <w:pStyle w:val="Celda"/>
            </w:pPr>
            <w:r>
              <w:t xml:space="preserve">RT-XXX-NN</w:t>
            </w:r>
          </w:p>
        </w:tc>
        <w:tc>
          <w:tcPr>
            <w:tcW w:w="1205" w:type="dxa"/>
          </w:tcPr>
          <w:p>
            <w:pPr>
              <w:pStyle w:val="Celda"/>
            </w:pPr>
          </w:p>
        </w:tc>
        <w:tc>
          <w:tcPr>
            <w:tcW w:w="1205" w:type="dxa"/>
          </w:tcPr>
          <w:p>
            <w:pPr>
              <w:pStyle w:val="Celda"/>
            </w:pPr>
            <w:r>
              <w:t xml:space="preserve">High · Critical</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Heading2"/>
      </w:pPr>
      <w:r>
        <w:t xml:space="preserve">4.2 Concentration</w:t>
      </w:r>
    </w:p>
    <w:p>
      <w:r>
        <w:t xml:space="preserve">Factors from 33 §10.1 and 14 §9; thresholds approved in C2.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Factor</w:t>
            </w:r>
          </w:p>
        </w:tc>
        <w:tc>
          <w:tcPr>
            <w:tcW w:w="1928" w:type="dxa"/>
            <w:shd w:val="clear" w:color="auto" w:fill="F2DFCE"/>
          </w:tcPr>
          <w:p>
            <w:pPr>
              <w:pStyle w:val="Celda"/>
            </w:pPr>
            <w:r>
              <w:rPr>
                <w:b/>
              </w:rPr>
              <w:t xml:space="preserve">Situation in the quarter</w:t>
            </w:r>
          </w:p>
        </w:tc>
        <w:tc>
          <w:tcPr>
            <w:tcW w:w="1928" w:type="dxa"/>
            <w:shd w:val="clear" w:color="auto" w:fill="F2DFCE"/>
          </w:tcPr>
          <w:p>
            <w:pPr>
              <w:pStyle w:val="Celda"/>
            </w:pPr>
            <w:r>
              <w:rPr>
                <w:b/>
              </w:rPr>
              <w:t xml:space="preserve">C2 threshold</w:t>
            </w:r>
          </w:p>
        </w:tc>
        <w:tc>
          <w:tcPr>
            <w:tcW w:w="1928" w:type="dxa"/>
            <w:shd w:val="clear" w:color="auto" w:fill="F2DFCE"/>
          </w:tcPr>
          <w:p>
            <w:pPr>
              <w:pStyle w:val="Celda"/>
            </w:pPr>
            <w:r>
              <w:rPr>
                <w:b/>
              </w:rPr>
              <w:t xml:space="preserve">Alert? (Yes · No)</w:t>
            </w:r>
          </w:p>
        </w:tc>
        <w:tc>
          <w:tcPr>
            <w:tcW w:w="1928" w:type="dxa"/>
            <w:shd w:val="clear" w:color="auto" w:fill="F2DFCE"/>
          </w:tcPr>
          <w:p>
            <w:pPr>
              <w:pStyle w:val="Celda"/>
            </w:pPr>
            <w:r>
              <w:rPr>
                <w:b/>
              </w:rPr>
              <w:t xml:space="preserve">Proposed measure</w:t>
            </w:r>
          </w:p>
        </w:tc>
      </w:tr>
      <w:tr>
        <w:tc>
          <w:tcPr>
            <w:tcW w:w="1928" w:type="dxa"/>
          </w:tcPr>
          <w:p>
            <w:pPr>
              <w:pStyle w:val="Celda"/>
            </w:pPr>
            <w:r>
              <w:t xml:space="preserve">Model supplier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Platform and cloud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Critical function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People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Sphere and ambition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4.3 Correlation: portfolio scenarios</w:t>
      </w:r>
    </w:p>
    <w:p>
      <w:r>
        <w:t xml:space="preserve">Assessed with the matrix in 33 §4: sum of the economic impacts of the affected systems and worst impact on the other axes (33 §10.2).</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Scenario</w:t>
            </w:r>
          </w:p>
        </w:tc>
        <w:tc>
          <w:tcPr>
            <w:tcW w:w="1606" w:type="dxa"/>
            <w:shd w:val="clear" w:color="auto" w:fill="F2DFCE"/>
          </w:tcPr>
          <w:p>
            <w:pPr>
              <w:pStyle w:val="Celda"/>
            </w:pPr>
            <w:r>
              <w:rPr>
                <w:b/>
              </w:rPr>
              <w:t xml:space="preserve">Systems affected</w:t>
            </w:r>
          </w:p>
        </w:tc>
        <w:tc>
          <w:tcPr>
            <w:tcW w:w="1606" w:type="dxa"/>
            <w:shd w:val="clear" w:color="auto" w:fill="F2DFCE"/>
          </w:tcPr>
          <w:p>
            <w:pPr>
              <w:pStyle w:val="Celda"/>
            </w:pPr>
            <w:r>
              <w:rPr>
                <w:b/>
              </w:rPr>
              <w:t xml:space="preserve">Aggregate economic impact</w:t>
            </w:r>
          </w:p>
        </w:tc>
        <w:tc>
          <w:tcPr>
            <w:tcW w:w="1606" w:type="dxa"/>
            <w:shd w:val="clear" w:color="auto" w:fill="F2DFCE"/>
          </w:tcPr>
          <w:p>
            <w:pPr>
              <w:pStyle w:val="Celda"/>
            </w:pPr>
            <w:r>
              <w:rPr>
                <w:b/>
              </w:rPr>
              <w:t xml:space="preserve">Worst non-economic impact</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Change from previous quarter</w:t>
            </w:r>
          </w:p>
        </w:tc>
      </w:tr>
      <w:tr>
        <w:tc>
          <w:tcPr>
            <w:tcW w:w="1606" w:type="dxa"/>
          </w:tcPr>
          <w:p>
            <w:pPr>
              <w:pStyle w:val="Celda"/>
            </w:pPr>
            <w:r>
              <w:t xml:space="preserve">Unavailability of the main model supplier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Change in behaviour of a common base model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Vulnerability in a common agent component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Regulatory reclassification of a type of use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Breach in a shared knowledge base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4.4 Key risk indicators</w:t>
      </w:r>
    </w:p>
    <w:p>
      <w:r>
        <w:t xml:space="preserve">Thresholds approved in C2 (33 §11.2).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Indicator</w:t>
            </w:r>
          </w:p>
        </w:tc>
        <w:tc>
          <w:tcPr>
            <w:tcW w:w="1928" w:type="dxa"/>
            <w:shd w:val="clear" w:color="auto" w:fill="F2DFCE"/>
          </w:tcPr>
          <w:p>
            <w:pPr>
              <w:pStyle w:val="Celda"/>
            </w:pPr>
            <w:r>
              <w:rPr>
                <w:b/>
              </w:rPr>
              <w:t xml:space="preserve">Threshold</w:t>
            </w:r>
          </w:p>
        </w:tc>
        <w:tc>
          <w:tcPr>
            <w:tcW w:w="1928" w:type="dxa"/>
            <w:shd w:val="clear" w:color="auto" w:fill="F2DFCE"/>
          </w:tcPr>
          <w:p>
            <w:pPr>
              <w:pStyle w:val="Celda"/>
            </w:pPr>
            <w:r>
              <w:rPr>
                <w:b/>
              </w:rPr>
              <w:t xml:space="preserve">Value</w:t>
            </w:r>
          </w:p>
        </w:tc>
        <w:tc>
          <w:tcPr>
            <w:tcW w:w="1928" w:type="dxa"/>
            <w:shd w:val="clear" w:color="auto" w:fill="F2DFCE"/>
          </w:tcPr>
          <w:p>
            <w:pPr>
              <w:pStyle w:val="Celda"/>
            </w:pPr>
            <w:r>
              <w:rPr>
                <w:b/>
              </w:rPr>
              <w:t xml:space="preserve">Previous quarter</w:t>
            </w:r>
          </w:p>
        </w:tc>
        <w:tc>
          <w:tcPr>
            <w:tcW w:w="1928" w:type="dxa"/>
            <w:shd w:val="clear" w:color="auto" w:fill="F2DFCE"/>
          </w:tcPr>
          <w:p>
            <w:pPr>
              <w:pStyle w:val="Celda"/>
            </w:pPr>
            <w:r>
              <w:rPr>
                <w:b/>
              </w:rPr>
              <w:t xml:space="preserve">Status (Within · Outside)</w:t>
            </w:r>
          </w:p>
        </w:tc>
      </w:tr>
      <w:tr>
        <w:tc>
          <w:tcPr>
            <w:tcW w:w="1928" w:type="dxa"/>
          </w:tcPr>
          <w:p>
            <w:pPr>
              <w:pStyle w:val="Celda"/>
            </w:pPr>
            <w:r>
              <w:t xml:space="preserve">Critical residual risks without board approval</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High residual risks accepted</w:t>
            </w:r>
          </w:p>
        </w:tc>
        <w:tc>
          <w:tcPr>
            <w:tcW w:w="1928" w:type="dxa"/>
          </w:tcPr>
          <w:p>
            <w:pPr>
              <w:pStyle w:val="Celda"/>
            </w:pPr>
            <w:r>
              <w:t xml:space="preserve">No growth for two consecutive quarters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Lapsed acceptances</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Untested controls (High or Critical)</w:t>
            </w:r>
          </w:p>
        </w:tc>
        <w:tc>
          <w:tcPr>
            <w:tcW w:w="1928" w:type="dxa"/>
          </w:tcPr>
          <w:p>
            <w:pPr>
              <w:pStyle w:val="Celda"/>
            </w:pPr>
            <w:r>
              <w:t xml:space="preserve">&lt; 10%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Overdue treatment actions</w:t>
            </w:r>
          </w:p>
        </w:tc>
        <w:tc>
          <w:tcPr>
            <w:tcW w:w="1928" w:type="dxa"/>
          </w:tcPr>
          <w:p>
            <w:pPr>
              <w:pStyle w:val="Celda"/>
            </w:pPr>
            <w:r>
              <w:t xml:space="preserve">0 over 30 days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Materialised risks with no prior risk</w:t>
            </w:r>
          </w:p>
        </w:tc>
        <w:tc>
          <w:tcPr>
            <w:tcW w:w="1928" w:type="dxa"/>
          </w:tcPr>
          <w:p>
            <w:pPr>
              <w:pStyle w:val="Celda"/>
            </w:pPr>
            <w:r>
              <w:t xml:space="preserve">Downward trend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Drift outside threshold with no action</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Injection success in the last campaign</w:t>
            </w:r>
          </w:p>
        </w:tc>
        <w:tc>
          <w:tcPr>
            <w:tcW w:w="1928" w:type="dxa"/>
          </w:tcPr>
          <w:p>
            <w:pPr>
              <w:pStyle w:val="Celda"/>
            </w:pPr>
            <w:r>
              <w:t xml:space="preserve">Downward trend; 0 on sensitive actions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Agents with excessive permissions</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Supplier concentration</w:t>
            </w:r>
          </w:p>
        </w:tc>
        <w:tc>
          <w:tcPr>
            <w:tcW w:w="1928" w:type="dxa"/>
          </w:tcPr>
          <w:p>
            <w:pPr>
              <w:pStyle w:val="Celda"/>
            </w:pPr>
            <w:r>
              <w:t xml:space="preserve">According to C2 limit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Regulatory classification overdue</w:t>
            </w:r>
          </w:p>
        </w:tc>
        <w:tc>
          <w:tcPr>
            <w:tcW w:w="1928" w:type="dxa"/>
          </w:tcPr>
          <w:p>
            <w:pPr>
              <w:pStyle w:val="Celda"/>
            </w:pPr>
            <w:r>
              <w:t xml:space="preserve">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Unregularised unauthorised use</w:t>
            </w:r>
          </w:p>
        </w:tc>
        <w:tc>
          <w:tcPr>
            <w:tcW w:w="1928" w:type="dxa"/>
          </w:tcPr>
          <w:p>
            <w:pPr>
              <w:pStyle w:val="Celda"/>
            </w:pPr>
            <w:r>
              <w:t xml:space="preserve">Downward trend</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Field</w:t>
            </w:r>
          </w:p>
        </w:tc>
        <w:tc>
          <w:tcPr>
            <w:tcW w:w="4819" w:type="dxa"/>
            <w:shd w:val="clear" w:color="auto" w:fill="F2DFCE"/>
          </w:tcPr>
          <w:p>
            <w:pPr>
              <w:pStyle w:val="Celda"/>
            </w:pPr>
            <w:r>
              <w:rPr>
                <w:b/>
              </w:rPr>
              <w:t xml:space="preserve">Content</w:t>
            </w:r>
          </w:p>
        </w:tc>
      </w:tr>
      <w:tr>
        <w:tc>
          <w:tcPr>
            <w:tcW w:w="4819" w:type="dxa"/>
          </w:tcPr>
          <w:p>
            <w:pPr>
              <w:pStyle w:val="Celda"/>
            </w:pPr>
            <w:r>
              <w:t xml:space="preserve">Compliance with the risk appetite</w:t>
            </w:r>
          </w:p>
        </w:tc>
        <w:tc>
          <w:tcPr>
            <w:tcW w:w="4819" w:type="dxa"/>
          </w:tcPr>
          <w:p>
            <w:pPr>
              <w:pStyle w:val="Celda"/>
            </w:pPr>
            <w:r>
              <w:t xml:space="preserve">Within · Outside, with the limits exceeded.</w:t>
            </w:r>
          </w:p>
        </w:tc>
      </w:tr>
      <w:tr>
        <w:tc>
          <w:tcPr>
            <w:tcW w:w="4819" w:type="dxa"/>
          </w:tcPr>
          <w:p>
            <w:pPr>
              <w:pStyle w:val="Celda"/>
            </w:pPr>
            <w:r>
              <w:t xml:space="preserve">Exposure to offensive AI (document 35)</w:t>
            </w:r>
          </w:p>
        </w:tc>
        <w:tc>
          <w:tcPr>
            <w:tcW w:w="4819" w:type="dxa"/>
          </w:tcPr>
          <w:p>
            <w:pPr>
              <w:pStyle w:val="Celda"/>
            </w:pPr>
            <w:r>
              <w:t xml:space="preserve">Main indicators and events in the quarter.</w:t>
            </w:r>
          </w:p>
        </w:tc>
      </w:tr>
    </w:tbl>
    <w:p>
      <w:pPr>
        <w:pStyle w:val="Espacio"/>
      </w:pPr>
    </w:p>
    <w:p>
      <w:pPr>
        <w:pStyle w:val="Separador"/>
      </w:pPr>
    </w:p>
    <w:p>
      <w:pPr>
        <w:pStyle w:val="Heading1"/>
      </w:pPr>
      <w:r>
        <w:t xml:space="preserve">5. Incidents</w:t>
      </w:r>
    </w:p>
    <w:p>
      <w:r>
        <w:t xml:space="preserve">Quarterly content of 37 §9 and 60 §4.6.</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System and initiative</w:t>
            </w:r>
          </w:p>
        </w:tc>
        <w:tc>
          <w:tcPr>
            <w:tcW w:w="1205" w:type="dxa"/>
            <w:shd w:val="clear" w:color="auto" w:fill="F2DFCE"/>
          </w:tcPr>
          <w:p>
            <w:pPr>
              <w:pStyle w:val="Celda"/>
            </w:pPr>
            <w:r>
              <w:rPr>
                <w:b/>
              </w:rPr>
              <w:t xml:space="preserve">Severity</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Notifications (regime, deadline met)</w:t>
            </w:r>
          </w:p>
        </w:tc>
        <w:tc>
          <w:tcPr>
            <w:tcW w:w="1205" w:type="dxa"/>
            <w:shd w:val="clear" w:color="auto" w:fill="F2DFCE"/>
          </w:tcPr>
          <w:p>
            <w:pPr>
              <w:pStyle w:val="Celda"/>
            </w:pPr>
            <w:r>
              <w:rPr>
                <w:b/>
              </w:rPr>
              <w:t xml:space="preserve">Lessons and actions</w:t>
            </w:r>
          </w:p>
        </w:tc>
      </w:tr>
      <w:tr>
        <w:tc>
          <w:tcPr>
            <w:tcW w:w="1205" w:type="dxa"/>
          </w:tcPr>
          <w:p>
            <w:pPr>
              <w:pStyle w:val="Celda"/>
            </w:pPr>
            <w:r>
              <w:t xml:space="preserve">INC-AAAA-NNN</w:t>
            </w:r>
          </w:p>
        </w:tc>
        <w:tc>
          <w:tcPr>
            <w:tcW w:w="1205" w:type="dxa"/>
          </w:tcPr>
          <w:p>
            <w:pPr>
              <w:pStyle w:val="Celda"/>
            </w:pPr>
          </w:p>
        </w:tc>
        <w:tc>
          <w:tcPr>
            <w:tcW w:w="1205" w:type="dxa"/>
          </w:tcPr>
          <w:p>
            <w:pPr>
              <w:pStyle w:val="Celda"/>
            </w:pPr>
            <w:r>
              <w:t xml:space="preserve">S1 · S2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S3 and S4 aggregate</w:t>
            </w:r>
          </w:p>
        </w:tc>
        <w:tc>
          <w:tcPr>
            <w:tcW w:w="2410" w:type="dxa"/>
            <w:shd w:val="clear" w:color="auto" w:fill="F2DFCE"/>
          </w:tcPr>
          <w:p>
            <w:pPr>
              <w:pStyle w:val="Celda"/>
            </w:pPr>
            <w:r>
              <w:rPr>
                <w:b/>
              </w:rPr>
              <w:t xml:space="preserve">Number</w:t>
            </w:r>
          </w:p>
        </w:tc>
        <w:tc>
          <w:tcPr>
            <w:tcW w:w="2410" w:type="dxa"/>
            <w:shd w:val="clear" w:color="auto" w:fill="F2DFCE"/>
          </w:tcPr>
          <w:p>
            <w:pPr>
              <w:pStyle w:val="Celda"/>
            </w:pPr>
            <w:r>
              <w:rPr>
                <w:b/>
              </w:rPr>
              <w:t xml:space="preserve">Main type</w:t>
            </w:r>
          </w:p>
        </w:tc>
        <w:tc>
          <w:tcPr>
            <w:tcW w:w="2410" w:type="dxa"/>
            <w:shd w:val="clear" w:color="auto" w:fill="F2DFCE"/>
          </w:tcPr>
          <w:p>
            <w:pPr>
              <w:pStyle w:val="Celda"/>
            </w:pPr>
            <w:r>
              <w:rPr>
                <w:b/>
              </w:rPr>
              <w:t xml:space="preserve">Median containment time</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Field</w:t>
            </w:r>
          </w:p>
        </w:tc>
        <w:tc>
          <w:tcPr>
            <w:tcW w:w="4819" w:type="dxa"/>
            <w:shd w:val="clear" w:color="auto" w:fill="F2DFCE"/>
          </w:tcPr>
          <w:p>
            <w:pPr>
              <w:pStyle w:val="Celda"/>
            </w:pPr>
            <w:r>
              <w:rPr>
                <w:b/>
              </w:rPr>
              <w:t xml:space="preserve">Content</w:t>
            </w:r>
          </w:p>
        </w:tc>
      </w:tr>
      <w:tr>
        <w:tc>
          <w:tcPr>
            <w:tcW w:w="4819" w:type="dxa"/>
          </w:tcPr>
          <w:p>
            <w:pPr>
              <w:pStyle w:val="Celda"/>
            </w:pPr>
            <w:r>
              <w:t xml:space="preserve">Regulatory notifications in the quarter and compliance with deadlines</w:t>
            </w:r>
          </w:p>
        </w:tc>
        <w:tc>
          <w:tcPr>
            <w:tcW w:w="4819" w:type="dxa"/>
          </w:tcPr>
          <w:p>
            <w:pPr>
              <w:pStyle w:val="Celda"/>
            </w:pPr>
          </w:p>
        </w:tc>
      </w:tr>
      <w:tr>
        <w:tc>
          <w:tcPr>
            <w:tcW w:w="4819" w:type="dxa"/>
          </w:tcPr>
          <w:p>
            <w:pPr>
              <w:pStyle w:val="Celda"/>
            </w:pPr>
            <w:r>
              <w:t xml:space="preserve">Supplier incidents</w:t>
            </w:r>
          </w:p>
        </w:tc>
        <w:tc>
          <w:tcPr>
            <w:tcW w:w="4819" w:type="dxa"/>
          </w:tcPr>
          <w:p>
            <w:pPr>
              <w:pStyle w:val="Celda"/>
            </w:pPr>
          </w:p>
        </w:tc>
      </w:tr>
      <w:tr>
        <w:tc>
          <w:tcPr>
            <w:tcW w:w="4819" w:type="dxa"/>
          </w:tcPr>
          <w:p>
            <w:pPr>
              <w:pStyle w:val="Celda"/>
            </w:pPr>
            <w:r>
              <w:t xml:space="preserve">Systemic lessons</w:t>
            </w:r>
          </w:p>
        </w:tc>
        <w:tc>
          <w:tcPr>
            <w:tcW w:w="4819" w:type="dxa"/>
          </w:tcPr>
          <w:p>
            <w:pPr>
              <w:pStyle w:val="Celda"/>
            </w:pPr>
          </w:p>
        </w:tc>
      </w:tr>
    </w:tbl>
    <w:p>
      <w:pPr>
        <w:pStyle w:val="Espacio"/>
      </w:pPr>
    </w:p>
    <w:p>
      <w:pPr>
        <w:pStyle w:val="Separador"/>
      </w:pPr>
    </w:p>
    <w:p>
      <w:pPr>
        <w:pStyle w:val="Heading1"/>
      </w:pPr>
      <w:r>
        <w:t xml:space="preserve">6. Nonconformities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Requirement not met</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Scope</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Deadline</w:t>
            </w:r>
          </w:p>
        </w:tc>
        <w:tc>
          <w:tcPr>
            <w:tcW w:w="1205" w:type="dxa"/>
            <w:shd w:val="clear" w:color="auto" w:fill="F2DFCE"/>
          </w:tcPr>
          <w:p>
            <w:pPr>
              <w:pStyle w:val="Celda"/>
            </w:pPr>
            <w:r>
              <w:rPr>
                <w:b/>
              </w:rPr>
              <w:t xml:space="preserve">Overdue?</w:t>
            </w:r>
          </w:p>
        </w:tc>
        <w:tc>
          <w:tcPr>
            <w:tcW w:w="1205" w:type="dxa"/>
            <w:shd w:val="clear" w:color="auto" w:fill="F2DFCE"/>
          </w:tcPr>
          <w:p>
            <w:pPr>
              <w:pStyle w:val="Celda"/>
            </w:pPr>
            <w:r>
              <w:rPr>
                <w:b/>
              </w:rPr>
              <w:t xml:space="preserve">Corrective action</w:t>
            </w:r>
          </w:p>
        </w:tc>
      </w:tr>
      <w:tr>
        <w:tc>
          <w:tcPr>
            <w:tcW w:w="1205" w:type="dxa"/>
          </w:tcPr>
          <w:p>
            <w:pPr>
              <w:pStyle w:val="Celda"/>
            </w:pPr>
            <w:r>
              <w:t xml:space="preserve">NC-AAAA-NNN</w:t>
            </w:r>
          </w:p>
        </w:tc>
        <w:tc>
          <w:tcPr>
            <w:tcW w:w="1205" w:type="dxa"/>
          </w:tcPr>
          <w:p>
            <w:pPr>
              <w:pStyle w:val="Celda"/>
            </w:pPr>
          </w:p>
        </w:tc>
        <w:tc>
          <w:tcPr>
            <w:tcW w:w="1205" w:type="dxa"/>
          </w:tcPr>
          <w:p>
            <w:pPr>
              <w:pStyle w:val="Celda"/>
            </w:pPr>
            <w:r>
              <w:t xml:space="preserve">Critical · Major</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Yes · No</w:t>
            </w:r>
          </w:p>
        </w:tc>
        <w:tc>
          <w:tcPr>
            <w:tcW w:w="1205" w:type="dxa"/>
          </w:tcPr>
          <w:p>
            <w:pPr>
              <w:pStyle w:val="Celda"/>
            </w:pPr>
          </w:p>
        </w:tc>
      </w:tr>
    </w:tbl>
    <w:p>
      <w:pPr>
        <w:pStyle w:val="Espacio"/>
      </w:pPr>
    </w:p>
    <w:p>
      <w:r>
        <w:t xml:space="preserve">Critical: always individually. Major: individually if open beyond the deadline; aggregated otherwise. Minor: number only.</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Summary</w:t>
            </w:r>
          </w:p>
        </w:tc>
        <w:tc>
          <w:tcPr>
            <w:tcW w:w="2410" w:type="dxa"/>
            <w:shd w:val="clear" w:color="auto" w:fill="F2DFCE"/>
          </w:tcPr>
          <w:p>
            <w:pPr>
              <w:pStyle w:val="Celda"/>
            </w:pPr>
            <w:r>
              <w:rPr>
                <w:b/>
              </w:rPr>
              <w:t xml:space="preserve">Critical</w:t>
            </w:r>
          </w:p>
        </w:tc>
        <w:tc>
          <w:tcPr>
            <w:tcW w:w="2410" w:type="dxa"/>
            <w:shd w:val="clear" w:color="auto" w:fill="F2DFCE"/>
          </w:tcPr>
          <w:p>
            <w:pPr>
              <w:pStyle w:val="Celda"/>
            </w:pPr>
            <w:r>
              <w:rPr>
                <w:b/>
              </w:rPr>
              <w:t xml:space="preserve">Major</w:t>
            </w:r>
          </w:p>
        </w:tc>
        <w:tc>
          <w:tcPr>
            <w:tcW w:w="2410" w:type="dxa"/>
            <w:shd w:val="clear" w:color="auto" w:fill="F2DFCE"/>
          </w:tcPr>
          <w:p>
            <w:pPr>
              <w:pStyle w:val="Celda"/>
            </w:pPr>
            <w:r>
              <w:rPr>
                <w:b/>
              </w:rPr>
              <w:t xml:space="preserve">Minor</w:t>
            </w:r>
          </w:p>
        </w:tc>
      </w:tr>
      <w:tr>
        <w:tc>
          <w:tcPr>
            <w:tcW w:w="2410" w:type="dxa"/>
          </w:tcPr>
          <w:p>
            <w:pPr>
              <w:pStyle w:val="Celda"/>
            </w:pPr>
            <w:r>
              <w:t xml:space="preserve">Open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Overdue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Closed in the quarter</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7. Exceptions in force</w:t>
      </w:r>
    </w:p>
    <w:p>
      <w:r>
        <w:t xml:space="preserve">Summary of the P40 register (30 §7.4).</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Requirement affected</w:t>
            </w:r>
          </w:p>
        </w:tc>
        <w:tc>
          <w:tcPr>
            <w:tcW w:w="1377" w:type="dxa"/>
            <w:shd w:val="clear" w:color="auto" w:fill="F2DFCE"/>
          </w:tcPr>
          <w:p>
            <w:pPr>
              <w:pStyle w:val="Celda"/>
            </w:pPr>
            <w:r>
              <w:rPr>
                <w:b/>
              </w:rPr>
              <w:t xml:space="preserve">Risk level with measures</w:t>
            </w:r>
          </w:p>
        </w:tc>
        <w:tc>
          <w:tcPr>
            <w:tcW w:w="1377" w:type="dxa"/>
            <w:shd w:val="clear" w:color="auto" w:fill="F2DFCE"/>
          </w:tcPr>
          <w:p>
            <w:pPr>
              <w:pStyle w:val="Celda"/>
            </w:pPr>
            <w:r>
              <w:rPr>
                <w:b/>
              </w:rPr>
              <w:t xml:space="preserve">Approved by</w:t>
            </w:r>
          </w:p>
        </w:tc>
        <w:tc>
          <w:tcPr>
            <w:tcW w:w="1377" w:type="dxa"/>
            <w:shd w:val="clear" w:color="auto" w:fill="F2DFCE"/>
          </w:tcPr>
          <w:p>
            <w:pPr>
              <w:pStyle w:val="Celda"/>
            </w:pPr>
            <w:r>
              <w:rPr>
                <w:b/>
              </w:rPr>
              <w:t xml:space="preserve">Expiry</w:t>
            </w:r>
          </w:p>
        </w:tc>
        <w:tc>
          <w:tcPr>
            <w:tcW w:w="1377" w:type="dxa"/>
            <w:shd w:val="clear" w:color="auto" w:fill="F2DFCE"/>
          </w:tcPr>
          <w:p>
            <w:pPr>
              <w:pStyle w:val="Celda"/>
            </w:pPr>
            <w:r>
              <w:rPr>
                <w:b/>
              </w:rPr>
              <w:t xml:space="preserve">Status</w:t>
            </w:r>
          </w:p>
        </w:tc>
      </w:tr>
      <w:tr>
        <w:tc>
          <w:tcPr>
            <w:tcW w:w="1377" w:type="dxa"/>
          </w:tcPr>
          <w:p>
            <w:pPr>
              <w:pStyle w:val="Celda"/>
            </w:pPr>
            <w:r>
              <w:t xml:space="preserve">EXC-AAAA-NNN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In force · Expired</w:t>
            </w:r>
          </w:p>
        </w:tc>
      </w:tr>
    </w:tbl>
    <w:p>
      <w:pPr>
        <w:pStyle w:val="Espacio"/>
      </w:pPr>
    </w:p>
    <w:p>
      <w:pPr>
        <w:pStyle w:val="Separador"/>
      </w:pPr>
    </w:p>
    <w:p>
      <w:pPr>
        <w:pStyle w:val="Heading1"/>
      </w:pPr>
      <w:r>
        <w:t xml:space="preserve">8. Quarterly inventory reconciliation</w:t>
      </w:r>
    </w:p>
    <w:p>
      <w:r>
        <w:t xml:space="preserve">Result of the reconciliation in 32 §9, carried out by the AI Office.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Source checked</w:t>
            </w:r>
          </w:p>
        </w:tc>
        <w:tc>
          <w:tcPr>
            <w:tcW w:w="2410" w:type="dxa"/>
            <w:shd w:val="clear" w:color="auto" w:fill="F2DFCE"/>
          </w:tcPr>
          <w:p>
            <w:pPr>
              <w:pStyle w:val="Celda"/>
            </w:pPr>
            <w:r>
              <w:rPr>
                <w:b/>
              </w:rPr>
              <w:t xml:space="preserve">Differences found</w:t>
            </w:r>
          </w:p>
        </w:tc>
        <w:tc>
          <w:tcPr>
            <w:tcW w:w="2410" w:type="dxa"/>
            <w:shd w:val="clear" w:color="auto" w:fill="F2DFCE"/>
          </w:tcPr>
          <w:p>
            <w:pPr>
              <w:pStyle w:val="Celda"/>
            </w:pPr>
            <w:r>
              <w:rPr>
                <w:b/>
              </w:rPr>
              <w:t xml:space="preserve">Treatment</w:t>
            </w:r>
          </w:p>
        </w:tc>
        <w:tc>
          <w:tcPr>
            <w:tcW w:w="2410" w:type="dxa"/>
            <w:shd w:val="clear" w:color="auto" w:fill="F2DFCE"/>
          </w:tcPr>
          <w:p>
            <w:pPr>
              <w:pStyle w:val="Celda"/>
            </w:pPr>
            <w:r>
              <w:rPr>
                <w:b/>
              </w:rPr>
              <w:t xml:space="preserve">Nonconformities opened</w:t>
            </w:r>
          </w:p>
        </w:tc>
      </w:tr>
      <w:tr>
        <w:tc>
          <w:tcPr>
            <w:tcW w:w="2410" w:type="dxa"/>
          </w:tcPr>
          <w:p>
            <w:pPr>
              <w:pStyle w:val="Celda"/>
            </w:pPr>
            <w:r>
              <w:t xml:space="preserve">Application and enterprise architecture register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Contracts, purchases and renewals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AI supplier register (T09) and ICT third-party register (DORA, where applicable)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Cloud billing and model API consumption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Code repositories and data platforms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Record of processing activities (GDPR)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Browsing, data loss prevention and device management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Expense claims and corporate cards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Supplier release notes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Communications, surveys and audits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Field</w:t>
            </w:r>
          </w:p>
        </w:tc>
        <w:tc>
          <w:tcPr>
            <w:tcW w:w="4819" w:type="dxa"/>
            <w:shd w:val="clear" w:color="auto" w:fill="F2DFCE"/>
          </w:tcPr>
          <w:p>
            <w:pPr>
              <w:pStyle w:val="Celda"/>
            </w:pPr>
            <w:r>
              <w:rPr>
                <w:b/>
              </w:rPr>
              <w:t xml:space="preserve">Content</w:t>
            </w:r>
          </w:p>
        </w:tc>
      </w:tr>
      <w:tr>
        <w:tc>
          <w:tcPr>
            <w:tcW w:w="4819" w:type="dxa"/>
          </w:tcPr>
          <w:p>
            <w:pPr>
              <w:pStyle w:val="Celda"/>
            </w:pPr>
            <w:r>
              <w:t xml:space="preserve">Systems registered as a result of the reconciliation</w:t>
            </w:r>
          </w:p>
        </w:tc>
        <w:tc>
          <w:tcPr>
            <w:tcW w:w="4819" w:type="dxa"/>
          </w:tcPr>
          <w:p>
            <w:pPr>
              <w:pStyle w:val="Celda"/>
            </w:pPr>
          </w:p>
        </w:tc>
      </w:tr>
      <w:tr>
        <w:tc>
          <w:tcPr>
            <w:tcW w:w="4819" w:type="dxa"/>
          </w:tcPr>
          <w:p>
            <w:pPr>
              <w:pStyle w:val="Celda"/>
            </w:pPr>
            <w:r>
              <w:t xml:space="preserve">Systems in production without a </w:t>
            </w:r>
            <w:r>
              <w:rPr>
                <w:i/>
              </w:rPr>
              <w:t xml:space="preserve">gate</w:t>
            </w:r>
            <w:r>
              <w:t xml:space="preserve"> detected</w:t>
            </w:r>
          </w:p>
        </w:tc>
        <w:tc>
          <w:tcPr>
            <w:tcW w:w="4819" w:type="dxa"/>
          </w:tcPr>
          <w:p>
            <w:pPr>
              <w:pStyle w:val="Celda"/>
            </w:pPr>
            <w:r>
              <w:t xml:space="preserve">Each one is a critical nonconformity (01 §12).</w:t>
            </w:r>
          </w:p>
        </w:tc>
      </w:tr>
    </w:tbl>
    <w:p>
      <w:pPr>
        <w:pStyle w:val="Espacio"/>
      </w:pPr>
    </w:p>
    <w:p>
      <w:pPr>
        <w:pStyle w:val="Separador"/>
      </w:pPr>
    </w:p>
    <w:p>
      <w:pPr>
        <w:pStyle w:val="Heading1"/>
      </w:pPr>
      <w:r>
        <w:t xml:space="preserve">9. Regulatory changes</w:t>
      </w:r>
    </w:p>
    <w:p>
      <w:r>
        <w:t xml:space="preserve">Register of mapping changes (34 §10.3).</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Change</w:t>
            </w:r>
          </w:p>
        </w:tc>
        <w:tc>
          <w:tcPr>
            <w:tcW w:w="1606" w:type="dxa"/>
            <w:shd w:val="clear" w:color="auto" w:fill="F2DFCE"/>
          </w:tcPr>
          <w:p>
            <w:pPr>
              <w:pStyle w:val="Celda"/>
            </w:pPr>
            <w:r>
              <w:rPr>
                <w:b/>
              </w:rPr>
              <w:t xml:space="preserve">Official source and consultation date</w:t>
            </w:r>
          </w:p>
        </w:tc>
        <w:tc>
          <w:tcPr>
            <w:tcW w:w="1606" w:type="dxa"/>
            <w:shd w:val="clear" w:color="auto" w:fill="F2DFCE"/>
          </w:tcPr>
          <w:p>
            <w:pPr>
              <w:pStyle w:val="Celda"/>
            </w:pPr>
            <w:r>
              <w:rPr>
                <w:b/>
              </w:rPr>
              <w:t xml:space="preserve">Initiatives or systems affected</w:t>
            </w:r>
          </w:p>
        </w:tc>
        <w:tc>
          <w:tcPr>
            <w:tcW w:w="1606" w:type="dxa"/>
            <w:shd w:val="clear" w:color="auto" w:fill="F2DFCE"/>
          </w:tcPr>
          <w:p>
            <w:pPr>
              <w:pStyle w:val="Celda"/>
            </w:pPr>
            <w:r>
              <w:rPr>
                <w:b/>
              </w:rPr>
              <w:t xml:space="preserve">Step reached (1–8 of 34 §10.3)</w:t>
            </w:r>
          </w:p>
        </w:tc>
        <w:tc>
          <w:tcPr>
            <w:tcW w:w="1606" w:type="dxa"/>
            <w:shd w:val="clear" w:color="auto" w:fill="F2DFCE"/>
          </w:tcPr>
          <w:p>
            <w:pPr>
              <w:pStyle w:val="Celda"/>
            </w:pPr>
            <w:r>
              <w:rPr>
                <w:b/>
              </w:rPr>
              <w:t xml:space="preserve">Approved by the committee (Yes · No · Not required)</w:t>
            </w:r>
          </w:p>
        </w:tc>
        <w:tc>
          <w:tcPr>
            <w:tcW w:w="1606" w:type="dxa"/>
            <w:shd w:val="clear" w:color="auto" w:fill="F2DFCE"/>
          </w:tcPr>
          <w:p>
            <w:pPr>
              <w:pStyle w:val="Celda"/>
            </w:pPr>
            <w:r>
              <w:rPr>
                <w:b/>
              </w:rPr>
              <w:t xml:space="preserve">Pending action</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10. Expired conditions, lapsed acceptances and disagreements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Type</w:t>
            </w:r>
          </w:p>
        </w:tc>
        <w:tc>
          <w:tcPr>
            <w:tcW w:w="1928" w:type="dxa"/>
            <w:shd w:val="clear" w:color="auto" w:fill="F2DFCE"/>
          </w:tcPr>
          <w:p>
            <w:pPr>
              <w:pStyle w:val="Celda"/>
            </w:pPr>
            <w:r>
              <w:rPr>
                <w:b/>
              </w:rPr>
              <w:t xml:space="preserve">Reference</w:t>
            </w:r>
          </w:p>
        </w:tc>
        <w:tc>
          <w:tcPr>
            <w:tcW w:w="1928" w:type="dxa"/>
            <w:shd w:val="clear" w:color="auto" w:fill="F2DFCE"/>
          </w:tcPr>
          <w:p>
            <w:pPr>
              <w:pStyle w:val="Celda"/>
            </w:pPr>
            <w:r>
              <w:rPr>
                <w:b/>
              </w:rPr>
              <w:t xml:space="preserve">Body that imposed it</w:t>
            </w:r>
          </w:p>
        </w:tc>
        <w:tc>
          <w:tcPr>
            <w:tcW w:w="1928" w:type="dxa"/>
            <w:shd w:val="clear" w:color="auto" w:fill="F2DFCE"/>
          </w:tcPr>
          <w:p>
            <w:pPr>
              <w:pStyle w:val="Celda"/>
            </w:pPr>
            <w:r>
              <w:rPr>
                <w:b/>
              </w:rPr>
              <w:t xml:space="preserve">Expiry date</w:t>
            </w:r>
          </w:p>
        </w:tc>
        <w:tc>
          <w:tcPr>
            <w:tcW w:w="1928" w:type="dxa"/>
            <w:shd w:val="clear" w:color="auto" w:fill="F2DFCE"/>
          </w:tcPr>
          <w:p>
            <w:pPr>
              <w:pStyle w:val="Celda"/>
            </w:pPr>
            <w:r>
              <w:rPr>
                <w:b/>
              </w:rPr>
              <w:t xml:space="preserve">Treatment</w:t>
            </w:r>
          </w:p>
        </w:tc>
      </w:tr>
      <w:tr>
        <w:tc>
          <w:tcPr>
            <w:tcW w:w="1928" w:type="dxa"/>
          </w:tcPr>
          <w:p>
            <w:pPr>
              <w:pStyle w:val="Celda"/>
            </w:pPr>
            <w:r>
              <w:t xml:space="preserve">Expired </w:t>
            </w:r>
            <w:r>
              <w:rPr>
                <w:i/>
              </w:rPr>
              <w:t xml:space="preserve">gate</w:t>
            </w:r>
            <w:r>
              <w:t xml:space="preserve"> condition</w:t>
            </w:r>
          </w:p>
        </w:tc>
        <w:tc>
          <w:tcPr>
            <w:tcW w:w="1928" w:type="dxa"/>
          </w:tcPr>
          <w:p>
            <w:pPr>
              <w:pStyle w:val="Celda"/>
            </w:pPr>
            <w:r>
              <w:t xml:space="preserve">P29</w:t>
            </w:r>
          </w:p>
        </w:tc>
        <w:tc>
          <w:tcPr>
            <w:tcW w:w="1928" w:type="dxa"/>
          </w:tcPr>
          <w:p>
            <w:pPr>
              <w:pStyle w:val="Celda"/>
            </w:pPr>
          </w:p>
        </w:tc>
        <w:tc>
          <w:tcPr>
            <w:tcW w:w="1928" w:type="dxa"/>
          </w:tcPr>
          <w:p>
            <w:pPr>
              <w:pStyle w:val="Celda"/>
            </w:pPr>
          </w:p>
        </w:tc>
        <w:tc>
          <w:tcPr>
            <w:tcW w:w="1928" w:type="dxa"/>
          </w:tcPr>
          <w:p>
            <w:pPr>
              <w:pStyle w:val="Celda"/>
            </w:pPr>
            <w:r>
              <w:t xml:space="preserve">Outcome becomes Iterate (01 §7.4, rule 4).</w:t>
            </w:r>
          </w:p>
        </w:tc>
      </w:tr>
      <w:tr>
        <w:tc>
          <w:tcPr>
            <w:tcW w:w="1928" w:type="dxa"/>
          </w:tcPr>
          <w:p>
            <w:pPr>
              <w:pStyle w:val="Celda"/>
            </w:pPr>
            <w:r>
              <w:t xml:space="preserve">Expired board decision condition</w:t>
            </w:r>
          </w:p>
        </w:tc>
        <w:tc>
          <w:tcPr>
            <w:tcW w:w="1928" w:type="dxa"/>
          </w:tcPr>
          <w:p>
            <w:pPr>
              <w:pStyle w:val="Celda"/>
            </w:pPr>
            <w:r>
              <w:t xml:space="preserve">DEC-AAAA-NNN</w:t>
            </w:r>
          </w:p>
        </w:tc>
        <w:tc>
          <w:tcPr>
            <w:tcW w:w="1928" w:type="dxa"/>
          </w:tcPr>
          <w:p>
            <w:pPr>
              <w:pStyle w:val="Celda"/>
            </w:pPr>
          </w:p>
        </w:tc>
        <w:tc>
          <w:tcPr>
            <w:tcW w:w="1928" w:type="dxa"/>
          </w:tcPr>
          <w:p>
            <w:pPr>
              <w:pStyle w:val="Celda"/>
            </w:pPr>
          </w:p>
        </w:tc>
        <w:tc>
          <w:tcPr>
            <w:tcW w:w="1928" w:type="dxa"/>
          </w:tcPr>
          <w:p>
            <w:pPr>
              <w:pStyle w:val="Celda"/>
            </w:pPr>
            <w:r>
              <w:t xml:space="preserve">The body is informed (62 §10.3).</w:t>
            </w:r>
          </w:p>
        </w:tc>
      </w:tr>
      <w:tr>
        <w:tc>
          <w:tcPr>
            <w:tcW w:w="1928" w:type="dxa"/>
          </w:tcPr>
          <w:p>
            <w:pPr>
              <w:pStyle w:val="Celda"/>
            </w:pPr>
            <w:r>
              <w:t xml:space="preserve">Lapsed risk acceptance</w:t>
            </w:r>
          </w:p>
        </w:tc>
        <w:tc>
          <w:tcPr>
            <w:tcW w:w="1928" w:type="dxa"/>
          </w:tcPr>
          <w:p>
            <w:pPr>
              <w:pStyle w:val="Celda"/>
            </w:pPr>
            <w:r>
              <w:t xml:space="preserve">IA-AAAA-NNN · Rnn</w:t>
            </w:r>
          </w:p>
        </w:tc>
        <w:tc>
          <w:tcPr>
            <w:tcW w:w="1928" w:type="dxa"/>
          </w:tcPr>
          <w:p>
            <w:pPr>
              <w:pStyle w:val="Celda"/>
            </w:pPr>
          </w:p>
        </w:tc>
        <w:tc>
          <w:tcPr>
            <w:tcW w:w="1928" w:type="dxa"/>
          </w:tcPr>
          <w:p>
            <w:pPr>
              <w:pStyle w:val="Celda"/>
            </w:pPr>
          </w:p>
        </w:tc>
        <w:tc>
          <w:tcPr>
            <w:tcW w:w="1928" w:type="dxa"/>
          </w:tcPr>
          <w:p>
            <w:pPr>
              <w:pStyle w:val="Celda"/>
            </w:pPr>
            <w:r>
              <w:t xml:space="preserve">The risk blocks the </w:t>
            </w:r>
            <w:r>
              <w:rPr>
                <w:i/>
              </w:rPr>
              <w:t xml:space="preserve">gate</w:t>
            </w:r>
            <w:r>
              <w:t xml:space="preserve"> again.</w:t>
            </w:r>
          </w:p>
        </w:tc>
      </w:tr>
      <w:tr>
        <w:tc>
          <w:tcPr>
            <w:tcW w:w="1928" w:type="dxa"/>
          </w:tcPr>
          <w:p>
            <w:pPr>
              <w:pStyle w:val="Celda"/>
            </w:pPr>
            <w:r>
              <w:t xml:space="preserve">Disagreement with the AI Committee (E-13)</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Proposed resolution.</w:t>
            </w:r>
          </w:p>
        </w:tc>
      </w:tr>
    </w:tbl>
    <w:p>
      <w:pPr>
        <w:pStyle w:val="Espacio"/>
      </w:pPr>
    </w:p>
    <w:p>
      <w:pPr>
        <w:pStyle w:val="Separador"/>
      </w:pPr>
    </w:p>
    <w:p>
      <w:pPr>
        <w:pStyle w:val="Heading1"/>
      </w:pPr>
      <w:r>
        <w:t xml:space="preserve">11. Proposed decisions</w:t>
      </w:r>
    </w:p>
    <w:p>
      <w:r>
        <w:t xml:space="preserve">Each proposal with the decision sheet of 60 §5.1.</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Code</w:t>
            </w:r>
          </w:p>
        </w:tc>
        <w:tc>
          <w:tcPr>
            <w:tcW w:w="1606" w:type="dxa"/>
            <w:shd w:val="clear" w:color="auto" w:fill="F2DFCE"/>
          </w:tcPr>
          <w:p>
            <w:pPr>
              <w:pStyle w:val="Celda"/>
            </w:pPr>
            <w:r>
              <w:rPr>
                <w:b/>
              </w:rPr>
              <w:t xml:space="preserve">What is requested</w:t>
            </w:r>
          </w:p>
        </w:tc>
        <w:tc>
          <w:tcPr>
            <w:tcW w:w="1606" w:type="dxa"/>
            <w:shd w:val="clear" w:color="auto" w:fill="F2DFCE"/>
          </w:tcPr>
          <w:p>
            <w:pPr>
              <w:pStyle w:val="Celda"/>
            </w:pPr>
            <w:r>
              <w:rPr>
                <w:b/>
              </w:rPr>
              <w:t xml:space="preserve">Type</w:t>
            </w:r>
          </w:p>
        </w:tc>
        <w:tc>
          <w:tcPr>
            <w:tcW w:w="1606" w:type="dxa"/>
            <w:shd w:val="clear" w:color="auto" w:fill="F2DFCE"/>
          </w:tcPr>
          <w:p>
            <w:pPr>
              <w:pStyle w:val="Celda"/>
            </w:pPr>
            <w:r>
              <w:rPr>
                <w:b/>
              </w:rPr>
              <w:t xml:space="preserve">Second-line response</w:t>
            </w:r>
          </w:p>
        </w:tc>
        <w:tc>
          <w:tcPr>
            <w:tcW w:w="1606" w:type="dxa"/>
            <w:shd w:val="clear" w:color="auto" w:fill="F2DFCE"/>
          </w:tcPr>
          <w:p>
            <w:pPr>
              <w:pStyle w:val="Celda"/>
            </w:pPr>
            <w:r>
              <w:rPr>
                <w:b/>
              </w:rPr>
              <w:t xml:space="preserve">Options</w:t>
            </w:r>
          </w:p>
        </w:tc>
        <w:tc>
          <w:tcPr>
            <w:tcW w:w="1606" w:type="dxa"/>
            <w:shd w:val="clear" w:color="auto" w:fill="F2DFCE"/>
          </w:tcPr>
          <w:p>
            <w:pPr>
              <w:pStyle w:val="Celda"/>
            </w:pPr>
            <w:r>
              <w:rPr>
                <w:b/>
              </w:rPr>
              <w:t xml:space="preserve">What happens if no decision is taken</w:t>
            </w:r>
          </w:p>
        </w:tc>
      </w:tr>
      <w:tr>
        <w:tc>
          <w:tcPr>
            <w:tcW w:w="1606" w:type="dxa"/>
          </w:tcPr>
          <w:p>
            <w:pPr>
              <w:pStyle w:val="Celda"/>
            </w:pPr>
            <w:r>
              <w:t xml:space="preserve">DEC-AAAA-NNN</w:t>
            </w:r>
          </w:p>
        </w:tc>
        <w:tc>
          <w:tcPr>
            <w:tcW w:w="1606" w:type="dxa"/>
          </w:tcPr>
          <w:p>
            <w:pPr>
              <w:pStyle w:val="Celda"/>
            </w:pPr>
          </w:p>
        </w:tc>
        <w:tc>
          <w:tcPr>
            <w:tcW w:w="1606" w:type="dxa"/>
          </w:tcPr>
          <w:p>
            <w:pPr>
              <w:pStyle w:val="Celda"/>
            </w:pPr>
            <w:r>
              <w:t xml:space="preserve">Approve · Accept a risk · Take note · Assign</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12.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Critical and High risks, concentration and portfolio scenarios are up to date (33 §10).</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All key risk indicators have a value and a threshold approved in C2, or are stated as "no data".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S1 and S2 incidents and critical nonconformities are reported individually (37 §9; 60 §4.6).</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exceptions in force match the P40 register.</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inventory reconciliation was carried out in the quarter with all the sources in 32 §9.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regulatory change has an official source and a consultation date.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proposed decisions can be approved or rejected exactly as written.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Confirmed facts are distinguished from assessments in progress.</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Second-line coordinator for AI</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data</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Is consulted</w:t>
            </w:r>
          </w:p>
        </w:tc>
        <w:tc>
          <w:tcPr>
            <w:tcW w:w="1928" w:type="dxa"/>
          </w:tcPr>
          <w:p>
            <w:pPr>
              <w:pStyle w:val="Celda"/>
            </w:pPr>
            <w:r>
              <w:t xml:space="preserve">Third line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Sees it and adds its position</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Oversees and decides</w:t>
            </w:r>
          </w:p>
        </w:tc>
        <w:tc>
          <w:tcPr>
            <w:tcW w:w="1928" w:type="dxa"/>
          </w:tcPr>
          <w:p>
            <w:pPr>
              <w:pStyle w:val="Celda"/>
            </w:pPr>
            <w:r>
              <w:t xml:space="preserve">Board committee</w:t>
            </w:r>
          </w:p>
        </w:tc>
        <w:tc>
          <w:tcPr>
            <w:tcW w:w="1928" w:type="dxa"/>
          </w:tcPr>
          <w:p>
            <w:pPr>
              <w:pStyle w:val="Celda"/>
            </w:pPr>
          </w:p>
        </w:tc>
        <w:tc>
          <w:tcPr>
            <w:tcW w:w="1928" w:type="dxa"/>
          </w:tcPr>
          <w:p>
            <w:pPr>
              <w:pStyle w:val="Celda"/>
            </w:pPr>
          </w:p>
        </w:tc>
        <w:tc>
          <w:tcPr>
            <w:tcW w:w="1928" w:type="dxa"/>
          </w:tcPr>
          <w:p>
            <w:pPr>
              <w:pStyle w:val="Celda"/>
            </w:pPr>
            <w:r>
              <w:t xml:space="preserve">Meeting and resolution (P39)</w:t>
            </w:r>
          </w:p>
        </w:tc>
      </w:tr>
    </w:tbl>
    <w:p>
      <w:pPr>
        <w:pStyle w:val="Espacio"/>
      </w:pPr>
    </w:p>
    <w:p>
      <w:r>
        <w:t xml:space="preserve">Segregation of duties: the second line reports independently of the areas that sponsor the portfolio; the AI Committee may add its position but does not change the report.</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Brings together the quarterly information on risks (33 §10–12), incidents and nonconformities (37 §9), exceptions (30 §7.4), inventory reconciliation (32 §9) and regulatory changes (34 §10.3).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P42 · Quarterly second-line report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P42 · Quarterly second-line report</dc:title>
  <dc:creator>Fernando García Varela</dc:creator>
  <dc:language>en</dc:language>
  <dc:description>sha256:9d136af5e1cc697879a988023f8ae26d0a8afe5322651dd4ec103d033c79760e</dc:description>
  <cp:keywords>SEVEN-G</cp:keywords>
</cp:coreProperties>
</file>