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Dataset record and knowledge source inventory</w:t>
      </w:r>
    </w:p>
    <w:p>
      <w:r>
        <w:rPr>
          <w:b/>
        </w:rPr>
        <w:t xml:space="preserve">Catalogues each dataset and each knowledge source used by AI with its owner, legal basis, quality and validity, and maps the critical knowledge that depends on a few people together with its capture plan.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P64 · Dataset record and knowledge source inventory</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An AI system is only as reliable as the data it learns from and the sources it answers from. If a dataset has no owner, legal basis or measured quality, the initiative cannot be defended before an auditor or a regulator; if a knowledge source has no owner or review date, the assistant will end up citing out-of-date documents to customers or employees. And if critical knowledge depends on two people, their departure paralyses processes and systems. This template gives each asset an owner and a date, and makes it possible to measure DAT-02, CNC-01, CNC-06 and CNC-07.</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Dataset records (sections 3 to 5): phase 3 assessment with real data and full record in phase 4; versioned when datasets are frozen in phase 5. Source inventory (sections 6 and 7): phase 4, before each source is connected, and at each validity review. Dependence map and capture plan (sections 8 and 9): at C1 and at C5.</w:t>
            </w:r>
          </w:p>
        </w:tc>
      </w:tr>
      <w:tr>
        <w:tc>
          <w:tcPr>
            <w:tcW w:w="4819" w:type="dxa"/>
          </w:tcPr>
          <w:p>
            <w:pPr>
              <w:pStyle w:val="Celda"/>
            </w:pPr>
            <w:r>
              <w:rPr>
                <w:b/>
              </w:rPr>
              <w:t xml:space="preserve">Who completes it</w:t>
            </w:r>
          </w:p>
        </w:tc>
        <w:tc>
          <w:tcPr>
            <w:tcW w:w="4819" w:type="dxa"/>
          </w:tcPr>
          <w:p>
            <w:pPr>
              <w:pStyle w:val="Celda"/>
            </w:pPr>
            <w:r>
              <w:t xml:space="preserve">Records: AI Technical Owner with the data owner and the data custodian. Sources: content or knowledge owner. Map and plan: the AI Office coordinates with the areas that own each domain, with the people function (document 50).</w:t>
            </w:r>
          </w:p>
        </w:tc>
      </w:tr>
      <w:tr>
        <w:tc>
          <w:tcPr>
            <w:tcW w:w="4819" w:type="dxa"/>
          </w:tcPr>
          <w:p>
            <w:pPr>
              <w:pStyle w:val="Celda"/>
            </w:pPr>
            <w:r>
              <w:rPr>
                <w:b/>
              </w:rPr>
              <w:t xml:space="preserve">Who verifies it</w:t>
            </w:r>
          </w:p>
        </w:tc>
        <w:tc>
          <w:tcPr>
            <w:tcW w:w="4819" w:type="dxa"/>
          </w:tcPr>
          <w:p>
            <w:pPr>
              <w:pStyle w:val="Celda"/>
            </w:pPr>
            <w:r>
              <w:t xml:space="preserve">AI Office in Lite; AI Auditor in Enterprise. The data protection officer reviews the personal data and legal basis fields; the AI Risk Owner assesses the RT-DAT risks.</w:t>
            </w:r>
          </w:p>
        </w:tc>
      </w:tr>
      <w:tr>
        <w:tc>
          <w:tcPr>
            <w:tcW w:w="4819" w:type="dxa"/>
          </w:tcPr>
          <w:p>
            <w:pPr>
              <w:pStyle w:val="Celda"/>
            </w:pPr>
            <w:r>
              <w:rPr>
                <w:b/>
              </w:rPr>
              <w:t xml:space="preserve">Who decides or approves</w:t>
            </w:r>
          </w:p>
        </w:tc>
        <w:tc>
          <w:tcPr>
            <w:tcW w:w="4819" w:type="dxa"/>
          </w:tcPr>
          <w:p>
            <w:pPr>
              <w:pStyle w:val="Celda"/>
            </w:pPr>
            <w:r>
              <w:t xml:space="preserve">The data owner authorises use for the initiative at G3. The </w:t>
            </w:r>
            <w:r>
              <w:rPr>
                <w:i/>
              </w:rPr>
              <w:t xml:space="preserve">gate</w:t>
            </w:r>
            <w:r>
              <w:t xml:space="preserve"> is decided by the body in 01 §7.5. The capture plan is approved by the AI Committee at C1.</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G3 (data available, quality and legal basis), G4 (lineage and records), G5 (frozen datasets, cleaned sources), R6 (validity); C1 and C5 for the dependence map.</w:t>
            </w:r>
          </w:p>
        </w:tc>
      </w:tr>
      <w:tr>
        <w:tc>
          <w:tcPr>
            <w:tcW w:w="4819" w:type="dxa"/>
          </w:tcPr>
          <w:p>
            <w:pPr>
              <w:pStyle w:val="Celda"/>
            </w:pPr>
            <w:r>
              <w:rPr>
                <w:b/>
              </w:rPr>
              <w:t xml:space="preserve">Tool</w:t>
            </w:r>
          </w:p>
        </w:tc>
        <w:tc>
          <w:tcPr>
            <w:tcW w:w="4819" w:type="dxa"/>
          </w:tcPr>
          <w:p>
            <w:pPr>
              <w:pStyle w:val="Celda"/>
            </w:pPr>
            <w:r>
              <w:t xml:space="preserve">The company's data catalogue, if there is one; system attributes in T02. There is no dedicated tool (51 §15).</w:t>
            </w:r>
          </w:p>
        </w:tc>
      </w:tr>
      <w:tr>
        <w:tc>
          <w:tcPr>
            <w:tcW w:w="4819" w:type="dxa"/>
          </w:tcPr>
          <w:p>
            <w:pPr>
              <w:pStyle w:val="Celda"/>
            </w:pPr>
            <w:r>
              <w:rPr>
                <w:b/>
              </w:rPr>
              <w:t xml:space="preserve">Reference document</w:t>
            </w:r>
          </w:p>
        </w:tc>
        <w:tc>
          <w:tcPr>
            <w:tcW w:w="4819" w:type="dxa"/>
          </w:tcPr>
          <w:p>
            <w:pPr>
              <w:pStyle w:val="Celda"/>
            </w:pPr>
            <w:r>
              <w:t xml:space="preserve">Document 51 (§4.2, §4.3, §4.5, §8, §10.1–10.6); P16 for the lineage that uses these records.</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In high-risk systems all fields are completed, regardless of intensity.</w:t>
            </w:r>
          </w:p>
        </w:tc>
      </w:tr>
    </w:tbl>
    <w:p>
      <w:pPr>
        <w:pStyle w:val="Espacio"/>
      </w:pPr>
    </w:p>
    <w:p>
      <w:r>
        <w:t xml:space="preserve">Completion rules:</w:t>
      </w:r>
    </w:p>
    <w:p>
      <w:pPr>
        <w:pStyle w:val="Lista"/>
      </w:pPr>
      <w:r>
        <w:t xml:space="preserve">• </w:t>
      </w:r>
      <w:r>
        <w:rPr>
          <w:b/>
        </w:rPr>
        <w:t xml:space="preserve">No data without an owner</w:t>
      </w:r>
      <w:r>
        <w:t xml:space="preserve"> and </w:t>
      </w:r>
      <w:r>
        <w:rPr>
          <w:b/>
        </w:rPr>
        <w:t xml:space="preserve">no source without a content owner</w:t>
      </w:r>
      <w:r>
        <w:t xml:space="preserve"> (51 §3, principles 1 and 7).</w:t>
      </w:r>
    </w:p>
    <w:p>
      <w:pPr>
        <w:pStyle w:val="Lista"/>
      </w:pPr>
      <w:r>
        <w:t xml:space="preserve">• If the company already has a data catalogue, the record is implemented as an extension of that catalogue and is only linked here.</w:t>
      </w:r>
    </w:p>
    <w:p>
      <w:pPr>
        <w:pStyle w:val="Lista"/>
      </w:pPr>
      <w:r>
        <w:t xml:space="preserve">• Dataset (CD-NN) and source (F-NN) identifiers are the same as those used in P16; knowledge sources are numbered FC-NN and critical domains DC-NN.</w:t>
      </w:r>
    </w:p>
    <w:p>
      <w:pPr>
        <w:pStyle w:val="Lista"/>
      </w:pPr>
      <w:r>
        <w:t xml:space="preserve">• Quality is measured on real data, with thresholds set per use case in phase 3.</w:t>
      </w:r>
    </w:p>
    <w:p>
      <w:pPr>
        <w:pStyle w:val="Lista"/>
      </w:pPr>
      <w:r>
        <w:t xml:space="preserve">• This template does not constitute legal advice. The legal basis is validated by data protection.</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 Not applicable to the dependence map.</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SIA-AAAA-NNN (T02, P05).</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P11.</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Reference in the corporate data catalogue</w:t>
            </w:r>
          </w:p>
        </w:tc>
        <w:tc>
          <w:tcPr>
            <w:tcW w:w="3213" w:type="dxa"/>
          </w:tcPr>
          <w:p>
            <w:pPr>
              <w:pStyle w:val="Celda"/>
            </w:pPr>
          </w:p>
        </w:tc>
        <w:tc>
          <w:tcPr>
            <w:tcW w:w="3213" w:type="dxa"/>
          </w:tcPr>
          <w:p>
            <w:pPr>
              <w:pStyle w:val="Celda"/>
            </w:pPr>
            <w:r>
              <w:t xml:space="preserve">If there is one.</w:t>
            </w:r>
          </w:p>
        </w:tc>
      </w:tr>
      <w:tr>
        <w:tc>
          <w:tcPr>
            <w:tcW w:w="3213" w:type="dxa"/>
          </w:tcPr>
          <w:p>
            <w:pPr>
              <w:pStyle w:val="Celda"/>
            </w:pPr>
            <w:r>
              <w:t xml:space="preserve">Document version, author and date</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Dataset record</w:t>
      </w:r>
    </w:p>
    <w:p>
      <w:r>
        <w:t xml:space="preserve">One record per dataset used to train, fine-tune, validate, test or feed an AI system in production (51 §4.2).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Identifier and name</w:t>
            </w:r>
          </w:p>
        </w:tc>
        <w:tc>
          <w:tcPr>
            <w:tcW w:w="3213" w:type="dxa"/>
          </w:tcPr>
          <w:p>
            <w:pPr>
              <w:pStyle w:val="Celda"/>
            </w:pPr>
          </w:p>
        </w:tc>
        <w:tc>
          <w:tcPr>
            <w:tcW w:w="3213" w:type="dxa"/>
          </w:tcPr>
          <w:p>
            <w:pPr>
              <w:pStyle w:val="Celda"/>
            </w:pPr>
            <w:r>
              <w:t xml:space="preserve">CD-NN, the same as in P16.</w:t>
            </w:r>
          </w:p>
        </w:tc>
      </w:tr>
      <w:tr>
        <w:tc>
          <w:tcPr>
            <w:tcW w:w="3213" w:type="dxa"/>
          </w:tcPr>
          <w:p>
            <w:pPr>
              <w:pStyle w:val="Celda"/>
            </w:pPr>
            <w:r>
              <w:t xml:space="preserve">Owner (business) and custodian (technology)</w:t>
            </w:r>
          </w:p>
        </w:tc>
        <w:tc>
          <w:tcPr>
            <w:tcW w:w="3213" w:type="dxa"/>
          </w:tcPr>
          <w:p>
            <w:pPr>
              <w:pStyle w:val="Celda"/>
            </w:pPr>
          </w:p>
        </w:tc>
        <w:tc>
          <w:tcPr>
            <w:tcW w:w="3213" w:type="dxa"/>
          </w:tcPr>
          <w:p>
            <w:pPr>
              <w:pStyle w:val="Celda"/>
            </w:pPr>
            <w:r>
              <w:t xml:space="preserve">Name and function.</w:t>
            </w:r>
          </w:p>
        </w:tc>
      </w:tr>
      <w:tr>
        <w:tc>
          <w:tcPr>
            <w:tcW w:w="3213" w:type="dxa"/>
          </w:tcPr>
          <w:p>
            <w:pPr>
              <w:pStyle w:val="Celda"/>
            </w:pPr>
            <w:r>
              <w:t xml:space="preserve">Description and origin</w:t>
            </w:r>
          </w:p>
        </w:tc>
        <w:tc>
          <w:tcPr>
            <w:tcW w:w="3213" w:type="dxa"/>
          </w:tcPr>
          <w:p>
            <w:pPr>
              <w:pStyle w:val="Celda"/>
            </w:pPr>
          </w:p>
        </w:tc>
        <w:tc>
          <w:tcPr>
            <w:tcW w:w="3213" w:type="dxa"/>
          </w:tcPr>
          <w:p>
            <w:pPr>
              <w:pStyle w:val="Celda"/>
            </w:pPr>
            <w:r>
              <w:t xml:space="preserve">What it contains, which systems it comes from and how it was generated.</w:t>
            </w:r>
          </w:p>
        </w:tc>
      </w:tr>
      <w:tr>
        <w:tc>
          <w:tcPr>
            <w:tcW w:w="3213" w:type="dxa"/>
          </w:tcPr>
          <w:p>
            <w:pPr>
              <w:pStyle w:val="Celda"/>
            </w:pPr>
            <w:r>
              <w:t xml:space="preserve">Use</w:t>
            </w:r>
          </w:p>
        </w:tc>
        <w:tc>
          <w:tcPr>
            <w:tcW w:w="3213" w:type="dxa"/>
          </w:tcPr>
          <w:p>
            <w:pPr>
              <w:pStyle w:val="Celda"/>
            </w:pPr>
          </w:p>
        </w:tc>
        <w:tc>
          <w:tcPr>
            <w:tcW w:w="3213" w:type="dxa"/>
          </w:tcPr>
          <w:p>
            <w:pPr>
              <w:pStyle w:val="Celda"/>
            </w:pPr>
            <w:r>
              <w:t xml:space="preserve">Training · Fine-tuning · Validation · Testing · Knowledge base · Inference · Monitoring.</w:t>
            </w:r>
          </w:p>
        </w:tc>
      </w:tr>
      <w:tr>
        <w:tc>
          <w:tcPr>
            <w:tcW w:w="3213" w:type="dxa"/>
          </w:tcPr>
          <w:p>
            <w:pPr>
              <w:pStyle w:val="Celda"/>
            </w:pPr>
            <w:r>
              <w:t xml:space="preserve">Period covered and volume</w:t>
            </w:r>
          </w:p>
        </w:tc>
        <w:tc>
          <w:tcPr>
            <w:tcW w:w="3213" w:type="dxa"/>
          </w:tcPr>
          <w:p>
            <w:pPr>
              <w:pStyle w:val="Celda"/>
            </w:pPr>
          </w:p>
        </w:tc>
        <w:tc>
          <w:tcPr>
            <w:tcW w:w="3213" w:type="dxa"/>
          </w:tcPr>
          <w:p>
            <w:pPr>
              <w:pStyle w:val="Celda"/>
            </w:pPr>
            <w:r>
              <w:t xml:space="preserve">Dates and number of records.</w:t>
            </w:r>
          </w:p>
        </w:tc>
      </w:tr>
      <w:tr>
        <w:tc>
          <w:tcPr>
            <w:tcW w:w="3213" w:type="dxa"/>
          </w:tcPr>
          <w:p>
            <w:pPr>
              <w:pStyle w:val="Celda"/>
            </w:pPr>
            <w:r>
              <w:t xml:space="preserve">Personal data</w:t>
            </w:r>
          </w:p>
        </w:tc>
        <w:tc>
          <w:tcPr>
            <w:tcW w:w="3213" w:type="dxa"/>
          </w:tcPr>
          <w:p>
            <w:pPr>
              <w:pStyle w:val="Celda"/>
            </w:pPr>
          </w:p>
        </w:tc>
        <w:tc>
          <w:tcPr>
            <w:tcW w:w="3213" w:type="dxa"/>
          </w:tcPr>
          <w:p>
            <w:pPr>
              <w:pStyle w:val="Celda"/>
            </w:pPr>
            <w:r>
              <w:t xml:space="preserve">Yes · No. Categories; special categories; minors.</w:t>
            </w:r>
          </w:p>
        </w:tc>
      </w:tr>
      <w:tr>
        <w:tc>
          <w:tcPr>
            <w:tcW w:w="3213" w:type="dxa"/>
          </w:tcPr>
          <w:p>
            <w:pPr>
              <w:pStyle w:val="Celda"/>
            </w:pPr>
            <w:r>
              <w:t xml:space="preserve">Review by the data protection officer</w:t>
            </w:r>
          </w:p>
        </w:tc>
        <w:tc>
          <w:tcPr>
            <w:tcW w:w="3213" w:type="dxa"/>
          </w:tcPr>
          <w:p>
            <w:pPr>
              <w:pStyle w:val="Celda"/>
            </w:pPr>
          </w:p>
        </w:tc>
        <w:tc>
          <w:tcPr>
            <w:tcW w:w="3213" w:type="dxa"/>
          </w:tcPr>
          <w:p>
            <w:pPr>
              <w:pStyle w:val="Celda"/>
            </w:pPr>
            <w:r>
              <w:t xml:space="preserve">Date and result.</w:t>
            </w:r>
          </w:p>
        </w:tc>
      </w:tr>
      <w:tr>
        <w:tc>
          <w:tcPr>
            <w:tcW w:w="3213" w:type="dxa"/>
          </w:tcPr>
          <w:p>
            <w:pPr>
              <w:pStyle w:val="Celda"/>
            </w:pPr>
            <w:r>
              <w:t xml:space="preserve">Legal basis and authorised purposes</w:t>
            </w:r>
          </w:p>
        </w:tc>
        <w:tc>
          <w:tcPr>
            <w:tcW w:w="3213" w:type="dxa"/>
          </w:tcPr>
          <w:p>
            <w:pPr>
              <w:pStyle w:val="Celda"/>
            </w:pPr>
          </w:p>
        </w:tc>
        <w:tc>
          <w:tcPr>
            <w:tcW w:w="3213" w:type="dxa"/>
          </w:tcPr>
          <w:p>
            <w:pPr>
              <w:pStyle w:val="Celda"/>
            </w:pPr>
            <w:r>
              <w:t xml:space="preserve">By purpose (GDPR, Art. 6); compatibility analysis if the purpose is new (Art. 6.4).</w:t>
            </w:r>
          </w:p>
        </w:tc>
      </w:tr>
      <w:tr>
        <w:tc>
          <w:tcPr>
            <w:tcW w:w="3213" w:type="dxa"/>
          </w:tcPr>
          <w:p>
            <w:pPr>
              <w:pStyle w:val="Celda"/>
            </w:pPr>
            <w:r>
              <w:t xml:space="preserve">Justification for each personal attribute used as a variable </w:t>
            </w:r>
            <w:r>
              <w:rPr>
                <w:b/>
              </w:rPr>
              <w:t xml:space="preserve">(Enterprise)</w:t>
            </w:r>
          </w:p>
        </w:tc>
        <w:tc>
          <w:tcPr>
            <w:tcW w:w="3213" w:type="dxa"/>
          </w:tcPr>
          <w:p>
            <w:pPr>
              <w:pStyle w:val="Celda"/>
            </w:pPr>
          </w:p>
        </w:tc>
        <w:tc>
          <w:tcPr>
            <w:tcW w:w="3213" w:type="dxa"/>
          </w:tcPr>
          <w:p>
            <w:pPr>
              <w:pStyle w:val="Celda"/>
            </w:pPr>
            <w:r>
              <w:t xml:space="preserve">Minimisation (51 §4.4).</w:t>
            </w:r>
          </w:p>
        </w:tc>
      </w:tr>
      <w:tr>
        <w:tc>
          <w:tcPr>
            <w:tcW w:w="3213" w:type="dxa"/>
          </w:tcPr>
          <w:p>
            <w:pPr>
              <w:pStyle w:val="Celda"/>
            </w:pPr>
            <w:r>
              <w:t xml:space="preserve">Use and confidentiality restrictions</w:t>
            </w:r>
          </w:p>
        </w:tc>
        <w:tc>
          <w:tcPr>
            <w:tcW w:w="3213" w:type="dxa"/>
          </w:tcPr>
          <w:p>
            <w:pPr>
              <w:pStyle w:val="Celda"/>
            </w:pPr>
          </w:p>
        </w:tc>
        <w:tc>
          <w:tcPr>
            <w:tcW w:w="3213" w:type="dxa"/>
          </w:tcPr>
          <w:p>
            <w:pPr>
              <w:pStyle w:val="Celda"/>
            </w:pPr>
            <w:r>
              <w:t xml:space="preserve">Contractual, licensing, sectoral or territorial; information classification.</w:t>
            </w:r>
          </w:p>
        </w:tc>
      </w:tr>
      <w:tr>
        <w:tc>
          <w:tcPr>
            <w:tcW w:w="3213" w:type="dxa"/>
          </w:tcPr>
          <w:p>
            <w:pPr>
              <w:pStyle w:val="Celda"/>
            </w:pPr>
            <w:r>
              <w:t xml:space="preserve">Retention</w:t>
            </w:r>
          </w:p>
        </w:tc>
        <w:tc>
          <w:tcPr>
            <w:tcW w:w="3213" w:type="dxa"/>
          </w:tcPr>
          <w:p>
            <w:pPr>
              <w:pStyle w:val="Celda"/>
            </w:pPr>
          </w:p>
        </w:tc>
        <w:tc>
          <w:tcPr>
            <w:tcW w:w="3213" w:type="dxa"/>
          </w:tcPr>
          <w:p>
            <w:pPr>
              <w:pStyle w:val="Celda"/>
            </w:pPr>
            <w:r>
              <w:t xml:space="preserve">Period and rule for deletion or anonymisation (51 §4.5).</w:t>
            </w:r>
          </w:p>
        </w:tc>
      </w:tr>
      <w:tr>
        <w:tc>
          <w:tcPr>
            <w:tcW w:w="3213" w:type="dxa"/>
          </w:tcPr>
          <w:p>
            <w:pPr>
              <w:pStyle w:val="Celda"/>
            </w:pPr>
            <w:r>
              <w:t xml:space="preserve">Systems that use it</w:t>
            </w:r>
          </w:p>
        </w:tc>
        <w:tc>
          <w:tcPr>
            <w:tcW w:w="3213" w:type="dxa"/>
          </w:tcPr>
          <w:p>
            <w:pPr>
              <w:pStyle w:val="Celda"/>
            </w:pPr>
          </w:p>
        </w:tc>
        <w:tc>
          <w:tcPr>
            <w:tcW w:w="3213" w:type="dxa"/>
          </w:tcPr>
          <w:p>
            <w:pPr>
              <w:pStyle w:val="Celda"/>
            </w:pPr>
            <w:r>
              <w:t xml:space="preserve">Initiatives and model versions; link to P16 and T02.</w:t>
            </w:r>
          </w:p>
        </w:tc>
      </w:tr>
      <w:tr>
        <w:tc>
          <w:tcPr>
            <w:tcW w:w="3213" w:type="dxa"/>
          </w:tcPr>
          <w:p>
            <w:pPr>
              <w:pStyle w:val="Celda"/>
            </w:pPr>
            <w:r>
              <w:t xml:space="preserve">Version and freeze date</w:t>
            </w:r>
          </w:p>
        </w:tc>
        <w:tc>
          <w:tcPr>
            <w:tcW w:w="3213" w:type="dxa"/>
          </w:tcPr>
          <w:p>
            <w:pPr>
              <w:pStyle w:val="Celda"/>
            </w:pPr>
          </w:p>
        </w:tc>
        <w:tc>
          <w:tcPr>
            <w:tcW w:w="3213" w:type="dxa"/>
          </w:tcPr>
          <w:p>
            <w:pPr>
              <w:pStyle w:val="Celda"/>
            </w:pPr>
            <w:r>
              <w:t xml:space="preserve">Mandatory if it was used for training.</w:t>
            </w:r>
          </w:p>
        </w:tc>
      </w:tr>
      <w:tr>
        <w:tc>
          <w:tcPr>
            <w:tcW w:w="3213" w:type="dxa"/>
          </w:tcPr>
          <w:p>
            <w:pPr>
              <w:pStyle w:val="Celda"/>
            </w:pPr>
            <w:r>
              <w:t xml:space="preserve">Synthetic data</w:t>
            </w:r>
          </w:p>
        </w:tc>
        <w:tc>
          <w:tcPr>
            <w:tcW w:w="3213" w:type="dxa"/>
          </w:tcPr>
          <w:p>
            <w:pPr>
              <w:pStyle w:val="Celda"/>
            </w:pPr>
          </w:p>
        </w:tc>
        <w:tc>
          <w:tcPr>
            <w:tcW w:w="3213" w:type="dxa"/>
          </w:tcPr>
          <w:p>
            <w:pPr>
              <w:pStyle w:val="Celda"/>
            </w:pPr>
            <w:r>
              <w:t xml:space="preserve">Yes · No. If Yes, source dataset, generation method and version; utility and privacy validation (DAT-11). Until shown otherwise, they are treated as personal data.</w:t>
            </w:r>
          </w:p>
        </w:tc>
      </w:tr>
    </w:tbl>
    <w:p>
      <w:pPr>
        <w:pStyle w:val="Espacio"/>
      </w:pPr>
    </w:p>
    <w:p>
      <w:r>
        <w:rPr>
          <w:i/>
        </w:rPr>
        <w:t xml:space="preserve">(Illustrative example)</w:t>
      </w:r>
      <w:r>
        <w:t xml:space="preserve"> CD-01 · Maintenance work order history 2023–2025 · owner: head of maintenance · custodian: data platform team · 180,000 records · no personal data after pseudonymising the technician identifier · authorised purpose: estimate the probability of failure · frozen at version 3 on 15-11-2026.</w:t>
      </w:r>
    </w:p>
    <w:p>
      <w:pPr>
        <w:pStyle w:val="Separador"/>
      </w:pPr>
    </w:p>
    <w:p>
      <w:pPr>
        <w:pStyle w:val="Heading1"/>
      </w:pPr>
      <w:r>
        <w:t xml:space="preserve">4. Quality by dimension</w:t>
      </w:r>
    </w:p>
    <w:p>
      <w:r>
        <w:t xml:space="preserve">Thresholds set in phase 3; they become monitoring controls in P25.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Dimension</w:t>
            </w:r>
          </w:p>
        </w:tc>
        <w:tc>
          <w:tcPr>
            <w:tcW w:w="1606" w:type="dxa"/>
            <w:shd w:val="clear" w:color="auto" w:fill="F2DFCE"/>
          </w:tcPr>
          <w:p>
            <w:pPr>
              <w:pStyle w:val="Celda"/>
            </w:pPr>
            <w:r>
              <w:rPr>
                <w:b/>
              </w:rPr>
              <w:t xml:space="preserve">Rule applied</w:t>
            </w:r>
          </w:p>
        </w:tc>
        <w:tc>
          <w:tcPr>
            <w:tcW w:w="1606" w:type="dxa"/>
            <w:shd w:val="clear" w:color="auto" w:fill="F2DFCE"/>
          </w:tcPr>
          <w:p>
            <w:pPr>
              <w:pStyle w:val="Celda"/>
            </w:pPr>
            <w:r>
              <w:rPr>
                <w:b/>
              </w:rPr>
              <w:t xml:space="preserve">Threshold</w:t>
            </w:r>
          </w:p>
        </w:tc>
        <w:tc>
          <w:tcPr>
            <w:tcW w:w="1606" w:type="dxa"/>
            <w:shd w:val="clear" w:color="auto" w:fill="F2DFCE"/>
          </w:tcPr>
          <w:p>
            <w:pPr>
              <w:pStyle w:val="Celda"/>
            </w:pPr>
            <w:r>
              <w:rPr>
                <w:b/>
              </w:rPr>
              <w:t xml:space="preserve">Result</w:t>
            </w:r>
          </w:p>
        </w:tc>
        <w:tc>
          <w:tcPr>
            <w:tcW w:w="1606" w:type="dxa"/>
            <w:shd w:val="clear" w:color="auto" w:fill="F2DFCE"/>
          </w:tcPr>
          <w:p>
            <w:pPr>
              <w:pStyle w:val="Celda"/>
            </w:pPr>
            <w:r>
              <w:rPr>
                <w:b/>
              </w:rPr>
              <w:t xml:space="preserve">Measurement date</w:t>
            </w:r>
          </w:p>
        </w:tc>
        <w:tc>
          <w:tcPr>
            <w:tcW w:w="1606" w:type="dxa"/>
            <w:shd w:val="clear" w:color="auto" w:fill="F2DFCE"/>
          </w:tcPr>
          <w:p>
            <w:pPr>
              <w:pStyle w:val="Celda"/>
            </w:pPr>
            <w:r>
              <w:rPr>
                <w:b/>
              </w:rPr>
              <w:t xml:space="preserve">Sufficient · With actions · Insufficient</w:t>
            </w:r>
          </w:p>
        </w:tc>
      </w:tr>
      <w:tr>
        <w:tc>
          <w:tcPr>
            <w:tcW w:w="1606" w:type="dxa"/>
          </w:tcPr>
          <w:p>
            <w:pPr>
              <w:pStyle w:val="Celda"/>
            </w:pPr>
            <w:r>
              <w:t xml:space="preserve">Accuracy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Completeness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Consistency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Timeliness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Validity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Uniqueness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Representativeness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Label quality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r>
              <w:t xml:space="preserve"> Completeness</w:t>
            </w:r>
          </w:p>
        </w:tc>
        <w:tc>
          <w:tcPr>
            <w:tcW w:w="1606" w:type="dxa"/>
          </w:tcPr>
          <w:p>
            <w:pPr>
              <w:pStyle w:val="Celda"/>
            </w:pPr>
            <w:r>
              <w:t xml:space="preserve">Proportion of nulls in the failure code</w:t>
            </w:r>
          </w:p>
        </w:tc>
        <w:tc>
          <w:tcPr>
            <w:tcW w:w="1606" w:type="dxa"/>
          </w:tcPr>
          <w:p>
            <w:pPr>
              <w:pStyle w:val="Celda"/>
            </w:pPr>
            <w:r>
              <w:t xml:space="preserve">≤ 5%</w:t>
            </w:r>
          </w:p>
        </w:tc>
        <w:tc>
          <w:tcPr>
            <w:tcW w:w="1606" w:type="dxa"/>
          </w:tcPr>
          <w:p>
            <w:pPr>
              <w:pStyle w:val="Celda"/>
            </w:pPr>
            <w:r>
              <w:t xml:space="preserve">4%</w:t>
            </w:r>
          </w:p>
        </w:tc>
        <w:tc>
          <w:tcPr>
            <w:tcW w:w="1606" w:type="dxa"/>
          </w:tcPr>
          <w:p>
            <w:pPr>
              <w:pStyle w:val="Celda"/>
            </w:pPr>
            <w:r>
              <w:t xml:space="preserve">20-10-2026</w:t>
            </w:r>
          </w:p>
        </w:tc>
        <w:tc>
          <w:tcPr>
            <w:tcW w:w="1606" w:type="dxa"/>
          </w:tcPr>
          <w:p>
            <w:pPr>
              <w:pStyle w:val="Celda"/>
            </w:pPr>
            <w:r>
              <w:t xml:space="preserve">Sufficient</w:t>
            </w:r>
          </w:p>
        </w:tc>
      </w:tr>
    </w:tbl>
    <w:p>
      <w:pPr>
        <w:pStyle w:val="Espacio"/>
      </w:pPr>
    </w:p>
    <w:p>
      <w:pPr>
        <w:pStyle w:val="Separador"/>
      </w:pPr>
    </w:p>
    <w:p>
      <w:pPr>
        <w:pStyle w:val="Heading1"/>
      </w:pPr>
      <w:r>
        <w:t xml:space="preserve">5. Representativeness and known biases</w:t>
      </w:r>
    </w:p>
    <w:p>
      <w:r>
        <w:t xml:space="preserve">Mandatory in high-risk systems (51 §6); </w:t>
      </w:r>
      <w:r>
        <w:rPr>
          <w:b/>
        </w:rPr>
        <w:t xml:space="preserve">(Enterprise)</w:t>
      </w:r>
      <w:r>
        <w:t xml:space="preserve"> for the rest.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Population and contexts of use of the system</w:t>
            </w:r>
          </w:p>
        </w:tc>
        <w:tc>
          <w:tcPr>
            <w:tcW w:w="3213" w:type="dxa"/>
          </w:tcPr>
          <w:p>
            <w:pPr>
              <w:pStyle w:val="Celda"/>
            </w:pPr>
          </w:p>
        </w:tc>
        <w:tc>
          <w:tcPr>
            <w:tcW w:w="3213" w:type="dxa"/>
          </w:tcPr>
          <w:p>
            <w:pPr>
              <w:pStyle w:val="Celda"/>
            </w:pPr>
            <w:r>
              <w:t xml:space="preserve">Geographical, behavioural, contextual or functional.</w:t>
            </w:r>
          </w:p>
        </w:tc>
      </w:tr>
      <w:tr>
        <w:tc>
          <w:tcPr>
            <w:tcW w:w="3213" w:type="dxa"/>
          </w:tcPr>
          <w:p>
            <w:pPr>
              <w:pStyle w:val="Celda"/>
            </w:pPr>
            <w:r>
              <w:t xml:space="preserve">Populations covered and under-represented</w:t>
            </w:r>
          </w:p>
        </w:tc>
        <w:tc>
          <w:tcPr>
            <w:tcW w:w="3213" w:type="dxa"/>
          </w:tcPr>
          <w:p>
            <w:pPr>
              <w:pStyle w:val="Celda"/>
            </w:pPr>
          </w:p>
        </w:tc>
        <w:tc>
          <w:tcPr>
            <w:tcW w:w="3213" w:type="dxa"/>
          </w:tcPr>
          <w:p>
            <w:pPr>
              <w:pStyle w:val="Celda"/>
            </w:pPr>
            <w:r>
              <w:t xml:space="preserve">Distribution by segment against the population of use.</w:t>
            </w:r>
          </w:p>
        </w:tc>
      </w:tr>
      <w:tr>
        <w:tc>
          <w:tcPr>
            <w:tcW w:w="3213" w:type="dxa"/>
          </w:tcPr>
          <w:p>
            <w:pPr>
              <w:pStyle w:val="Celda"/>
            </w:pPr>
            <w:r>
              <w:t xml:space="preserve">Known biases and measures</w:t>
            </w:r>
          </w:p>
        </w:tc>
        <w:tc>
          <w:tcPr>
            <w:tcW w:w="3213" w:type="dxa"/>
          </w:tcPr>
          <w:p>
            <w:pPr>
              <w:pStyle w:val="Celda"/>
            </w:pPr>
          </w:p>
        </w:tc>
        <w:tc>
          <w:tcPr>
            <w:tcW w:w="3213" w:type="dxa"/>
          </w:tcPr>
          <w:p>
            <w:pPr>
              <w:pStyle w:val="Celda"/>
            </w:pPr>
            <w:r>
              <w:t xml:space="preserve">Link to the tests in P22 and the risks in P12.</w:t>
            </w:r>
          </w:p>
        </w:tc>
      </w:tr>
      <w:tr>
        <w:tc>
          <w:tcPr>
            <w:tcW w:w="3213" w:type="dxa"/>
          </w:tcPr>
          <w:p>
            <w:pPr>
              <w:pStyle w:val="Celda"/>
            </w:pPr>
            <w:r>
              <w:t xml:space="preserve">Use of special categories to detect bias</w:t>
            </w:r>
          </w:p>
        </w:tc>
        <w:tc>
          <w:tcPr>
            <w:tcW w:w="3213" w:type="dxa"/>
          </w:tcPr>
          <w:p>
            <w:pPr>
              <w:pStyle w:val="Celda"/>
            </w:pPr>
          </w:p>
        </w:tc>
        <w:tc>
          <w:tcPr>
            <w:tcW w:w="3213" w:type="dxa"/>
          </w:tcPr>
          <w:p>
            <w:pPr>
              <w:pStyle w:val="Celda"/>
            </w:pPr>
            <w:r>
              <w:t xml:space="preserve">Only with a decision documented with the data protection officer and safeguards (51 §9.4); reference to P11.</w:t>
            </w:r>
          </w:p>
        </w:tc>
      </w:tr>
    </w:tbl>
    <w:p>
      <w:pPr>
        <w:pStyle w:val="Espacio"/>
      </w:pPr>
    </w:p>
    <w:p>
      <w:pPr>
        <w:pStyle w:val="Separador"/>
      </w:pPr>
    </w:p>
    <w:p>
      <w:pPr>
        <w:pStyle w:val="Heading1"/>
      </w:pPr>
      <w:r>
        <w:t xml:space="preserve">6. Knowledge source inventory</w:t>
      </w:r>
    </w:p>
    <w:p>
      <w:r>
        <w:t xml:space="preserve">One row per source used by a generative AI system through retrieval (51 §10.1).</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No.</w:t>
            </w:r>
          </w:p>
        </w:tc>
        <w:tc>
          <w:tcPr>
            <w:tcW w:w="964" w:type="dxa"/>
            <w:shd w:val="clear" w:color="auto" w:fill="F2DFCE"/>
          </w:tcPr>
          <w:p>
            <w:pPr>
              <w:pStyle w:val="Celda"/>
            </w:pPr>
            <w:r>
              <w:rPr>
                <w:b/>
              </w:rPr>
              <w:t xml:space="preserve">Source</w:t>
            </w:r>
          </w:p>
        </w:tc>
        <w:tc>
          <w:tcPr>
            <w:tcW w:w="964" w:type="dxa"/>
            <w:shd w:val="clear" w:color="auto" w:fill="F2DFCE"/>
          </w:tcPr>
          <w:p>
            <w:pPr>
              <w:pStyle w:val="Celda"/>
            </w:pPr>
            <w:r>
              <w:rPr>
                <w:b/>
              </w:rPr>
              <w:t xml:space="preserve">Content owner</w:t>
            </w:r>
          </w:p>
        </w:tc>
        <w:tc>
          <w:tcPr>
            <w:tcW w:w="964" w:type="dxa"/>
            <w:shd w:val="clear" w:color="auto" w:fill="F2DFCE"/>
          </w:tcPr>
          <w:p>
            <w:pPr>
              <w:pStyle w:val="Celda"/>
            </w:pPr>
            <w:r>
              <w:rPr>
                <w:b/>
              </w:rPr>
              <w:t xml:space="preserve">Indexed scope and exclusions</w:t>
            </w:r>
          </w:p>
        </w:tc>
        <w:tc>
          <w:tcPr>
            <w:tcW w:w="964" w:type="dxa"/>
            <w:shd w:val="clear" w:color="auto" w:fill="F2DFCE"/>
          </w:tcPr>
          <w:p>
            <w:pPr>
              <w:pStyle w:val="Celda"/>
            </w:pPr>
            <w:r>
              <w:rPr>
                <w:b/>
              </w:rPr>
              <w:t xml:space="preserve">Content type</w:t>
            </w:r>
          </w:p>
        </w:tc>
        <w:tc>
          <w:tcPr>
            <w:tcW w:w="964" w:type="dxa"/>
            <w:shd w:val="clear" w:color="auto" w:fill="F2DFCE"/>
          </w:tcPr>
          <w:p>
            <w:pPr>
              <w:pStyle w:val="Celda"/>
            </w:pPr>
            <w:r>
              <w:rPr>
                <w:b/>
              </w:rPr>
              <w:t xml:space="preserve">Authority</w:t>
            </w:r>
          </w:p>
        </w:tc>
        <w:tc>
          <w:tcPr>
            <w:tcW w:w="964" w:type="dxa"/>
            <w:shd w:val="clear" w:color="auto" w:fill="F2DFCE"/>
          </w:tcPr>
          <w:p>
            <w:pPr>
              <w:pStyle w:val="Celda"/>
            </w:pPr>
            <w:r>
              <w:rPr>
                <w:b/>
              </w:rPr>
              <w:t xml:space="preserve">Classification and source permissions</w:t>
            </w:r>
          </w:p>
        </w:tc>
        <w:tc>
          <w:tcPr>
            <w:tcW w:w="964" w:type="dxa"/>
            <w:shd w:val="clear" w:color="auto" w:fill="F2DFCE"/>
          </w:tcPr>
          <w:p>
            <w:pPr>
              <w:pStyle w:val="Celda"/>
            </w:pPr>
            <w:r>
              <w:rPr>
                <w:b/>
              </w:rPr>
              <w:t xml:space="preserve">Validity (review every)</w:t>
            </w:r>
          </w:p>
        </w:tc>
        <w:tc>
          <w:tcPr>
            <w:tcW w:w="964" w:type="dxa"/>
            <w:shd w:val="clear" w:color="auto" w:fill="F2DFCE"/>
          </w:tcPr>
          <w:p>
            <w:pPr>
              <w:pStyle w:val="Celda"/>
            </w:pPr>
            <w:r>
              <w:rPr>
                <w:b/>
              </w:rPr>
              <w:t xml:space="preserve">Index update</w:t>
            </w:r>
          </w:p>
        </w:tc>
        <w:tc>
          <w:tcPr>
            <w:tcW w:w="964" w:type="dxa"/>
            <w:shd w:val="clear" w:color="auto" w:fill="F2DFCE"/>
          </w:tcPr>
          <w:p>
            <w:pPr>
              <w:pStyle w:val="Celda"/>
            </w:pPr>
            <w:r>
              <w:rPr>
                <w:b/>
              </w:rPr>
              <w:t xml:space="preserve">Third-party content</w:t>
            </w:r>
          </w:p>
        </w:tc>
      </w:tr>
      <w:tr>
        <w:tc>
          <w:tcPr>
            <w:tcW w:w="964" w:type="dxa"/>
          </w:tcPr>
          <w:p>
            <w:pPr>
              <w:pStyle w:val="Celda"/>
            </w:pPr>
            <w:r>
              <w:t xml:space="preserve">FC-01 </w:t>
            </w:r>
            <w:r>
              <w:rPr>
                <w:i/>
              </w:rPr>
              <w:t xml:space="preserve">(illustrative example)</w:t>
            </w:r>
          </w:p>
        </w:tc>
        <w:tc>
          <w:tcPr>
            <w:tcW w:w="964" w:type="dxa"/>
          </w:tcPr>
          <w:p>
            <w:pPr>
              <w:pStyle w:val="Celda"/>
            </w:pPr>
            <w:r>
              <w:t xml:space="preserve">Document space for customer service procedures</w:t>
            </w:r>
          </w:p>
        </w:tc>
        <w:tc>
          <w:tcPr>
            <w:tcW w:w="964" w:type="dxa"/>
          </w:tcPr>
          <w:p>
            <w:pPr>
              <w:pStyle w:val="Celda"/>
            </w:pPr>
            <w:r>
              <w:t xml:space="preserve">Head of service quality</w:t>
            </w:r>
          </w:p>
        </w:tc>
        <w:tc>
          <w:tcPr>
            <w:tcW w:w="964" w:type="dxa"/>
          </w:tcPr>
          <w:p>
            <w:pPr>
              <w:pStyle w:val="Celda"/>
            </w:pPr>
            <w:r>
              <w:t xml:space="preserve">Procedures in force; drafts and minutes excluded</w:t>
            </w:r>
          </w:p>
        </w:tc>
        <w:tc>
          <w:tcPr>
            <w:tcW w:w="964" w:type="dxa"/>
          </w:tcPr>
          <w:p>
            <w:pPr>
              <w:pStyle w:val="Celda"/>
            </w:pPr>
            <w:r>
              <w:t xml:space="preserve">Procedure</w:t>
            </w:r>
          </w:p>
        </w:tc>
        <w:tc>
          <w:tcPr>
            <w:tcW w:w="964" w:type="dxa"/>
          </w:tcPr>
          <w:p>
            <w:pPr>
              <w:pStyle w:val="Celda"/>
            </w:pPr>
            <w:r>
              <w:t xml:space="preserve">Official</w:t>
            </w:r>
          </w:p>
        </w:tc>
        <w:tc>
          <w:tcPr>
            <w:tcW w:w="964" w:type="dxa"/>
          </w:tcPr>
          <w:p>
            <w:pPr>
              <w:pStyle w:val="Celda"/>
            </w:pPr>
            <w:r>
              <w:t xml:space="preserve">Internal; permissions by team</w:t>
            </w:r>
          </w:p>
        </w:tc>
        <w:tc>
          <w:tcPr>
            <w:tcW w:w="964" w:type="dxa"/>
          </w:tcPr>
          <w:p>
            <w:pPr>
              <w:pStyle w:val="Celda"/>
            </w:pPr>
            <w:r>
              <w:t xml:space="preserve">6 months</w:t>
            </w:r>
          </w:p>
        </w:tc>
        <w:tc>
          <w:tcPr>
            <w:tcW w:w="964" w:type="dxa"/>
          </w:tcPr>
          <w:p>
            <w:pPr>
              <w:pStyle w:val="Celda"/>
            </w:pPr>
            <w:r>
              <w:t xml:space="preserve">Daily</w:t>
            </w:r>
          </w:p>
        </w:tc>
        <w:tc>
          <w:tcPr>
            <w:tcW w:w="964" w:type="dxa"/>
          </w:tcPr>
          <w:p>
            <w:pPr>
              <w:pStyle w:val="Celda"/>
            </w:pPr>
            <w:r>
              <w:t xml:space="preserve">No</w:t>
            </w:r>
          </w:p>
        </w:tc>
      </w:tr>
      <w:tr>
        <w:tc>
          <w:tcPr>
            <w:tcW w:w="964" w:type="dxa"/>
          </w:tcPr>
          <w:p>
            <w:pPr>
              <w:pStyle w:val="Celda"/>
            </w:pPr>
            <w:r>
              <w:t xml:space="preserve">FC-01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Internal regulation · Procedure · Product · Technical · Legal · Commercial · Historical</w:t>
            </w:r>
          </w:p>
        </w:tc>
        <w:tc>
          <w:tcPr>
            <w:tcW w:w="964" w:type="dxa"/>
          </w:tcPr>
          <w:p>
            <w:pPr>
              <w:pStyle w:val="Celda"/>
            </w:pPr>
            <w:r>
              <w:t xml:space="preserve">Official · Supporting · Informative</w:t>
            </w:r>
          </w:p>
        </w:tc>
        <w:tc>
          <w:tcPr>
            <w:tcW w:w="964" w:type="dxa"/>
          </w:tcPr>
          <w:p>
            <w:pPr>
              <w:pStyle w:val="Celda"/>
            </w:pPr>
          </w:p>
        </w:tc>
        <w:tc>
          <w:tcPr>
            <w:tcW w:w="964" w:type="dxa"/>
          </w:tcPr>
          <w:p>
            <w:pPr>
              <w:pStyle w:val="Celda"/>
            </w:pPr>
          </w:p>
        </w:tc>
        <w:tc>
          <w:tcPr>
            <w:tcW w:w="964" w:type="dxa"/>
          </w:tcPr>
          <w:p>
            <w:pPr>
              <w:pStyle w:val="Celda"/>
            </w:pPr>
            <w:r>
              <w:t xml:space="preserve">Continuous · Daily · Weekly</w:t>
            </w:r>
          </w:p>
        </w:tc>
        <w:tc>
          <w:tcPr>
            <w:tcW w:w="964" w:type="dxa"/>
          </w:tcPr>
          <w:p>
            <w:pPr>
              <w:pStyle w:val="Celda"/>
            </w:pPr>
          </w:p>
        </w:tc>
      </w:tr>
    </w:tbl>
    <w:p>
      <w:pPr>
        <w:pStyle w:val="Espacio"/>
      </w:pPr>
    </w:p>
    <w:p>
      <w:pPr>
        <w:pStyle w:val="Separador"/>
      </w:pPr>
    </w:p>
    <w:p>
      <w:pPr>
        <w:pStyle w:val="Heading1"/>
      </w:pPr>
      <w:r>
        <w:t xml:space="preserve">7. Admission, curation and permissions for each source</w:t>
      </w:r>
    </w:p>
    <w:p>
      <w:r>
        <w:t xml:space="preserve">A source </w:t>
      </w:r>
      <w:r>
        <w:rPr>
          <w:b/>
        </w:rPr>
        <w:t xml:space="preserve">should not</w:t>
      </w:r>
      <w:r>
        <w:t xml:space="preserve"> be connected if any admission check fails (51 §10.2).</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Source</w:t>
            </w:r>
          </w:p>
        </w:tc>
        <w:tc>
          <w:tcPr>
            <w:tcW w:w="1071" w:type="dxa"/>
            <w:shd w:val="clear" w:color="auto" w:fill="F2DFCE"/>
          </w:tcPr>
          <w:p>
            <w:pPr>
              <w:pStyle w:val="Celda"/>
            </w:pPr>
            <w:r>
              <w:rPr>
                <w:b/>
              </w:rPr>
              <w:t xml:space="preserve">Has an owner</w:t>
            </w:r>
          </w:p>
        </w:tc>
        <w:tc>
          <w:tcPr>
            <w:tcW w:w="1071" w:type="dxa"/>
            <w:shd w:val="clear" w:color="auto" w:fill="F2DFCE"/>
          </w:tcPr>
          <w:p>
            <w:pPr>
              <w:pStyle w:val="Celda"/>
            </w:pPr>
            <w:r>
              <w:rPr>
                <w:b/>
              </w:rPr>
              <w:t xml:space="preserve">What is in force can be identified</w:t>
            </w:r>
          </w:p>
        </w:tc>
        <w:tc>
          <w:tcPr>
            <w:tcW w:w="1071" w:type="dxa"/>
            <w:shd w:val="clear" w:color="auto" w:fill="F2DFCE"/>
          </w:tcPr>
          <w:p>
            <w:pPr>
              <w:pStyle w:val="Celda"/>
            </w:pPr>
            <w:r>
              <w:rPr>
                <w:b/>
              </w:rPr>
              <w:t xml:space="preserve">Does not mix drafts and old versions</w:t>
            </w:r>
          </w:p>
        </w:tc>
        <w:tc>
          <w:tcPr>
            <w:tcW w:w="1071" w:type="dxa"/>
            <w:shd w:val="clear" w:color="auto" w:fill="F2DFCE"/>
          </w:tcPr>
          <w:p>
            <w:pPr>
              <w:pStyle w:val="Celda"/>
            </w:pPr>
            <w:r>
              <w:rPr>
                <w:b/>
              </w:rPr>
              <w:t xml:space="preserve">Permissions transferable to retrieval</w:t>
            </w:r>
          </w:p>
        </w:tc>
        <w:tc>
          <w:tcPr>
            <w:tcW w:w="1071" w:type="dxa"/>
            <w:shd w:val="clear" w:color="auto" w:fill="F2DFCE"/>
          </w:tcPr>
          <w:p>
            <w:pPr>
              <w:pStyle w:val="Celda"/>
            </w:pPr>
            <w:r>
              <w:rPr>
                <w:b/>
              </w:rPr>
              <w:t xml:space="preserve">Personal data and third parties analysed</w:t>
            </w:r>
          </w:p>
        </w:tc>
        <w:tc>
          <w:tcPr>
            <w:tcW w:w="1071" w:type="dxa"/>
            <w:shd w:val="clear" w:color="auto" w:fill="F2DFCE"/>
          </w:tcPr>
          <w:p>
            <w:pPr>
              <w:pStyle w:val="Celda"/>
            </w:pPr>
            <w:r>
              <w:rPr>
                <w:b/>
              </w:rPr>
              <w:t xml:space="preserve">Initial clean-up before G5</w:t>
            </w:r>
          </w:p>
        </w:tc>
        <w:tc>
          <w:tcPr>
            <w:tcW w:w="1071" w:type="dxa"/>
            <w:shd w:val="clear" w:color="auto" w:fill="F2DFCE"/>
          </w:tcPr>
          <w:p>
            <w:pPr>
              <w:pStyle w:val="Celda"/>
            </w:pPr>
            <w:r>
              <w:rPr>
                <w:b/>
              </w:rPr>
              <w:t xml:space="preserve">Permission filtering at retrieval tested</w:t>
            </w:r>
          </w:p>
        </w:tc>
        <w:tc>
          <w:tcPr>
            <w:tcW w:w="1071" w:type="dxa"/>
            <w:shd w:val="clear" w:color="auto" w:fill="F2DFCE"/>
          </w:tcPr>
          <w:p>
            <w:pPr>
              <w:pStyle w:val="Celda"/>
            </w:pPr>
            <w:r>
              <w:rPr>
                <w:b/>
              </w:rPr>
              <w:t xml:space="preserve">Last validity review</w:t>
            </w:r>
          </w:p>
        </w:tc>
      </w:tr>
      <w:tr>
        <w:tc>
          <w:tcPr>
            <w:tcW w:w="1071" w:type="dxa"/>
          </w:tcPr>
          <w:p>
            <w:pPr>
              <w:pStyle w:val="Celda"/>
            </w:pPr>
            <w:r>
              <w:t xml:space="preserve">FC-01</w:t>
            </w:r>
          </w:p>
        </w:tc>
        <w:tc>
          <w:tcPr>
            <w:tcW w:w="1071" w:type="dxa"/>
          </w:tcPr>
          <w:p>
            <w:pPr>
              <w:pStyle w:val="Celda"/>
            </w:pPr>
            <w:r>
              <w:t xml:space="preserve">Yes · No</w:t>
            </w:r>
          </w:p>
        </w:tc>
        <w:tc>
          <w:tcPr>
            <w:tcW w:w="1071" w:type="dxa"/>
          </w:tcPr>
          <w:p>
            <w:pPr>
              <w:pStyle w:val="Celda"/>
            </w:pPr>
            <w:r>
              <w:t xml:space="preserve">Yes · No</w:t>
            </w:r>
          </w:p>
        </w:tc>
        <w:tc>
          <w:tcPr>
            <w:tcW w:w="1071" w:type="dxa"/>
          </w:tcPr>
          <w:p>
            <w:pPr>
              <w:pStyle w:val="Celda"/>
            </w:pPr>
            <w:r>
              <w:t xml:space="preserve">Yes · No</w:t>
            </w:r>
          </w:p>
        </w:tc>
        <w:tc>
          <w:tcPr>
            <w:tcW w:w="1071" w:type="dxa"/>
          </w:tcPr>
          <w:p>
            <w:pPr>
              <w:pStyle w:val="Celda"/>
            </w:pPr>
            <w:r>
              <w:t xml:space="preserve">Yes · No</w:t>
            </w:r>
          </w:p>
        </w:tc>
        <w:tc>
          <w:tcPr>
            <w:tcW w:w="1071" w:type="dxa"/>
          </w:tcPr>
          <w:p>
            <w:pPr>
              <w:pStyle w:val="Celda"/>
            </w:pPr>
            <w:r>
              <w:t xml:space="preserve">Yes · No</w:t>
            </w:r>
          </w:p>
        </w:tc>
        <w:tc>
          <w:tcPr>
            <w:tcW w:w="1071" w:type="dxa"/>
          </w:tcPr>
          <w:p>
            <w:pPr>
              <w:pStyle w:val="Celda"/>
            </w:pPr>
            <w:r>
              <w:t xml:space="preserve">Date</w:t>
            </w:r>
          </w:p>
        </w:tc>
        <w:tc>
          <w:tcPr>
            <w:tcW w:w="1071" w:type="dxa"/>
          </w:tcPr>
          <w:p>
            <w:pPr>
              <w:pStyle w:val="Celda"/>
            </w:pPr>
            <w:r>
              <w:t xml:space="preserve">Date and result</w:t>
            </w:r>
          </w:p>
        </w:tc>
        <w:tc>
          <w:tcPr>
            <w:tcW w:w="1071" w:type="dxa"/>
          </w:tcPr>
          <w:p>
            <w:pPr>
              <w:pStyle w:val="Celda"/>
            </w:pPr>
            <w:r>
              <w:t xml:space="preserve">Date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Maximum permission synchronisation period</w:t>
            </w:r>
          </w:p>
        </w:tc>
        <w:tc>
          <w:tcPr>
            <w:tcW w:w="3213" w:type="dxa"/>
          </w:tcPr>
          <w:p>
            <w:pPr>
              <w:pStyle w:val="Celda"/>
            </w:pPr>
          </w:p>
        </w:tc>
        <w:tc>
          <w:tcPr>
            <w:tcW w:w="3213" w:type="dxa"/>
          </w:tcPr>
          <w:p>
            <w:pPr>
              <w:pStyle w:val="Celda"/>
            </w:pPr>
            <w:r>
              <w:t xml:space="preserve">Monitored (51 §10.4).</w:t>
            </w:r>
          </w:p>
        </w:tc>
      </w:tr>
      <w:tr>
        <w:tc>
          <w:tcPr>
            <w:tcW w:w="3213" w:type="dxa"/>
          </w:tcPr>
          <w:p>
            <w:pPr>
              <w:pStyle w:val="Celda"/>
            </w:pPr>
            <w:r>
              <w:t xml:space="preserve">Review of excessive inherited permissions before connecting</w:t>
            </w:r>
          </w:p>
        </w:tc>
        <w:tc>
          <w:tcPr>
            <w:tcW w:w="3213" w:type="dxa"/>
          </w:tcPr>
          <w:p>
            <w:pPr>
              <w:pStyle w:val="Celda"/>
            </w:pPr>
          </w:p>
        </w:tc>
        <w:tc>
          <w:tcPr>
            <w:tcW w:w="3213" w:type="dxa"/>
          </w:tcPr>
          <w:p>
            <w:pPr>
              <w:pStyle w:val="Celda"/>
            </w:pPr>
            <w:r>
              <w:t xml:space="preserve">Date and result.</w:t>
            </w:r>
          </w:p>
        </w:tc>
      </w:tr>
      <w:tr>
        <w:tc>
          <w:tcPr>
            <w:tcW w:w="3213" w:type="dxa"/>
          </w:tcPr>
          <w:p>
            <w:pPr>
              <w:pStyle w:val="Celda"/>
            </w:pPr>
            <w:r>
              <w:t xml:space="preserve">Content validity (CNC-02) and use of out-of-date content (CNC-03)</w:t>
            </w:r>
          </w:p>
        </w:tc>
        <w:tc>
          <w:tcPr>
            <w:tcW w:w="3213" w:type="dxa"/>
          </w:tcPr>
          <w:p>
            <w:pPr>
              <w:pStyle w:val="Celda"/>
            </w:pPr>
          </w:p>
        </w:tc>
        <w:tc>
          <w:tcPr>
            <w:tcW w:w="3213" w:type="dxa"/>
          </w:tcPr>
          <w:p>
            <w:pPr>
              <w:pStyle w:val="Celda"/>
            </w:pPr>
            <w:r>
              <w:t xml:space="preserve">Latest value.</w:t>
            </w:r>
          </w:p>
        </w:tc>
      </w:tr>
      <w:tr>
        <w:tc>
          <w:tcPr>
            <w:tcW w:w="3213" w:type="dxa"/>
          </w:tcPr>
          <w:p>
            <w:pPr>
              <w:pStyle w:val="Celda"/>
            </w:pPr>
            <w:r>
              <w:t xml:space="preserve">Queries without a relevant source (CNC-08) </w:t>
            </w:r>
            <w:r>
              <w:rPr>
                <w:b/>
              </w:rPr>
              <w:t xml:space="preserve">(Enterprise)</w:t>
            </w:r>
          </w:p>
        </w:tc>
        <w:tc>
          <w:tcPr>
            <w:tcW w:w="3213" w:type="dxa"/>
          </w:tcPr>
          <w:p>
            <w:pPr>
              <w:pStyle w:val="Celda"/>
            </w:pPr>
          </w:p>
        </w:tc>
        <w:tc>
          <w:tcPr>
            <w:tcW w:w="3213" w:type="dxa"/>
          </w:tcPr>
          <w:p>
            <w:pPr>
              <w:pStyle w:val="Celda"/>
            </w:pPr>
            <w:r>
              <w:t xml:space="preserve">Gaps detected and content created or improved.</w:t>
            </w:r>
          </w:p>
        </w:tc>
      </w:tr>
    </w:tbl>
    <w:p>
      <w:pPr>
        <w:pStyle w:val="Espacio"/>
      </w:pPr>
    </w:p>
    <w:p>
      <w:pPr>
        <w:pStyle w:val="Separador"/>
      </w:pPr>
    </w:p>
    <w:p>
      <w:pPr>
        <w:pStyle w:val="Heading1"/>
      </w:pPr>
      <w:r>
        <w:t xml:space="preserve">8. Knowledge dependence map</w:t>
      </w:r>
    </w:p>
    <w:p>
      <w:r>
        <w:t xml:space="preserve">Corporate; prepared at C1 and reviewed at C5 (51 §10.6, steps 1 and 2).</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Critical domain</w:t>
            </w:r>
          </w:p>
        </w:tc>
        <w:tc>
          <w:tcPr>
            <w:tcW w:w="1377" w:type="dxa"/>
            <w:shd w:val="clear" w:color="auto" w:fill="F2DFCE"/>
          </w:tcPr>
          <w:p>
            <w:pPr>
              <w:pStyle w:val="Celda"/>
            </w:pPr>
            <w:r>
              <w:rPr>
                <w:b/>
              </w:rPr>
              <w:t xml:space="preserve">Owning area</w:t>
            </w:r>
          </w:p>
        </w:tc>
        <w:tc>
          <w:tcPr>
            <w:tcW w:w="1377" w:type="dxa"/>
            <w:shd w:val="clear" w:color="auto" w:fill="F2DFCE"/>
          </w:tcPr>
          <w:p>
            <w:pPr>
              <w:pStyle w:val="Celda"/>
            </w:pPr>
            <w:r>
              <w:rPr>
                <w:b/>
              </w:rPr>
              <w:t xml:space="preserve">People who master it</w:t>
            </w:r>
          </w:p>
        </w:tc>
        <w:tc>
          <w:tcPr>
            <w:tcW w:w="1377" w:type="dxa"/>
            <w:shd w:val="clear" w:color="auto" w:fill="F2DFCE"/>
          </w:tcPr>
          <w:p>
            <w:pPr>
              <w:pStyle w:val="Celda"/>
            </w:pPr>
            <w:r>
              <w:rPr>
                <w:b/>
              </w:rPr>
              <w:t xml:space="preserve">Usable documentation (Yes · Partial · No)</w:t>
            </w:r>
          </w:p>
        </w:tc>
        <w:tc>
          <w:tcPr>
            <w:tcW w:w="1377" w:type="dxa"/>
            <w:shd w:val="clear" w:color="auto" w:fill="F2DFCE"/>
          </w:tcPr>
          <w:p>
            <w:pPr>
              <w:pStyle w:val="Celda"/>
            </w:pPr>
            <w:r>
              <w:rPr>
                <w:b/>
              </w:rPr>
              <w:t xml:space="preserve">Departure risk within the thesis horizon</w:t>
            </w:r>
          </w:p>
        </w:tc>
        <w:tc>
          <w:tcPr>
            <w:tcW w:w="1377" w:type="dxa"/>
            <w:shd w:val="clear" w:color="auto" w:fill="F2DFCE"/>
          </w:tcPr>
          <w:p>
            <w:pPr>
              <w:pStyle w:val="Celda"/>
            </w:pPr>
            <w:r>
              <w:rPr>
                <w:b/>
              </w:rPr>
              <w:t xml:space="preserve">Dependent? (≤ 2 people and no documentation)</w:t>
            </w:r>
          </w:p>
        </w:tc>
      </w:tr>
      <w:tr>
        <w:tc>
          <w:tcPr>
            <w:tcW w:w="1377" w:type="dxa"/>
          </w:tcPr>
          <w:p>
            <w:pPr>
              <w:pStyle w:val="Celda"/>
            </w:pPr>
            <w:r>
              <w:t xml:space="preserve">DC-01 </w:t>
            </w:r>
            <w:r>
              <w:rPr>
                <w:i/>
              </w:rPr>
              <w:t xml:space="preserve">(illustrative example)</w:t>
            </w:r>
          </w:p>
        </w:tc>
        <w:tc>
          <w:tcPr>
            <w:tcW w:w="1377" w:type="dxa"/>
          </w:tcPr>
          <w:p>
            <w:pPr>
              <w:pStyle w:val="Celda"/>
            </w:pPr>
            <w:r>
              <w:t xml:space="preserve">Set-up and failures of a legacy production line</w:t>
            </w:r>
          </w:p>
        </w:tc>
        <w:tc>
          <w:tcPr>
            <w:tcW w:w="1377" w:type="dxa"/>
          </w:tcPr>
          <w:p>
            <w:pPr>
              <w:pStyle w:val="Celda"/>
            </w:pPr>
            <w:r>
              <w:t xml:space="preserve">Technical department</w:t>
            </w:r>
          </w:p>
        </w:tc>
        <w:tc>
          <w:tcPr>
            <w:tcW w:w="1377" w:type="dxa"/>
          </w:tcPr>
          <w:p>
            <w:pPr>
              <w:pStyle w:val="Celda"/>
            </w:pPr>
            <w:r>
              <w:t xml:space="preserve">2</w:t>
            </w:r>
          </w:p>
        </w:tc>
        <w:tc>
          <w:tcPr>
            <w:tcW w:w="1377" w:type="dxa"/>
          </w:tcPr>
          <w:p>
            <w:pPr>
              <w:pStyle w:val="Celda"/>
            </w:pPr>
            <w:r>
              <w:t xml:space="preserve">Partial</w:t>
            </w:r>
          </w:p>
        </w:tc>
        <w:tc>
          <w:tcPr>
            <w:tcW w:w="1377" w:type="dxa"/>
          </w:tcPr>
          <w:p>
            <w:pPr>
              <w:pStyle w:val="Celda"/>
            </w:pPr>
            <w:r>
              <w:t xml:space="preserve">High (retirement within 18 months)</w:t>
            </w:r>
          </w:p>
        </w:tc>
        <w:tc>
          <w:tcPr>
            <w:tcW w:w="1377" w:type="dxa"/>
          </w:tcPr>
          <w:p>
            <w:pPr>
              <w:pStyle w:val="Celda"/>
            </w:pPr>
            <w:r>
              <w:t xml:space="preserve">Yes</w:t>
            </w:r>
          </w:p>
        </w:tc>
      </w:tr>
      <w:tr>
        <w:tc>
          <w:tcPr>
            <w:tcW w:w="1377" w:type="dxa"/>
          </w:tcPr>
          <w:p>
            <w:pPr>
              <w:pStyle w:val="Celda"/>
            </w:pPr>
            <w:r>
              <w:t xml:space="preserve">DC-01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Low · Medium · High</w:t>
            </w:r>
          </w:p>
        </w:tc>
        <w:tc>
          <w:tcPr>
            <w:tcW w:w="1377"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Indicator</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Formula</w:t>
            </w:r>
          </w:p>
        </w:tc>
      </w:tr>
      <w:tr>
        <w:tc>
          <w:tcPr>
            <w:tcW w:w="3213" w:type="dxa"/>
          </w:tcPr>
          <w:p>
            <w:pPr>
              <w:pStyle w:val="Celda"/>
            </w:pPr>
            <w:r>
              <w:t xml:space="preserve">CNC-06 · Critical knowledge dependence</w:t>
            </w:r>
          </w:p>
        </w:tc>
        <w:tc>
          <w:tcPr>
            <w:tcW w:w="3213" w:type="dxa"/>
          </w:tcPr>
          <w:p>
            <w:pPr>
              <w:pStyle w:val="Celda"/>
            </w:pPr>
          </w:p>
        </w:tc>
        <w:tc>
          <w:tcPr>
            <w:tcW w:w="3213" w:type="dxa"/>
          </w:tcPr>
          <w:p>
            <w:pPr>
              <w:pStyle w:val="Celda"/>
            </w:pPr>
            <w:r>
              <w:t xml:space="preserve">Dependent domains ÷ critical domains.</w:t>
            </w:r>
          </w:p>
        </w:tc>
      </w:tr>
    </w:tbl>
    <w:p>
      <w:pPr>
        <w:pStyle w:val="Espacio"/>
      </w:pPr>
    </w:p>
    <w:p>
      <w:pPr>
        <w:pStyle w:val="Separador"/>
      </w:pPr>
    </w:p>
    <w:p>
      <w:pPr>
        <w:pStyle w:val="Heading1"/>
      </w:pPr>
      <w:r>
        <w:t xml:space="preserve">9. Capture plan</w:t>
      </w:r>
    </w:p>
    <w:p>
      <w:r>
        <w:t xml:space="preserve">For the prioritised domains (51 §10.6, steps 3 to 6).</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Domain</w:t>
            </w:r>
          </w:p>
        </w:tc>
        <w:tc>
          <w:tcPr>
            <w:tcW w:w="1205" w:type="dxa"/>
            <w:shd w:val="clear" w:color="auto" w:fill="F2DFCE"/>
          </w:tcPr>
          <w:p>
            <w:pPr>
              <w:pStyle w:val="Celda"/>
            </w:pPr>
            <w:r>
              <w:rPr>
                <w:b/>
              </w:rPr>
              <w:t xml:space="preserve">Capture method</w:t>
            </w:r>
          </w:p>
        </w:tc>
        <w:tc>
          <w:tcPr>
            <w:tcW w:w="1205" w:type="dxa"/>
            <w:shd w:val="clear" w:color="auto" w:fill="F2DFCE"/>
          </w:tcPr>
          <w:p>
            <w:pPr>
              <w:pStyle w:val="Celda"/>
            </w:pPr>
            <w:r>
              <w:rPr>
                <w:b/>
              </w:rPr>
              <w:t xml:space="preserve">Participating experts and informed consent</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Target date</w:t>
            </w:r>
          </w:p>
        </w:tc>
        <w:tc>
          <w:tcPr>
            <w:tcW w:w="1205" w:type="dxa"/>
            <w:shd w:val="clear" w:color="auto" w:fill="F2DFCE"/>
          </w:tcPr>
          <w:p>
            <w:pPr>
              <w:pStyle w:val="Celda"/>
            </w:pPr>
            <w:r>
              <w:rPr>
                <w:b/>
              </w:rPr>
              <w:t xml:space="preserve">Second reviewer and validation date</w:t>
            </w:r>
          </w:p>
        </w:tc>
        <w:tc>
          <w:tcPr>
            <w:tcW w:w="1205" w:type="dxa"/>
            <w:shd w:val="clear" w:color="auto" w:fill="F2DFCE"/>
          </w:tcPr>
          <w:p>
            <w:pPr>
              <w:pStyle w:val="Celda"/>
            </w:pPr>
            <w:r>
              <w:rPr>
                <w:b/>
              </w:rPr>
              <w:t xml:space="preserve">Resulting governed source (FC-NN)</w:t>
            </w:r>
          </w:p>
        </w:tc>
        <w:tc>
          <w:tcPr>
            <w:tcW w:w="1205" w:type="dxa"/>
            <w:shd w:val="clear" w:color="auto" w:fill="F2DFCE"/>
          </w:tcPr>
          <w:p>
            <w:pPr>
              <w:pStyle w:val="Celda"/>
            </w:pPr>
            <w:r>
              <w:rPr>
                <w:b/>
              </w:rPr>
              <w:t xml:space="preserve">Status</w:t>
            </w:r>
          </w:p>
        </w:tc>
      </w:tr>
      <w:tr>
        <w:tc>
          <w:tcPr>
            <w:tcW w:w="1205" w:type="dxa"/>
          </w:tcPr>
          <w:p>
            <w:pPr>
              <w:pStyle w:val="Celda"/>
            </w:pPr>
            <w:r>
              <w:t xml:space="preserve">DC-01 </w:t>
            </w:r>
            <w:r>
              <w:rPr>
                <w:i/>
              </w:rPr>
              <w:t xml:space="preserve">(illustrative example)</w:t>
            </w:r>
          </w:p>
        </w:tc>
        <w:tc>
          <w:tcPr>
            <w:tcW w:w="1205" w:type="dxa"/>
          </w:tcPr>
          <w:p>
            <w:pPr>
              <w:pStyle w:val="Celda"/>
            </w:pPr>
            <w:r>
              <w:t xml:space="preserve">AI-assisted structured interviews and review of 30 resolved failures</w:t>
            </w:r>
          </w:p>
        </w:tc>
        <w:tc>
          <w:tcPr>
            <w:tcW w:w="1205" w:type="dxa"/>
          </w:tcPr>
          <w:p>
            <w:pPr>
              <w:pStyle w:val="Celda"/>
            </w:pPr>
            <w:r>
              <w:t xml:space="preserve">Two technicians, informed voluntary participation recorded</w:t>
            </w:r>
          </w:p>
        </w:tc>
        <w:tc>
          <w:tcPr>
            <w:tcW w:w="1205" w:type="dxa"/>
          </w:tcPr>
          <w:p>
            <w:pPr>
              <w:pStyle w:val="Celda"/>
            </w:pPr>
            <w:r>
              <w:t xml:space="preserve">Technical department</w:t>
            </w:r>
          </w:p>
        </w:tc>
        <w:tc>
          <w:tcPr>
            <w:tcW w:w="1205" w:type="dxa"/>
          </w:tcPr>
          <w:p>
            <w:pPr>
              <w:pStyle w:val="Celda"/>
            </w:pPr>
            <w:r>
              <w:t xml:space="preserve">30-06-2027</w:t>
            </w:r>
          </w:p>
        </w:tc>
        <w:tc>
          <w:tcPr>
            <w:tcW w:w="1205" w:type="dxa"/>
          </w:tcPr>
          <w:p>
            <w:pPr>
              <w:pStyle w:val="Celda"/>
            </w:pPr>
            <w:r>
              <w:t xml:space="preserve">Pending</w:t>
            </w:r>
          </w:p>
        </w:tc>
        <w:tc>
          <w:tcPr>
            <w:tcW w:w="1205" w:type="dxa"/>
          </w:tcPr>
          <w:p>
            <w:pPr>
              <w:pStyle w:val="Celda"/>
            </w:pPr>
            <w:r>
              <w:t xml:space="preserve">FC-07</w:t>
            </w:r>
          </w:p>
        </w:tc>
        <w:tc>
          <w:tcPr>
            <w:tcW w:w="1205" w:type="dxa"/>
          </w:tcPr>
          <w:p>
            <w:pPr>
              <w:pStyle w:val="Celda"/>
            </w:pPr>
            <w:r>
              <w:t xml:space="preserve">In progress</w:t>
            </w:r>
          </w:p>
        </w:tc>
      </w:tr>
      <w:tr>
        <w:tc>
          <w:tcPr>
            <w:tcW w:w="1205" w:type="dxa"/>
          </w:tcPr>
          <w:p>
            <w:pPr>
              <w:pStyle w:val="Celda"/>
            </w:pPr>
          </w:p>
        </w:tc>
        <w:tc>
          <w:tcPr>
            <w:tcW w:w="1205" w:type="dxa"/>
          </w:tcPr>
          <w:p>
            <w:pPr>
              <w:pStyle w:val="Celda"/>
            </w:pPr>
            <w:r>
              <w:t xml:space="preserve">Interviews · Recording · Case review · Documentation of decisions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Pending · In progress · Validated · Available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Indicator</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Formula</w:t>
            </w:r>
          </w:p>
        </w:tc>
      </w:tr>
      <w:tr>
        <w:tc>
          <w:tcPr>
            <w:tcW w:w="3213" w:type="dxa"/>
          </w:tcPr>
          <w:p>
            <w:pPr>
              <w:pStyle w:val="Celda"/>
            </w:pPr>
            <w:r>
              <w:t xml:space="preserve">CNC-07 · Capture coverage</w:t>
            </w:r>
          </w:p>
        </w:tc>
        <w:tc>
          <w:tcPr>
            <w:tcW w:w="3213" w:type="dxa"/>
          </w:tcPr>
          <w:p>
            <w:pPr>
              <w:pStyle w:val="Celda"/>
            </w:pPr>
          </w:p>
        </w:tc>
        <w:tc>
          <w:tcPr>
            <w:tcW w:w="3213" w:type="dxa"/>
          </w:tcPr>
          <w:p>
            <w:pPr>
              <w:pStyle w:val="Celda"/>
            </w:pPr>
            <w:r>
              <w:t xml:space="preserve">Dependent domains with captured and validated content ÷ dependent domains.</w:t>
            </w:r>
          </w:p>
        </w:tc>
      </w:tr>
    </w:tbl>
    <w:p>
      <w:pPr>
        <w:pStyle w:val="Espacio"/>
      </w:pPr>
    </w:p>
    <w:p>
      <w:r>
        <w:t xml:space="preserve">Capture is carried out with informed voluntary participation and recognition of the expert, and is not used as a prior step to dispensing with the person without assessing the effect in accordance with document 50.</w:t>
      </w:r>
    </w:p>
    <w:p>
      <w:pPr>
        <w:pStyle w:val="Separador"/>
      </w:pPr>
    </w:p>
    <w:p>
      <w:pPr>
        <w:pStyle w:val="Heading1"/>
      </w:pPr>
      <w:r>
        <w:t xml:space="preserve">10. Quality criteria</w:t>
      </w:r>
    </w:p>
    <w:p>
      <w:r>
        <w:t xml:space="preserve">Formal criteria in document 21 (G3.02, G3.03 and G4.03); DAT and CNC indicators in document 51 §12.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dataset has an owner, a custodian, a legal basis per purpose and restrictions.</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Quality has been measured with real data against thresholds per dimension.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Datasets used for training are versioned and frozen.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Synthetic data are marked and validated for utility and privacy.</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In high-risk systems, representativeness and known biases are recorded.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Each knowledge source has an owner, authority, validity and permissions, and passed admission.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Permission filtering is applied at retrieval and has been tested.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dependence map and the capture plan are up to date at C1 or C5.</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records</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Authorises use of the dataset</w:t>
            </w:r>
          </w:p>
        </w:tc>
        <w:tc>
          <w:tcPr>
            <w:tcW w:w="1928" w:type="dxa"/>
          </w:tcPr>
          <w:p>
            <w:pPr>
              <w:pStyle w:val="Celda"/>
            </w:pPr>
            <w:r>
              <w:t xml:space="preserve">Data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personal data and legal basis</w:t>
            </w:r>
          </w:p>
        </w:tc>
        <w:tc>
          <w:tcPr>
            <w:tcW w:w="1928" w:type="dxa"/>
          </w:tcPr>
          <w:p>
            <w:pPr>
              <w:pStyle w:val="Celda"/>
            </w:pPr>
            <w:r>
              <w:t xml:space="preserve">Data protection officer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Maintains the source inventory</w:t>
            </w:r>
          </w:p>
        </w:tc>
        <w:tc>
          <w:tcPr>
            <w:tcW w:w="1928" w:type="dxa"/>
          </w:tcPr>
          <w:p>
            <w:pPr>
              <w:pStyle w:val="Celda"/>
            </w:pPr>
            <w:r>
              <w:t xml:space="preserve">Content or knowledge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capture plan</w:t>
            </w:r>
          </w:p>
        </w:tc>
        <w:tc>
          <w:tcPr>
            <w:tcW w:w="1928" w:type="dxa"/>
          </w:tcPr>
          <w:p>
            <w:pPr>
              <w:pStyle w:val="Celda"/>
            </w:pPr>
            <w:r>
              <w:t xml:space="preserve">AI Committee (C1)</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prepares the record does not verify it; the data owner authorises use but does not validate their own quality without the measurement in section 4.</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Covers the dataset record (51 §4.2), quality by dimension (51 §4.3), the knowledge source inventory and admission (51 §10.1–10.4) and the dependence map with its capture plan (51 §10.6).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P64 · Dataset record and knowledge source inventory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P64 · Dataset record and knowledge source inventory</dc:title>
  <dc:creator>Fernando García Varela</dc:creator>
  <dc:language>en</dc:language>
  <dc:description>sha256:56e95d2cc96630f8cefe502d9d1fd2033d828a6e5541458518b4527c9469f209</dc:description>
  <cp:keywords>SEVEN-G</cp:keywords>
</cp:coreProperties>
</file>