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Transfer plan and exit note</w:t>
      </w:r>
    </w:p>
    <w:p>
      <w:r>
        <w:rPr>
          <w:b/>
        </w:rPr>
        <w:t xml:space="preserve">Plans how capability passes from the third party to the company and records, at the end of the engagement, what was delivered, the status of the portfolio and the tools, what is pending and the open risks, with an internal owner for each item.</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P71 · Transfer plan and exit note</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19-09-2026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Cita"/>
      </w:pPr>
      <w:r>
        <w:rPr>
          <w:b/>
        </w:rPr>
        <w:t xml:space="preserve">Why it matters.</w:t>
      </w:r>
      <w:r>
        <w:t xml:space="preserve"> The aim of every SEVEN-G support service is for the company to govern its AI without depending on the third party (91 §3, principle 3). If the transfer is not planned with milestones and evidence, the service continues through inertia or ends leaving registers that nobody knows how to maintain, decisions without an owner and risks that nobody monitors. The exit note turns the end of the engagement into a verifiable handover: the company must be able to read and maintain everything delivered without the third party (91 §7.3).</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The transfer plan (section 3) is drafted at the start of the engagement, together with P70, and reviewed at each milestone; in M5 it is a mandatory deliverable with a date for exit or reduction of the service (91 §4.6). The exit note (sections 4 to 9) is completed at the end of any model M1 to M5 (91 §7.3).</w:t>
            </w:r>
          </w:p>
        </w:tc>
      </w:tr>
      <w:tr>
        <w:tc>
          <w:tcPr>
            <w:tcW w:w="4819" w:type="dxa"/>
          </w:tcPr>
          <w:p>
            <w:pPr>
              <w:pStyle w:val="Celda"/>
            </w:pPr>
            <w:r>
              <w:rPr>
                <w:b/>
              </w:rPr>
              <w:t xml:space="preserve">Who completes it</w:t>
            </w:r>
          </w:p>
        </w:tc>
        <w:tc>
          <w:tcPr>
            <w:tcW w:w="4819" w:type="dxa"/>
          </w:tcPr>
          <w:p>
            <w:pPr>
              <w:pStyle w:val="Celda"/>
            </w:pPr>
            <w:r>
              <w:t xml:space="preserve">The third party's service lead, with the company's AI Office.</w:t>
            </w:r>
          </w:p>
        </w:tc>
      </w:tr>
      <w:tr>
        <w:tc>
          <w:tcPr>
            <w:tcW w:w="4819" w:type="dxa"/>
          </w:tcPr>
          <w:p>
            <w:pPr>
              <w:pStyle w:val="Celda"/>
            </w:pPr>
            <w:r>
              <w:rPr>
                <w:b/>
              </w:rPr>
              <w:t xml:space="preserve">Who verifies it</w:t>
            </w:r>
          </w:p>
        </w:tc>
        <w:tc>
          <w:tcPr>
            <w:tcW w:w="4819" w:type="dxa"/>
          </w:tcPr>
          <w:p>
            <w:pPr>
              <w:pStyle w:val="Celda"/>
            </w:pPr>
            <w:r>
              <w:t xml:space="preserve">The AI Office checks that it can operate each capability without the third party; management control, the portfolio figures; the AI Risk Owner, the open risks note.</w:t>
            </w:r>
          </w:p>
        </w:tc>
      </w:tr>
      <w:tr>
        <w:tc>
          <w:tcPr>
            <w:tcW w:w="4819" w:type="dxa"/>
          </w:tcPr>
          <w:p>
            <w:pPr>
              <w:pStyle w:val="Celda"/>
            </w:pPr>
            <w:r>
              <w:rPr>
                <w:b/>
              </w:rPr>
              <w:t xml:space="preserve">Who decides or approves</w:t>
            </w:r>
          </w:p>
        </w:tc>
        <w:tc>
          <w:tcPr>
            <w:tcW w:w="4819" w:type="dxa"/>
          </w:tcPr>
          <w:p>
            <w:pPr>
              <w:pStyle w:val="Celda"/>
            </w:pPr>
            <w:r>
              <w:t xml:space="preserve">Whoever commissioned the service (P70, section 11) accepts the exit; in M5, the AI Committee approves the transfer plan and its annual review.</w:t>
            </w:r>
          </w:p>
        </w:tc>
      </w:tr>
      <w:tr>
        <w:tc>
          <w:tcPr>
            <w:tcW w:w="4819" w:type="dxa"/>
          </w:tcPr>
          <w:p>
            <w:pPr>
              <w:pStyle w:val="Celda"/>
            </w:pPr>
            <w:r>
              <w:rPr>
                <w:b/>
              </w:rPr>
              <w:t xml:space="preserve">Stage or point</w:t>
            </w:r>
          </w:p>
        </w:tc>
        <w:tc>
          <w:tcPr>
            <w:tcW w:w="4819" w:type="dxa"/>
          </w:tcPr>
          <w:p>
            <w:pPr>
              <w:pStyle w:val="Celda"/>
            </w:pPr>
            <w:r>
              <w:t xml:space="preserve">End of the engagement; in M5, each annual review of the service and before C5.</w:t>
            </w:r>
          </w:p>
        </w:tc>
      </w:tr>
      <w:tr>
        <w:tc>
          <w:tcPr>
            <w:tcW w:w="4819" w:type="dxa"/>
          </w:tcPr>
          <w:p>
            <w:pPr>
              <w:pStyle w:val="Celda"/>
            </w:pPr>
            <w:r>
              <w:rPr>
                <w:b/>
              </w:rPr>
              <w:t xml:space="preserve">Tool</w:t>
            </w:r>
          </w:p>
        </w:tc>
        <w:tc>
          <w:tcPr>
            <w:tcW w:w="4819" w:type="dxa"/>
          </w:tcPr>
          <w:p>
            <w:pPr>
              <w:pStyle w:val="Celda"/>
            </w:pPr>
            <w:r>
              <w:t xml:space="preserve">T01 · Initiative register (complete JSON of the register), T17 · Board AI dashboard (data file and fingerprint), T18 · Board recommendations register; and any others used (T02, T03, T06, T14, T15).</w:t>
            </w:r>
          </w:p>
        </w:tc>
      </w:tr>
      <w:tr>
        <w:tc>
          <w:tcPr>
            <w:tcW w:w="4819" w:type="dxa"/>
          </w:tcPr>
          <w:p>
            <w:pPr>
              <w:pStyle w:val="Celda"/>
            </w:pPr>
            <w:r>
              <w:rPr>
                <w:b/>
              </w:rPr>
              <w:t xml:space="preserve">Reference document</w:t>
            </w:r>
          </w:p>
        </w:tc>
        <w:tc>
          <w:tcPr>
            <w:tcW w:w="4819" w:type="dxa"/>
          </w:tcPr>
          <w:p>
            <w:pPr>
              <w:pStyle w:val="Celda"/>
            </w:pPr>
            <w:r>
              <w:t xml:space="preserve">Document 91 (§3 principles, §4.6 M5, §5.3 cooling-off period, §7 quality and exit); document 90 (6 to 18-month roadmap).</w:t>
            </w:r>
          </w:p>
        </w:tc>
      </w:tr>
      <w:tr>
        <w:tc>
          <w:tcPr>
            <w:tcW w:w="4819" w:type="dxa"/>
          </w:tcPr>
          <w:p>
            <w:pPr>
              <w:pStyle w:val="Celda"/>
            </w:pPr>
            <w:r>
              <w:rPr>
                <w:b/>
              </w:rPr>
              <w:t xml:space="preserve">Lite versus Enterprise</w:t>
            </w:r>
          </w:p>
        </w:tc>
        <w:tc>
          <w:tcPr>
            <w:tcW w:w="4819" w:type="dxa"/>
          </w:tcPr>
          <w:p>
            <w:pPr>
              <w:pStyle w:val="Celda"/>
            </w:pPr>
            <w:r>
              <w:t xml:space="preserve">The same in both. In M1 the transfer may be limited to section 4 and the internal owners in section 9.</w:t>
            </w:r>
          </w:p>
        </w:tc>
      </w:tr>
    </w:tbl>
    <w:p>
      <w:pPr>
        <w:pStyle w:val="Espacio"/>
      </w:pPr>
    </w:p>
    <w:p>
      <w:r>
        <w:t xml:space="preserve">Completion rules:</w:t>
      </w:r>
    </w:p>
    <w:p>
      <w:pPr>
        <w:pStyle w:val="Lista"/>
      </w:pPr>
      <w:r>
        <w:t xml:space="preserve">• </w:t>
      </w:r>
      <w:r>
        <w:rPr>
          <w:b/>
        </w:rPr>
        <w:t xml:space="preserve">Every capability, deliverable, pending item and risk has a named internal owner.</w:t>
      </w:r>
      <w:r>
        <w:t xml:space="preserve"> A "team" or an "area" is not an owner.</w:t>
      </w:r>
    </w:p>
    <w:p>
      <w:pPr>
        <w:pStyle w:val="Lista"/>
      </w:pPr>
      <w:r>
        <w:t xml:space="preserve">• </w:t>
      </w:r>
      <w:r>
        <w:rPr>
          <w:b/>
        </w:rPr>
        <w:t xml:space="preserve">Transferring means demonstrating that the company does it alone</w:t>
      </w:r>
      <w:r>
        <w:t xml:space="preserve">: the evidence is a deliverable prepared by the company, not training received.</w:t>
      </w:r>
    </w:p>
    <w:p>
      <w:pPr>
        <w:pStyle w:val="Lista"/>
      </w:pPr>
      <w:r>
        <w:t xml:space="preserve">• </w:t>
      </w:r>
      <w:r>
        <w:rPr>
          <w:b/>
        </w:rPr>
        <w:t xml:space="preserve">Open and maintainable formats</w:t>
      </w:r>
      <w:r>
        <w:t xml:space="preserve"> (91 §7.1, commitment 9): editable documents, spreadsheets, JSON.</w:t>
      </w:r>
    </w:p>
    <w:p>
      <w:pPr>
        <w:pStyle w:val="Lista"/>
      </w:pPr>
      <w:r>
        <w:t xml:space="preserve">• </w:t>
      </w:r>
      <w:r>
        <w:rPr>
          <w:b/>
        </w:rPr>
        <w:t xml:space="preserve">No data is not zero</w:t>
      </w:r>
      <w:r>
        <w:t xml:space="preserve">: whatever is not known at the exit date is declared as </w:t>
      </w:r>
      <w:r>
        <w:rPr>
          <w:i/>
        </w:rPr>
        <w:t xml:space="preserve">no data</w:t>
      </w:r>
      <w:r>
        <w:t xml:space="preserve">.</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Engagement reference</w:t>
            </w:r>
          </w:p>
        </w:tc>
        <w:tc>
          <w:tcPr>
            <w:tcW w:w="3213" w:type="dxa"/>
          </w:tcPr>
          <w:p>
            <w:pPr>
              <w:pStyle w:val="Celda"/>
            </w:pPr>
          </w:p>
        </w:tc>
        <w:tc>
          <w:tcPr>
            <w:tcW w:w="3213" w:type="dxa"/>
          </w:tcPr>
          <w:p>
            <w:pPr>
              <w:pStyle w:val="Celda"/>
            </w:pPr>
            <w:r>
              <w:t xml:space="preserve">Proposal and engagement letter (P70).</w:t>
            </w:r>
          </w:p>
        </w:tc>
      </w:tr>
      <w:tr>
        <w:tc>
          <w:tcPr>
            <w:tcW w:w="3213" w:type="dxa"/>
          </w:tcPr>
          <w:p>
            <w:pPr>
              <w:pStyle w:val="Celda"/>
            </w:pPr>
            <w:r>
              <w:t xml:space="preserve">Company and perimeter</w:t>
            </w:r>
          </w:p>
        </w:tc>
        <w:tc>
          <w:tcPr>
            <w:tcW w:w="3213" w:type="dxa"/>
          </w:tcPr>
          <w:p>
            <w:pPr>
              <w:pStyle w:val="Celda"/>
            </w:pPr>
          </w:p>
        </w:tc>
        <w:tc>
          <w:tcPr>
            <w:tcW w:w="3213" w:type="dxa"/>
          </w:tcPr>
          <w:p>
            <w:pPr>
              <w:pStyle w:val="Celda"/>
            </w:pPr>
          </w:p>
        </w:tc>
      </w:tr>
      <w:tr>
        <w:tc>
          <w:tcPr>
            <w:tcW w:w="3213" w:type="dxa"/>
          </w:tcPr>
          <w:p>
            <w:pPr>
              <w:pStyle w:val="Celda"/>
            </w:pPr>
            <w:r>
              <w:t xml:space="preserve">Third party</w:t>
            </w:r>
          </w:p>
        </w:tc>
        <w:tc>
          <w:tcPr>
            <w:tcW w:w="3213" w:type="dxa"/>
          </w:tcPr>
          <w:p>
            <w:pPr>
              <w:pStyle w:val="Celda"/>
            </w:pPr>
          </w:p>
        </w:tc>
        <w:tc>
          <w:tcPr>
            <w:tcW w:w="3213" w:type="dxa"/>
          </w:tcPr>
          <w:p>
            <w:pPr>
              <w:pStyle w:val="Celda"/>
            </w:pPr>
          </w:p>
        </w:tc>
      </w:tr>
      <w:tr>
        <w:tc>
          <w:tcPr>
            <w:tcW w:w="3213" w:type="dxa"/>
          </w:tcPr>
          <w:p>
            <w:pPr>
              <w:pStyle w:val="Celda"/>
            </w:pPr>
            <w:r>
              <w:t xml:space="preserve">Support model</w:t>
            </w:r>
          </w:p>
        </w:tc>
        <w:tc>
          <w:tcPr>
            <w:tcW w:w="3213" w:type="dxa"/>
          </w:tcPr>
          <w:p>
            <w:pPr>
              <w:pStyle w:val="Celda"/>
            </w:pPr>
          </w:p>
        </w:tc>
        <w:tc>
          <w:tcPr>
            <w:tcW w:w="3213" w:type="dxa"/>
          </w:tcPr>
          <w:p>
            <w:pPr>
              <w:pStyle w:val="Celda"/>
            </w:pPr>
            <w:r>
              <w:t xml:space="preserve">M1 · M2 · M3 · M4 · M5.</w:t>
            </w:r>
          </w:p>
        </w:tc>
      </w:tr>
      <w:tr>
        <w:tc>
          <w:tcPr>
            <w:tcW w:w="3213" w:type="dxa"/>
          </w:tcPr>
          <w:p>
            <w:pPr>
              <w:pStyle w:val="Celda"/>
            </w:pPr>
            <w:r>
              <w:t xml:space="preserve">Service start date</w:t>
            </w:r>
          </w:p>
        </w:tc>
        <w:tc>
          <w:tcPr>
            <w:tcW w:w="3213" w:type="dxa"/>
          </w:tcPr>
          <w:p>
            <w:pPr>
              <w:pStyle w:val="Celda"/>
            </w:pPr>
          </w:p>
        </w:tc>
        <w:tc>
          <w:tcPr>
            <w:tcW w:w="3213" w:type="dxa"/>
          </w:tcPr>
          <w:p>
            <w:pPr>
              <w:pStyle w:val="Celda"/>
            </w:pPr>
          </w:p>
        </w:tc>
      </w:tr>
      <w:tr>
        <w:tc>
          <w:tcPr>
            <w:tcW w:w="3213" w:type="dxa"/>
          </w:tcPr>
          <w:p>
            <w:pPr>
              <w:pStyle w:val="Celda"/>
            </w:pPr>
            <w:r>
              <w:t xml:space="preserve">Planned exit or reduction date</w:t>
            </w:r>
          </w:p>
        </w:tc>
        <w:tc>
          <w:tcPr>
            <w:tcW w:w="3213" w:type="dxa"/>
          </w:tcPr>
          <w:p>
            <w:pPr>
              <w:pStyle w:val="Celda"/>
            </w:pPr>
          </w:p>
        </w:tc>
        <w:tc>
          <w:tcPr>
            <w:tcW w:w="3213" w:type="dxa"/>
          </w:tcPr>
          <w:p>
            <w:pPr>
              <w:pStyle w:val="Celda"/>
            </w:pPr>
          </w:p>
        </w:tc>
      </w:tr>
      <w:tr>
        <w:tc>
          <w:tcPr>
            <w:tcW w:w="3213" w:type="dxa"/>
          </w:tcPr>
          <w:p>
            <w:pPr>
              <w:pStyle w:val="Celda"/>
            </w:pPr>
            <w:r>
              <w:t xml:space="preserve">Actual exit date</w:t>
            </w:r>
          </w:p>
        </w:tc>
        <w:tc>
          <w:tcPr>
            <w:tcW w:w="3213" w:type="dxa"/>
          </w:tcPr>
          <w:p>
            <w:pPr>
              <w:pStyle w:val="Celda"/>
            </w:pPr>
          </w:p>
        </w:tc>
        <w:tc>
          <w:tcPr>
            <w:tcW w:w="3213" w:type="dxa"/>
          </w:tcPr>
          <w:p>
            <w:pPr>
              <w:pStyle w:val="Celda"/>
            </w:pPr>
          </w:p>
        </w:tc>
      </w:tr>
      <w:tr>
        <w:tc>
          <w:tcPr>
            <w:tcW w:w="3213" w:type="dxa"/>
          </w:tcPr>
          <w:p>
            <w:pPr>
              <w:pStyle w:val="Celda"/>
            </w:pPr>
            <w:r>
              <w:t xml:space="preserve">Receiving internal owner</w:t>
            </w:r>
          </w:p>
        </w:tc>
        <w:tc>
          <w:tcPr>
            <w:tcW w:w="3213" w:type="dxa"/>
          </w:tcPr>
          <w:p>
            <w:pPr>
              <w:pStyle w:val="Celda"/>
            </w:pPr>
          </w:p>
        </w:tc>
        <w:tc>
          <w:tcPr>
            <w:tcW w:w="3213" w:type="dxa"/>
          </w:tcPr>
          <w:p>
            <w:pPr>
              <w:pStyle w:val="Celda"/>
            </w:pPr>
            <w:r>
              <w:t xml:space="preserve">Normally the head of the AI Office.</w:t>
            </w:r>
          </w:p>
        </w:tc>
      </w:tr>
      <w:tr>
        <w:tc>
          <w:tcPr>
            <w:tcW w:w="3213" w:type="dxa"/>
          </w:tcPr>
          <w:p>
            <w:pPr>
              <w:pStyle w:val="Celda"/>
            </w:pPr>
            <w:r>
              <w:t xml:space="preserve">SEVEN-G version and adaptations</w:t>
            </w:r>
          </w:p>
        </w:tc>
        <w:tc>
          <w:tcPr>
            <w:tcW w:w="3213" w:type="dxa"/>
          </w:tcPr>
          <w:p>
            <w:pPr>
              <w:pStyle w:val="Celda"/>
            </w:pPr>
          </w:p>
        </w:tc>
        <w:tc>
          <w:tcPr>
            <w:tcW w:w="3213" w:type="dxa"/>
          </w:tcPr>
          <w:p>
            <w:pPr>
              <w:pStyle w:val="Celda"/>
            </w:pPr>
            <w:r>
              <w:t xml:space="preserve">The same as declared in the deliverables.</w:t>
            </w:r>
          </w:p>
        </w:tc>
      </w:tr>
      <w:tr>
        <w:tc>
          <w:tcPr>
            <w:tcW w:w="3213" w:type="dxa"/>
          </w:tcPr>
          <w:p>
            <w:pPr>
              <w:pStyle w:val="Celda"/>
            </w:pPr>
            <w:r>
              <w:t xml:space="preserve">Version of this document</w:t>
            </w: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3. Capability transfer plan</w:t>
      </w:r>
    </w:p>
    <w:p>
      <w:pPr>
        <w:pStyle w:val="Heading2"/>
      </w:pPr>
      <w:r>
        <w:t xml:space="preserve">3.1 Capabilities</w:t>
      </w:r>
    </w:p>
    <w:p>
      <w:r>
        <w:t xml:space="preserve">Method: </w:t>
      </w:r>
      <w:r>
        <w:rPr>
          <w:b/>
        </w:rPr>
        <w:t xml:space="preserve">The third party does it</w:t>
      </w:r>
      <w:r>
        <w:t xml:space="preserve"> (the company observes) → </w:t>
      </w:r>
      <w:r>
        <w:rPr>
          <w:b/>
        </w:rPr>
        <w:t xml:space="preserve">The company does it with support</w:t>
      </w:r>
      <w:r>
        <w:t xml:space="preserve"> → </w:t>
      </w:r>
      <w:r>
        <w:rPr>
          <w:b/>
        </w:rPr>
        <w:t xml:space="preserve">The company does it alone</w:t>
      </w:r>
      <w:r>
        <w:t xml:space="preserve"> (the third party only reviews, if asked).</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w:t>
            </w:r>
          </w:p>
        </w:tc>
        <w:tc>
          <w:tcPr>
            <w:tcW w:w="1205" w:type="dxa"/>
            <w:shd w:val="clear" w:color="auto" w:fill="F2DFCE"/>
          </w:tcPr>
          <w:p>
            <w:pPr>
              <w:pStyle w:val="Celda"/>
            </w:pPr>
            <w:r>
              <w:rPr>
                <w:b/>
              </w:rPr>
              <w:t xml:space="preserve">Capability</w:t>
            </w:r>
          </w:p>
        </w:tc>
        <w:tc>
          <w:tcPr>
            <w:tcW w:w="1205" w:type="dxa"/>
            <w:shd w:val="clear" w:color="auto" w:fill="F2DFCE"/>
          </w:tcPr>
          <w:p>
            <w:pPr>
              <w:pStyle w:val="Celda"/>
            </w:pPr>
            <w:r>
              <w:rPr>
                <w:b/>
              </w:rPr>
              <w:t xml:space="preserve">Receiving internal role</w:t>
            </w:r>
          </w:p>
        </w:tc>
        <w:tc>
          <w:tcPr>
            <w:tcW w:w="1205" w:type="dxa"/>
            <w:shd w:val="clear" w:color="auto" w:fill="F2DFCE"/>
          </w:tcPr>
          <w:p>
            <w:pPr>
              <w:pStyle w:val="Celda"/>
            </w:pPr>
            <w:r>
              <w:rPr>
                <w:b/>
              </w:rPr>
              <w:t xml:space="preserve">Current situation</w:t>
            </w:r>
          </w:p>
        </w:tc>
        <w:tc>
          <w:tcPr>
            <w:tcW w:w="1205" w:type="dxa"/>
            <w:shd w:val="clear" w:color="auto" w:fill="F2DFCE"/>
          </w:tcPr>
          <w:p>
            <w:pPr>
              <w:pStyle w:val="Celda"/>
            </w:pPr>
            <w:r>
              <w:rPr>
                <w:b/>
              </w:rPr>
              <w:t xml:space="preserve">Next method</w:t>
            </w:r>
          </w:p>
        </w:tc>
        <w:tc>
          <w:tcPr>
            <w:tcW w:w="1205" w:type="dxa"/>
            <w:shd w:val="clear" w:color="auto" w:fill="F2DFCE"/>
          </w:tcPr>
          <w:p>
            <w:pPr>
              <w:pStyle w:val="Celda"/>
            </w:pPr>
            <w:r>
              <w:rPr>
                <w:b/>
              </w:rPr>
              <w:t xml:space="preserve">Milestone and date</w:t>
            </w:r>
          </w:p>
        </w:tc>
        <w:tc>
          <w:tcPr>
            <w:tcW w:w="1205" w:type="dxa"/>
            <w:shd w:val="clear" w:color="auto" w:fill="F2DFCE"/>
          </w:tcPr>
          <w:p>
            <w:pPr>
              <w:pStyle w:val="Celda"/>
            </w:pPr>
            <w:r>
              <w:rPr>
                <w:b/>
              </w:rPr>
              <w:t xml:space="preserve">Evidence that the company does it alone</w:t>
            </w:r>
          </w:p>
        </w:tc>
        <w:tc>
          <w:tcPr>
            <w:tcW w:w="1205" w:type="dxa"/>
            <w:shd w:val="clear" w:color="auto" w:fill="F2DFCE"/>
          </w:tcPr>
          <w:p>
            <w:pPr>
              <w:pStyle w:val="Celda"/>
            </w:pPr>
            <w:r>
              <w:rPr>
                <w:b/>
              </w:rPr>
              <w:t xml:space="preserve">Status</w:t>
            </w:r>
          </w:p>
        </w:tc>
      </w:tr>
      <w:tr>
        <w:tc>
          <w:tcPr>
            <w:tcW w:w="1205" w:type="dxa"/>
          </w:tcPr>
          <w:p>
            <w:pPr>
              <w:pStyle w:val="Celda"/>
            </w:pPr>
            <w:r>
              <w:t xml:space="preserve">1 </w:t>
            </w:r>
            <w:r>
              <w:rPr>
                <w:i/>
              </w:rPr>
              <w:t xml:space="preserve">(illustrative example)</w:t>
            </w:r>
          </w:p>
        </w:tc>
        <w:tc>
          <w:tcPr>
            <w:tcW w:w="1205" w:type="dxa"/>
          </w:tcPr>
          <w:p>
            <w:pPr>
              <w:pStyle w:val="Celda"/>
            </w:pPr>
            <w:r>
              <w:t xml:space="preserve">Prepare the quarterly pack (P67)</w:t>
            </w:r>
          </w:p>
        </w:tc>
        <w:tc>
          <w:tcPr>
            <w:tcW w:w="1205" w:type="dxa"/>
          </w:tcPr>
          <w:p>
            <w:pPr>
              <w:pStyle w:val="Celda"/>
            </w:pPr>
            <w:r>
              <w:t xml:space="preserve">AI Office</w:t>
            </w:r>
          </w:p>
        </w:tc>
        <w:tc>
          <w:tcPr>
            <w:tcW w:w="1205" w:type="dxa"/>
          </w:tcPr>
          <w:p>
            <w:pPr>
              <w:pStyle w:val="Celda"/>
            </w:pPr>
            <w:r>
              <w:t xml:space="preserve">The company does it with support</w:t>
            </w:r>
          </w:p>
        </w:tc>
        <w:tc>
          <w:tcPr>
            <w:tcW w:w="1205" w:type="dxa"/>
          </w:tcPr>
          <w:p>
            <w:pPr>
              <w:pStyle w:val="Celda"/>
            </w:pPr>
            <w:r>
              <w:t xml:space="preserve">The company does it alone</w:t>
            </w:r>
          </w:p>
        </w:tc>
        <w:tc>
          <w:tcPr>
            <w:tcW w:w="1205" w:type="dxa"/>
          </w:tcPr>
          <w:p>
            <w:pPr>
              <w:pStyle w:val="Celda"/>
            </w:pPr>
            <w:r>
              <w:t xml:space="preserve">Pack for the first quarter of 2027 · 15-03-2027</w:t>
            </w:r>
          </w:p>
        </w:tc>
        <w:tc>
          <w:tcPr>
            <w:tcW w:w="1205" w:type="dxa"/>
          </w:tcPr>
          <w:p>
            <w:pPr>
              <w:pStyle w:val="Celda"/>
            </w:pPr>
            <w:r>
              <w:t xml:space="preserve">Pack submitted at D−7 prepared by the AI Office; the third party only reviewed it</w:t>
            </w:r>
          </w:p>
        </w:tc>
        <w:tc>
          <w:tcPr>
            <w:tcW w:w="1205" w:type="dxa"/>
          </w:tcPr>
          <w:p>
            <w:pPr>
              <w:pStyle w:val="Celda"/>
            </w:pPr>
            <w:r>
              <w:t xml:space="preserve">In progress</w:t>
            </w:r>
          </w:p>
        </w:tc>
      </w:tr>
      <w:tr>
        <w:tc>
          <w:tcPr>
            <w:tcW w:w="1205" w:type="dxa"/>
          </w:tcPr>
          <w:p>
            <w:pPr>
              <w:pStyle w:val="Celda"/>
            </w:pPr>
            <w:r>
              <w:t xml:space="preserve">2</w:t>
            </w:r>
          </w:p>
        </w:tc>
        <w:tc>
          <w:tcPr>
            <w:tcW w:w="1205" w:type="dxa"/>
          </w:tcPr>
          <w:p>
            <w:pPr>
              <w:pStyle w:val="Celda"/>
            </w:pPr>
            <w:r>
              <w:t xml:space="preserve">Maintain the initiative register and the inventory (T01, T02)</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3</w:t>
            </w:r>
          </w:p>
        </w:tc>
        <w:tc>
          <w:tcPr>
            <w:tcW w:w="1205" w:type="dxa"/>
          </w:tcPr>
          <w:p>
            <w:pPr>
              <w:pStyle w:val="Celda"/>
            </w:pPr>
            <w:r>
              <w:t xml:space="preserve">Prepare </w:t>
            </w:r>
            <w:r>
              <w:rPr>
                <w:i/>
              </w:rPr>
              <w:t xml:space="preserve">gate</w:t>
            </w:r>
            <w:r>
              <w:t xml:space="preserve"> evidence with the teams (P29, T03)</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4</w:t>
            </w:r>
          </w:p>
        </w:tc>
        <w:tc>
          <w:tcPr>
            <w:tcW w:w="1205" w:type="dxa"/>
          </w:tcPr>
          <w:p>
            <w:pPr>
              <w:pStyle w:val="Celda"/>
            </w:pPr>
            <w:r>
              <w:t xml:space="preserve">Calculate funnel and agility metrics</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5</w:t>
            </w:r>
          </w:p>
        </w:tc>
        <w:tc>
          <w:tcPr>
            <w:tcW w:w="1205" w:type="dxa"/>
          </w:tcPr>
          <w:p>
            <w:pPr>
              <w:pStyle w:val="Celda"/>
            </w:pPr>
            <w:r>
              <w:t xml:space="preserve">Update the board dashboard and save the snapshot of each session (T17)</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6</w:t>
            </w:r>
          </w:p>
        </w:tc>
        <w:tc>
          <w:tcPr>
            <w:tcW w:w="1205" w:type="dxa"/>
          </w:tcPr>
          <w:p>
            <w:pPr>
              <w:pStyle w:val="Celda"/>
            </w:pPr>
            <w:r>
              <w:t xml:space="preserve">Maintain the register of decisions and recommendations (P69, T18)</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7</w:t>
            </w:r>
          </w:p>
        </w:tc>
        <w:tc>
          <w:tcPr>
            <w:tcW w:w="1205" w:type="dxa"/>
          </w:tcPr>
          <w:p>
            <w:pPr>
              <w:pStyle w:val="Celda"/>
            </w:pPr>
            <w:r>
              <w:t xml:space="preserve">Validate figures with management control (document 40)</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8</w:t>
            </w:r>
          </w:p>
        </w:tc>
        <w:tc>
          <w:tcPr>
            <w:tcW w:w="1205" w:type="dxa"/>
          </w:tcPr>
          <w:p>
            <w:pPr>
              <w:pStyle w:val="Celda"/>
            </w:pPr>
            <w:r>
              <w:t xml:space="preserve">Prepare R6 continuity reviews</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9</w:t>
            </w:r>
          </w:p>
        </w:tc>
        <w:tc>
          <w:tcPr>
            <w:tcW w:w="1205" w:type="dxa"/>
          </w:tcPr>
          <w:p>
            <w:pPr>
              <w:pStyle w:val="Celda"/>
            </w:pPr>
            <w:r>
              <w:t xml:space="preserve">Prepare the C5 annual review (maturity, index, thesis)</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bl>
    <w:p>
      <w:pPr>
        <w:pStyle w:val="Espacio"/>
      </w:pPr>
    </w:p>
    <w:p>
      <w:r>
        <w:t xml:space="preserve">Status: Not started · In progress · Transferred · Not transferred (with reason).</w:t>
      </w:r>
    </w:p>
    <w:p>
      <w:pPr>
        <w:pStyle w:val="Heading2"/>
      </w:pPr>
      <w:r>
        <w:t xml:space="preserve">3.2 Service reduction milestones</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Milestone</w:t>
            </w:r>
          </w:p>
        </w:tc>
        <w:tc>
          <w:tcPr>
            <w:tcW w:w="1928" w:type="dxa"/>
            <w:shd w:val="clear" w:color="auto" w:fill="F2DFCE"/>
          </w:tcPr>
          <w:p>
            <w:pPr>
              <w:pStyle w:val="Celda"/>
            </w:pPr>
            <w:r>
              <w:rPr>
                <w:b/>
              </w:rPr>
              <w:t xml:space="preserve">Condition for reaching it</w:t>
            </w:r>
          </w:p>
        </w:tc>
        <w:tc>
          <w:tcPr>
            <w:tcW w:w="1928" w:type="dxa"/>
            <w:shd w:val="clear" w:color="auto" w:fill="F2DFCE"/>
          </w:tcPr>
          <w:p>
            <w:pPr>
              <w:pStyle w:val="Celda"/>
            </w:pPr>
            <w:r>
              <w:rPr>
                <w:b/>
              </w:rPr>
              <w:t xml:space="preserve">Third-party time commitment after the milestone</w:t>
            </w:r>
          </w:p>
        </w:tc>
        <w:tc>
          <w:tcPr>
            <w:tcW w:w="1928" w:type="dxa"/>
            <w:shd w:val="clear" w:color="auto" w:fill="F2DFCE"/>
          </w:tcPr>
          <w:p>
            <w:pPr>
              <w:pStyle w:val="Celda"/>
            </w:pPr>
            <w:r>
              <w:rPr>
                <w:b/>
              </w:rPr>
              <w:t xml:space="preserve">Planned date</w:t>
            </w:r>
          </w:p>
        </w:tc>
        <w:tc>
          <w:tcPr>
            <w:tcW w:w="1928" w:type="dxa"/>
            <w:shd w:val="clear" w:color="auto" w:fill="F2DFCE"/>
          </w:tcPr>
          <w:p>
            <w:pPr>
              <w:pStyle w:val="Celda"/>
            </w:pPr>
            <w:r>
              <w:rPr>
                <w:b/>
              </w:rPr>
              <w:t xml:space="preserve">Accepted by</w:t>
            </w:r>
          </w:p>
        </w:tc>
      </w:tr>
      <w:tr>
        <w:tc>
          <w:tcPr>
            <w:tcW w:w="1928" w:type="dxa"/>
          </w:tcPr>
          <w:p>
            <w:pPr>
              <w:pStyle w:val="Celda"/>
            </w:pPr>
            <w:r>
              <w:t xml:space="preserve">1</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2</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Exit</w:t>
            </w:r>
          </w:p>
        </w:tc>
        <w:tc>
          <w:tcPr>
            <w:tcW w:w="1928" w:type="dxa"/>
          </w:tcPr>
          <w:p>
            <w:pPr>
              <w:pStyle w:val="Celda"/>
            </w:pPr>
            <w:r>
              <w:t xml:space="preserve">All capabilities "Transferred" or "Not transferred" with an accepted reason.</w:t>
            </w:r>
          </w:p>
        </w:tc>
        <w:tc>
          <w:tcPr>
            <w:tcW w:w="1928" w:type="dxa"/>
          </w:tcPr>
          <w:p>
            <w:pPr>
              <w:pStyle w:val="Celda"/>
            </w:pPr>
            <w:r>
              <w:t xml:space="preserve">None</w:t>
            </w:r>
          </w:p>
        </w:tc>
        <w:tc>
          <w:tcPr>
            <w:tcW w:w="1928" w:type="dxa"/>
          </w:tcPr>
          <w:p>
            <w:pPr>
              <w:pStyle w:val="Celda"/>
            </w:pPr>
          </w:p>
        </w:tc>
        <w:tc>
          <w:tcPr>
            <w:tcW w:w="1928" w:type="dxa"/>
          </w:tcPr>
          <w:p>
            <w:pPr>
              <w:pStyle w:val="Celda"/>
            </w:pPr>
          </w:p>
        </w:tc>
      </w:tr>
    </w:tbl>
    <w:p>
      <w:pPr>
        <w:pStyle w:val="Espacio"/>
      </w:pPr>
    </w:p>
    <w:p>
      <w:pPr>
        <w:pStyle w:val="Separador"/>
      </w:pPr>
    </w:p>
    <w:p>
      <w:pPr>
        <w:pStyle w:val="Heading1"/>
      </w:pPr>
      <w:r>
        <w:t xml:space="preserve">4. Inventory of deliverables</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w:t>
            </w:r>
          </w:p>
        </w:tc>
        <w:tc>
          <w:tcPr>
            <w:tcW w:w="1205" w:type="dxa"/>
            <w:shd w:val="clear" w:color="auto" w:fill="F2DFCE"/>
          </w:tcPr>
          <w:p>
            <w:pPr>
              <w:pStyle w:val="Celda"/>
            </w:pPr>
            <w:r>
              <w:rPr>
                <w:b/>
              </w:rPr>
              <w:t xml:space="preserve">Deliverable</w:t>
            </w:r>
          </w:p>
        </w:tc>
        <w:tc>
          <w:tcPr>
            <w:tcW w:w="1205" w:type="dxa"/>
            <w:shd w:val="clear" w:color="auto" w:fill="F2DFCE"/>
          </w:tcPr>
          <w:p>
            <w:pPr>
              <w:pStyle w:val="Celda"/>
            </w:pPr>
            <w:r>
              <w:rPr>
                <w:b/>
              </w:rPr>
              <w:t xml:space="preserve">Template or tool</w:t>
            </w:r>
          </w:p>
        </w:tc>
        <w:tc>
          <w:tcPr>
            <w:tcW w:w="1205" w:type="dxa"/>
            <w:shd w:val="clear" w:color="auto" w:fill="F2DFCE"/>
          </w:tcPr>
          <w:p>
            <w:pPr>
              <w:pStyle w:val="Celda"/>
            </w:pPr>
            <w:r>
              <w:rPr>
                <w:b/>
              </w:rPr>
              <w:t xml:space="preserve">Version</w:t>
            </w:r>
          </w:p>
        </w:tc>
        <w:tc>
          <w:tcPr>
            <w:tcW w:w="1205" w:type="dxa"/>
            <w:shd w:val="clear" w:color="auto" w:fill="F2DFCE"/>
          </w:tcPr>
          <w:p>
            <w:pPr>
              <w:pStyle w:val="Celda"/>
            </w:pPr>
            <w:r>
              <w:rPr>
                <w:b/>
              </w:rPr>
              <w:t xml:space="preserve">Format</w:t>
            </w:r>
          </w:p>
        </w:tc>
        <w:tc>
          <w:tcPr>
            <w:tcW w:w="1205" w:type="dxa"/>
            <w:shd w:val="clear" w:color="auto" w:fill="F2DFCE"/>
          </w:tcPr>
          <w:p>
            <w:pPr>
              <w:pStyle w:val="Celda"/>
            </w:pPr>
            <w:r>
              <w:rPr>
                <w:b/>
              </w:rPr>
              <w:t xml:space="preserve">Location in the company's repository</w:t>
            </w:r>
          </w:p>
        </w:tc>
        <w:tc>
          <w:tcPr>
            <w:tcW w:w="1205" w:type="dxa"/>
            <w:shd w:val="clear" w:color="auto" w:fill="F2DFCE"/>
          </w:tcPr>
          <w:p>
            <w:pPr>
              <w:pStyle w:val="Celda"/>
            </w:pPr>
            <w:r>
              <w:rPr>
                <w:b/>
              </w:rPr>
              <w:t xml:space="preserve">Accepted by and date</w:t>
            </w:r>
          </w:p>
        </w:tc>
        <w:tc>
          <w:tcPr>
            <w:tcW w:w="1205" w:type="dxa"/>
            <w:shd w:val="clear" w:color="auto" w:fill="F2DFCE"/>
          </w:tcPr>
          <w:p>
            <w:pPr>
              <w:pStyle w:val="Celda"/>
            </w:pPr>
            <w:r>
              <w:rPr>
                <w:b/>
              </w:rPr>
              <w:t xml:space="preserve">Internal owner responsible for maintaining it</w:t>
            </w:r>
          </w:p>
        </w:tc>
      </w:tr>
      <w:tr>
        <w:tc>
          <w:tcPr>
            <w:tcW w:w="1205" w:type="dxa"/>
          </w:tcPr>
          <w:p>
            <w:pPr>
              <w:pStyle w:val="Celda"/>
            </w:pPr>
            <w:r>
              <w:t xml:space="preserve">1 </w:t>
            </w:r>
            <w:r>
              <w:rPr>
                <w:i/>
              </w:rPr>
              <w:t xml:space="preserve">(illustrative example)</w:t>
            </w:r>
          </w:p>
        </w:tc>
        <w:tc>
          <w:tcPr>
            <w:tcW w:w="1205" w:type="dxa"/>
          </w:tcPr>
          <w:p>
            <w:pPr>
              <w:pStyle w:val="Celda"/>
            </w:pPr>
            <w:r>
              <w:t xml:space="preserve">C1 diagnosis report</w:t>
            </w:r>
          </w:p>
        </w:tc>
        <w:tc>
          <w:tcPr>
            <w:tcW w:w="1205" w:type="dxa"/>
          </w:tcPr>
          <w:p>
            <w:pPr>
              <w:pStyle w:val="Celda"/>
            </w:pPr>
            <w:r>
              <w:t xml:space="preserve">P33</w:t>
            </w:r>
          </w:p>
        </w:tc>
        <w:tc>
          <w:tcPr>
            <w:tcW w:w="1205" w:type="dxa"/>
          </w:tcPr>
          <w:p>
            <w:pPr>
              <w:pStyle w:val="Celda"/>
            </w:pPr>
            <w:r>
              <w:t xml:space="preserve">1.0</w:t>
            </w:r>
          </w:p>
        </w:tc>
        <w:tc>
          <w:tcPr>
            <w:tcW w:w="1205" w:type="dxa"/>
          </w:tcPr>
          <w:p>
            <w:pPr>
              <w:pStyle w:val="Celda"/>
            </w:pPr>
            <w:r>
              <w:t xml:space="preserve">Editable document</w:t>
            </w:r>
          </w:p>
        </w:tc>
        <w:tc>
          <w:tcPr>
            <w:tcW w:w="1205" w:type="dxa"/>
          </w:tcPr>
          <w:p>
            <w:pPr>
              <w:pStyle w:val="Celda"/>
            </w:pPr>
            <w:r>
              <w:t xml:space="preserve">AI Office document repository</w:t>
            </w:r>
          </w:p>
        </w:tc>
        <w:tc>
          <w:tcPr>
            <w:tcW w:w="1205" w:type="dxa"/>
          </w:tcPr>
          <w:p>
            <w:pPr>
              <w:pStyle w:val="Celda"/>
            </w:pPr>
            <w:r>
              <w:t xml:space="preserve">Implementation sponsor · 30-11-2026</w:t>
            </w:r>
          </w:p>
        </w:tc>
        <w:tc>
          <w:tcPr>
            <w:tcW w:w="1205" w:type="dxa"/>
          </w:tcPr>
          <w:p>
            <w:pPr>
              <w:pStyle w:val="Celda"/>
            </w:pPr>
            <w:r>
              <w:t xml:space="preserve">AI Office</w:t>
            </w: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bl>
    <w:p>
      <w:pPr>
        <w:pStyle w:val="Espacio"/>
      </w:pPr>
    </w:p>
    <w:p>
      <w:r>
        <w:t xml:space="preserve">Each deliverable states the SEVEN-G version, the adaptations and credit for authorship with the legal notice in 93 §11.9.</w:t>
      </w:r>
    </w:p>
    <w:p>
      <w:pPr>
        <w:pStyle w:val="Separador"/>
      </w:pPr>
    </w:p>
    <w:p>
      <w:pPr>
        <w:pStyle w:val="Heading1"/>
      </w:pPr>
      <w:r>
        <w:t xml:space="preserve">5. Registers, data and tools</w:t>
      </w:r>
    </w:p>
    <w:p>
      <w:pPr>
        <w:pStyle w:val="Heading2"/>
      </w:pPr>
      <w:r>
        <w:t xml:space="preserve">5.1 Status of the tools</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Tool</w:t>
            </w:r>
          </w:p>
        </w:tc>
        <w:tc>
          <w:tcPr>
            <w:tcW w:w="1377" w:type="dxa"/>
            <w:shd w:val="clear" w:color="auto" w:fill="F2DFCE"/>
          </w:tcPr>
          <w:p>
            <w:pPr>
              <w:pStyle w:val="Celda"/>
            </w:pPr>
            <w:r>
              <w:rPr>
                <w:b/>
              </w:rPr>
              <w:t xml:space="preserve">Schema or tool version</w:t>
            </w:r>
          </w:p>
        </w:tc>
        <w:tc>
          <w:tcPr>
            <w:tcW w:w="1377" w:type="dxa"/>
            <w:shd w:val="clear" w:color="auto" w:fill="F2DFCE"/>
          </w:tcPr>
          <w:p>
            <w:pPr>
              <w:pStyle w:val="Celda"/>
            </w:pPr>
            <w:r>
              <w:rPr>
                <w:b/>
              </w:rPr>
              <w:t xml:space="preserve">Data file delivered</w:t>
            </w:r>
          </w:p>
        </w:tc>
        <w:tc>
          <w:tcPr>
            <w:tcW w:w="1377" w:type="dxa"/>
            <w:shd w:val="clear" w:color="auto" w:fill="F2DFCE"/>
          </w:tcPr>
          <w:p>
            <w:pPr>
              <w:pStyle w:val="Celda"/>
            </w:pPr>
            <w:r>
              <w:rPr>
                <w:b/>
              </w:rPr>
              <w:t xml:space="preserve">Last update</w:t>
            </w:r>
          </w:p>
        </w:tc>
        <w:tc>
          <w:tcPr>
            <w:tcW w:w="1377" w:type="dxa"/>
            <w:shd w:val="clear" w:color="auto" w:fill="F2DFCE"/>
          </w:tcPr>
          <w:p>
            <w:pPr>
              <w:pStyle w:val="Celda"/>
            </w:pPr>
            <w:r>
              <w:rPr>
                <w:b/>
              </w:rPr>
              <w:t xml:space="preserve">How it is updated or regenerated</w:t>
            </w:r>
          </w:p>
        </w:tc>
        <w:tc>
          <w:tcPr>
            <w:tcW w:w="1377" w:type="dxa"/>
            <w:shd w:val="clear" w:color="auto" w:fill="F2DFCE"/>
          </w:tcPr>
          <w:p>
            <w:pPr>
              <w:pStyle w:val="Celda"/>
            </w:pPr>
            <w:r>
              <w:rPr>
                <w:b/>
              </w:rPr>
              <w:t xml:space="preserve">Internal owner</w:t>
            </w:r>
          </w:p>
        </w:tc>
        <w:tc>
          <w:tcPr>
            <w:tcW w:w="1377" w:type="dxa"/>
            <w:shd w:val="clear" w:color="auto" w:fill="F2DFCE"/>
          </w:tcPr>
          <w:p>
            <w:pPr>
              <w:pStyle w:val="Celda"/>
            </w:pPr>
            <w:r>
              <w:rPr>
                <w:b/>
              </w:rPr>
              <w:t xml:space="preserve">Pending items</w:t>
            </w:r>
          </w:p>
        </w:tc>
      </w:tr>
      <w:tr>
        <w:tc>
          <w:tcPr>
            <w:tcW w:w="1377" w:type="dxa"/>
          </w:tcPr>
          <w:p>
            <w:pPr>
              <w:pStyle w:val="Celda"/>
            </w:pPr>
            <w:r>
              <w:t xml:space="preserve">T01 · Initiative register</w:t>
            </w:r>
          </w:p>
        </w:tc>
        <w:tc>
          <w:tcPr>
            <w:tcW w:w="1377" w:type="dxa"/>
          </w:tcPr>
          <w:p>
            <w:pPr>
              <w:pStyle w:val="Celda"/>
            </w:pPr>
          </w:p>
        </w:tc>
        <w:tc>
          <w:tcPr>
            <w:tcW w:w="1377" w:type="dxa"/>
          </w:tcPr>
          <w:p>
            <w:pPr>
              <w:pStyle w:val="Celda"/>
            </w:pPr>
            <w:r>
              <w:t xml:space="preserve">Complete JSON of the register</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T02 · AI system inventory</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T06 · Risk matrix and register</w:t>
            </w:r>
          </w:p>
        </w:tc>
        <w:tc>
          <w:tcPr>
            <w:tcW w:w="1377" w:type="dxa"/>
          </w:tcPr>
          <w:p>
            <w:pPr>
              <w:pStyle w:val="Celda"/>
            </w:pPr>
          </w:p>
        </w:tc>
        <w:tc>
          <w:tcPr>
            <w:tcW w:w="1377" w:type="dxa"/>
          </w:tcPr>
          <w:p>
            <w:pPr>
              <w:pStyle w:val="Celda"/>
            </w:pPr>
            <w:r>
              <w:t xml:space="preserve">CSV or JSON export from T01</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T17 · Board AI dashboard</w:t>
            </w:r>
          </w:p>
        </w:tc>
        <w:tc>
          <w:tcPr>
            <w:tcW w:w="1377" w:type="dxa"/>
          </w:tcPr>
          <w:p>
            <w:pPr>
              <w:pStyle w:val="Celda"/>
            </w:pPr>
          </w:p>
        </w:tc>
        <w:tc>
          <w:tcPr>
            <w:tcW w:w="1377" w:type="dxa"/>
          </w:tcPr>
          <w:p>
            <w:pPr>
              <w:pStyle w:val="Celda"/>
            </w:pPr>
            <w:r>
              <w:t xml:space="preserve">Dashboard data file and fingerprint</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T18 · Board recommendations register</w:t>
            </w:r>
          </w:p>
        </w:tc>
        <w:tc>
          <w:tcPr>
            <w:tcW w:w="1377" w:type="dxa"/>
          </w:tcPr>
          <w:p>
            <w:pPr>
              <w:pStyle w:val="Celda"/>
            </w:pPr>
          </w:p>
        </w:tc>
        <w:tc>
          <w:tcPr>
            <w:tcW w:w="1377" w:type="dxa"/>
          </w:tcPr>
          <w:p>
            <w:pPr>
              <w:pStyle w:val="Celda"/>
            </w:pPr>
            <w:r>
              <w:t xml:space="preserve">JSON or spreadsheet (P69)</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rPr>
                <w:i/>
              </w:rPr>
              <w:t xml:space="preserve">(others used)</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p>
      <w:pPr>
        <w:pStyle w:val="Heading2"/>
      </w:pPr>
      <w:r>
        <w:t xml:space="preserve">5.2 Third-party access</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System or repository</w:t>
            </w:r>
          </w:p>
        </w:tc>
        <w:tc>
          <w:tcPr>
            <w:tcW w:w="1928" w:type="dxa"/>
            <w:shd w:val="clear" w:color="auto" w:fill="F2DFCE"/>
          </w:tcPr>
          <w:p>
            <w:pPr>
              <w:pStyle w:val="Celda"/>
            </w:pPr>
            <w:r>
              <w:rPr>
                <w:b/>
              </w:rPr>
              <w:t xml:space="preserve">Type of access</w:t>
            </w:r>
          </w:p>
        </w:tc>
        <w:tc>
          <w:tcPr>
            <w:tcW w:w="1928" w:type="dxa"/>
            <w:shd w:val="clear" w:color="auto" w:fill="F2DFCE"/>
          </w:tcPr>
          <w:p>
            <w:pPr>
              <w:pStyle w:val="Celda"/>
            </w:pPr>
            <w:r>
              <w:rPr>
                <w:b/>
              </w:rPr>
              <w:t xml:space="preserve">Withdrawn (Yes · No)</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Checked by</w:t>
            </w:r>
          </w:p>
        </w:tc>
      </w:tr>
      <w:tr>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Access is withdrawn on the exit date; if any is retained, the reason and the withdrawal date are stated.</w:t>
      </w:r>
    </w:p>
    <w:p>
      <w:pPr>
        <w:pStyle w:val="Heading2"/>
      </w:pPr>
      <w:r>
        <w:t xml:space="preserve">5.3 Evidence and its location</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Type of evidence</w:t>
            </w:r>
          </w:p>
        </w:tc>
        <w:tc>
          <w:tcPr>
            <w:tcW w:w="2410" w:type="dxa"/>
            <w:shd w:val="clear" w:color="auto" w:fill="F2DFCE"/>
          </w:tcPr>
          <w:p>
            <w:pPr>
              <w:pStyle w:val="Celda"/>
            </w:pPr>
            <w:r>
              <w:rPr>
                <w:b/>
              </w:rPr>
              <w:t xml:space="preserve">Location</w:t>
            </w:r>
          </w:p>
        </w:tc>
        <w:tc>
          <w:tcPr>
            <w:tcW w:w="2410" w:type="dxa"/>
            <w:shd w:val="clear" w:color="auto" w:fill="F2DFCE"/>
          </w:tcPr>
          <w:p>
            <w:pPr>
              <w:pStyle w:val="Celda"/>
            </w:pPr>
            <w:r>
              <w:rPr>
                <w:b/>
              </w:rPr>
              <w:t xml:space="preserve">Internal owner</w:t>
            </w:r>
          </w:p>
        </w:tc>
        <w:tc>
          <w:tcPr>
            <w:tcW w:w="2410" w:type="dxa"/>
            <w:shd w:val="clear" w:color="auto" w:fill="F2DFCE"/>
          </w:tcPr>
          <w:p>
            <w:pPr>
              <w:pStyle w:val="Celda"/>
            </w:pPr>
            <w:r>
              <w:rPr>
                <w:b/>
              </w:rPr>
              <w:t xml:space="preserve">Observations</w:t>
            </w:r>
          </w:p>
        </w:tc>
      </w:tr>
      <w:tr>
        <w:tc>
          <w:tcPr>
            <w:tcW w:w="2410" w:type="dxa"/>
          </w:tcPr>
          <w:p>
            <w:pPr>
              <w:pStyle w:val="Celda"/>
            </w:pPr>
            <w:r>
              <w:t xml:space="preserve">Evidence of verified </w:t>
            </w:r>
            <w:r>
              <w:rPr>
                <w:i/>
              </w:rPr>
              <w:t xml:space="preserve">gates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Maturity evidence</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Value validations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Minutes and decisions</w:t>
            </w: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pPr>
        <w:pStyle w:val="Separador"/>
      </w:pPr>
    </w:p>
    <w:p>
      <w:pPr>
        <w:pStyle w:val="Heading1"/>
      </w:pPr>
      <w:r>
        <w:t xml:space="preserve">6. Status of the portfolio at the exit date</w:t>
      </w:r>
    </w:p>
    <w:p>
      <w:r>
        <w:t xml:space="preserve">Data at the stated cut-off date, with the source (T01, T12) and the rules in document 40.</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Cut-off date</w:t>
            </w:r>
          </w:p>
        </w:tc>
        <w:tc>
          <w:tcPr>
            <w:tcW w:w="3213" w:type="dxa"/>
          </w:tcPr>
          <w:p>
            <w:pPr>
              <w:pStyle w:val="Celda"/>
            </w:pPr>
          </w:p>
        </w:tc>
        <w:tc>
          <w:tcPr>
            <w:tcW w:w="3213" w:type="dxa"/>
          </w:tcPr>
          <w:p>
            <w:pPr>
              <w:pStyle w:val="Celda"/>
            </w:pPr>
          </w:p>
        </w:tc>
      </w:tr>
      <w:tr>
        <w:tc>
          <w:tcPr>
            <w:tcW w:w="3213" w:type="dxa"/>
          </w:tcPr>
          <w:p>
            <w:pPr>
              <w:pStyle w:val="Celda"/>
            </w:pPr>
            <w:r>
              <w:t xml:space="preserve">Initiatives by phase and status</w:t>
            </w:r>
          </w:p>
        </w:tc>
        <w:tc>
          <w:tcPr>
            <w:tcW w:w="3213" w:type="dxa"/>
          </w:tcPr>
          <w:p>
            <w:pPr>
              <w:pStyle w:val="Celda"/>
            </w:pPr>
          </w:p>
        </w:tc>
        <w:tc>
          <w:tcPr>
            <w:tcW w:w="3213" w:type="dxa"/>
          </w:tcPr>
          <w:p>
            <w:pPr>
              <w:pStyle w:val="Celda"/>
            </w:pPr>
            <w:r>
              <w:t xml:space="preserve">Phases 0–2, 3–5, in production, at G7; stopped and retired.</w:t>
            </w:r>
          </w:p>
        </w:tc>
      </w:tr>
      <w:tr>
        <w:tc>
          <w:tcPr>
            <w:tcW w:w="3213" w:type="dxa"/>
          </w:tcPr>
          <w:p>
            <w:pPr>
              <w:pStyle w:val="Celda"/>
            </w:pPr>
            <w:r>
              <w:t xml:space="preserve">Stalled initiatives and expired conditions</w:t>
            </w:r>
          </w:p>
        </w:tc>
        <w:tc>
          <w:tcPr>
            <w:tcW w:w="3213" w:type="dxa"/>
          </w:tcPr>
          <w:p>
            <w:pPr>
              <w:pStyle w:val="Celda"/>
            </w:pPr>
          </w:p>
        </w:tc>
        <w:tc>
          <w:tcPr>
            <w:tcW w:w="3213" w:type="dxa"/>
          </w:tcPr>
          <w:p>
            <w:pPr>
              <w:pStyle w:val="Celda"/>
            </w:pPr>
            <w:r>
              <w:t xml:space="preserve">With code.</w:t>
            </w:r>
          </w:p>
        </w:tc>
      </w:tr>
      <w:tr>
        <w:tc>
          <w:tcPr>
            <w:tcW w:w="3213" w:type="dxa"/>
          </w:tcPr>
          <w:p>
            <w:pPr>
              <w:pStyle w:val="Celda"/>
            </w:pPr>
            <w:r>
              <w:t xml:space="preserve">Overdue R6 in production</w:t>
            </w:r>
          </w:p>
        </w:tc>
        <w:tc>
          <w:tcPr>
            <w:tcW w:w="3213" w:type="dxa"/>
          </w:tcPr>
          <w:p>
            <w:pPr>
              <w:pStyle w:val="Celda"/>
            </w:pPr>
          </w:p>
        </w:tc>
        <w:tc>
          <w:tcPr>
            <w:tcW w:w="3213" w:type="dxa"/>
          </w:tcPr>
          <w:p>
            <w:pPr>
              <w:pStyle w:val="Celda"/>
            </w:pPr>
          </w:p>
        </w:tc>
      </w:tr>
      <w:tr>
        <w:tc>
          <w:tcPr>
            <w:tcW w:w="3213" w:type="dxa"/>
          </w:tcPr>
          <w:p>
            <w:pPr>
              <w:pStyle w:val="Celda"/>
            </w:pPr>
            <w:r>
              <w:t xml:space="preserve">Annual net value and validated proportion</w:t>
            </w:r>
          </w:p>
        </w:tc>
        <w:tc>
          <w:tcPr>
            <w:tcW w:w="3213" w:type="dxa"/>
          </w:tcPr>
          <w:p>
            <w:pPr>
              <w:pStyle w:val="Celda"/>
            </w:pPr>
          </w:p>
        </w:tc>
        <w:tc>
          <w:tcPr>
            <w:tcW w:w="3213" w:type="dxa"/>
          </w:tcPr>
          <w:p>
            <w:pPr>
              <w:pStyle w:val="Celda"/>
            </w:pPr>
            <w:r>
              <w:t xml:space="preserve">Efficiencies, return and recurring cost separately; released capacity shown separately.</w:t>
            </w:r>
          </w:p>
        </w:tc>
      </w:tr>
      <w:tr>
        <w:tc>
          <w:tcPr>
            <w:tcW w:w="3213" w:type="dxa"/>
          </w:tcPr>
          <w:p>
            <w:pPr>
              <w:pStyle w:val="Celda"/>
            </w:pPr>
            <w:r>
              <w:t xml:space="preserve">Use cases with negative annual net value</w:t>
            </w:r>
          </w:p>
        </w:tc>
        <w:tc>
          <w:tcPr>
            <w:tcW w:w="3213" w:type="dxa"/>
          </w:tcPr>
          <w:p>
            <w:pPr>
              <w:pStyle w:val="Celda"/>
            </w:pPr>
          </w:p>
        </w:tc>
        <w:tc>
          <w:tcPr>
            <w:tcW w:w="3213" w:type="dxa"/>
          </w:tcPr>
          <w:p>
            <w:pPr>
              <w:pStyle w:val="Celda"/>
            </w:pPr>
            <w:r>
              <w:t xml:space="preserve">Individually.</w:t>
            </w:r>
          </w:p>
        </w:tc>
      </w:tr>
      <w:tr>
        <w:tc>
          <w:tcPr>
            <w:tcW w:w="3213" w:type="dxa"/>
          </w:tcPr>
          <w:p>
            <w:pPr>
              <w:pStyle w:val="Celda"/>
            </w:pPr>
            <w:r>
              <w:t xml:space="preserve">Systems pending regularisation</w:t>
            </w:r>
          </w:p>
        </w:tc>
        <w:tc>
          <w:tcPr>
            <w:tcW w:w="3213" w:type="dxa"/>
          </w:tcPr>
          <w:p>
            <w:pPr>
              <w:pStyle w:val="Celda"/>
            </w:pPr>
          </w:p>
        </w:tc>
        <w:tc>
          <w:tcPr>
            <w:tcW w:w="3213" w:type="dxa"/>
          </w:tcPr>
          <w:p>
            <w:pPr>
              <w:pStyle w:val="Celda"/>
            </w:pPr>
            <w:r>
              <w:t xml:space="preserve">With an approved time limit (90 §5).</w:t>
            </w:r>
          </w:p>
        </w:tc>
      </w:tr>
      <w:tr>
        <w:tc>
          <w:tcPr>
            <w:tcW w:w="3213" w:type="dxa"/>
          </w:tcPr>
          <w:p>
            <w:pPr>
              <w:pStyle w:val="Celda"/>
            </w:pPr>
            <w:r>
              <w:t xml:space="preserve">Pending regulatory classification</w:t>
            </w:r>
          </w:p>
        </w:tc>
        <w:tc>
          <w:tcPr>
            <w:tcW w:w="3213" w:type="dxa"/>
          </w:tcPr>
          <w:p>
            <w:pPr>
              <w:pStyle w:val="Celda"/>
            </w:pPr>
          </w:p>
        </w:tc>
        <w:tc>
          <w:tcPr>
            <w:tcW w:w="3213" w:type="dxa"/>
          </w:tcPr>
          <w:p>
            <w:pPr>
              <w:pStyle w:val="Celda"/>
            </w:pPr>
            <w:r>
              <w:t xml:space="preserve">Systems not classified with legal judgement.</w:t>
            </w:r>
          </w:p>
        </w:tc>
      </w:tr>
      <w:tr>
        <w:tc>
          <w:tcPr>
            <w:tcW w:w="3213" w:type="dxa"/>
          </w:tcPr>
          <w:p>
            <w:pPr>
              <w:pStyle w:val="Celda"/>
            </w:pPr>
            <w:r>
              <w:t xml:space="preserve">Programme traffic light</w:t>
            </w:r>
          </w:p>
        </w:tc>
        <w:tc>
          <w:tcPr>
            <w:tcW w:w="3213" w:type="dxa"/>
          </w:tcPr>
          <w:p>
            <w:pPr>
              <w:pStyle w:val="Celda"/>
            </w:pPr>
          </w:p>
        </w:tc>
        <w:tc>
          <w:tcPr>
            <w:tcW w:w="3213" w:type="dxa"/>
          </w:tcPr>
          <w:p>
            <w:pPr>
              <w:pStyle w:val="Celda"/>
            </w:pPr>
            <w:r>
              <w:t xml:space="preserve">Latest version (P67 §6).</w:t>
            </w:r>
          </w:p>
        </w:tc>
      </w:tr>
    </w:tbl>
    <w:p>
      <w:pPr>
        <w:pStyle w:val="Espacio"/>
      </w:pPr>
    </w:p>
    <w:p>
      <w:pPr>
        <w:pStyle w:val="Separador"/>
      </w:pPr>
    </w:p>
    <w:p>
      <w:pPr>
        <w:pStyle w:val="Heading1"/>
      </w:pPr>
      <w:r>
        <w:t xml:space="preserve">7. Pending decisions and recommendations</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Code</w:t>
            </w:r>
          </w:p>
        </w:tc>
        <w:tc>
          <w:tcPr>
            <w:tcW w:w="1205" w:type="dxa"/>
            <w:shd w:val="clear" w:color="auto" w:fill="F2DFCE"/>
          </w:tcPr>
          <w:p>
            <w:pPr>
              <w:pStyle w:val="Celda"/>
            </w:pPr>
            <w:r>
              <w:rPr>
                <w:b/>
              </w:rPr>
              <w:t xml:space="preserve">Type</w:t>
            </w:r>
          </w:p>
        </w:tc>
        <w:tc>
          <w:tcPr>
            <w:tcW w:w="1205" w:type="dxa"/>
            <w:shd w:val="clear" w:color="auto" w:fill="F2DFCE"/>
          </w:tcPr>
          <w:p>
            <w:pPr>
              <w:pStyle w:val="Celda"/>
            </w:pPr>
            <w:r>
              <w:rPr>
                <w:b/>
              </w:rPr>
              <w:t xml:space="preserve">Abbreviated text</w:t>
            </w:r>
          </w:p>
        </w:tc>
        <w:tc>
          <w:tcPr>
            <w:tcW w:w="1205" w:type="dxa"/>
            <w:shd w:val="clear" w:color="auto" w:fill="F2DFCE"/>
          </w:tcPr>
          <w:p>
            <w:pPr>
              <w:pStyle w:val="Celda"/>
            </w:pPr>
            <w:r>
              <w:rPr>
                <w:b/>
              </w:rPr>
              <w:t xml:space="preserve">Body</w:t>
            </w:r>
          </w:p>
        </w:tc>
        <w:tc>
          <w:tcPr>
            <w:tcW w:w="1205" w:type="dxa"/>
            <w:shd w:val="clear" w:color="auto" w:fill="F2DFCE"/>
          </w:tcPr>
          <w:p>
            <w:pPr>
              <w:pStyle w:val="Celda"/>
            </w:pPr>
            <w:r>
              <w:rPr>
                <w:b/>
              </w:rPr>
              <w:t xml:space="preserve">Internal owner</w:t>
            </w:r>
          </w:p>
        </w:tc>
        <w:tc>
          <w:tcPr>
            <w:tcW w:w="1205" w:type="dxa"/>
            <w:shd w:val="clear" w:color="auto" w:fill="F2DFCE"/>
          </w:tcPr>
          <w:p>
            <w:pPr>
              <w:pStyle w:val="Celda"/>
            </w:pPr>
            <w:r>
              <w:rPr>
                <w:b/>
              </w:rPr>
              <w:t xml:space="preserve">Current committed date</w:t>
            </w:r>
          </w:p>
        </w:tc>
        <w:tc>
          <w:tcPr>
            <w:tcW w:w="1205" w:type="dxa"/>
            <w:shd w:val="clear" w:color="auto" w:fill="F2DFCE"/>
          </w:tcPr>
          <w:p>
            <w:pPr>
              <w:pStyle w:val="Celda"/>
            </w:pPr>
            <w:r>
              <w:rPr>
                <w:b/>
              </w:rPr>
              <w:t xml:space="preserve">Declared status</w:t>
            </w:r>
          </w:p>
        </w:tc>
        <w:tc>
          <w:tcPr>
            <w:tcW w:w="1205" w:type="dxa"/>
            <w:shd w:val="clear" w:color="auto" w:fill="F2DFCE"/>
          </w:tcPr>
          <w:p>
            <w:pPr>
              <w:pStyle w:val="Celda"/>
            </w:pPr>
            <w:r>
              <w:rPr>
                <w:b/>
              </w:rPr>
              <w:t xml:space="preserve">Assessment</w:t>
            </w:r>
          </w:p>
        </w:tc>
      </w:tr>
      <w:tr>
        <w:tc>
          <w:tcPr>
            <w:tcW w:w="1205" w:type="dxa"/>
          </w:tcPr>
          <w:p>
            <w:pPr>
              <w:pStyle w:val="Celda"/>
            </w:pPr>
          </w:p>
        </w:tc>
        <w:tc>
          <w:tcPr>
            <w:tcW w:w="1205" w:type="dxa"/>
          </w:tcPr>
          <w:p>
            <w:pPr>
              <w:pStyle w:val="Celda"/>
            </w:pPr>
            <w:r>
              <w:t xml:space="preserve">DEC · REC</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bl>
    <w:p>
      <w:pPr>
        <w:pStyle w:val="Espacio"/>
      </w:pPr>
    </w:p>
    <w:p>
      <w:r>
        <w:t xml:space="preserve">Extract from P69. If the third party was the assessor of any recommendation, a new independent assessor is appointed.</w:t>
      </w:r>
    </w:p>
    <w:p>
      <w:pPr>
        <w:pStyle w:val="Separador"/>
      </w:pPr>
    </w:p>
    <w:p>
      <w:pPr>
        <w:pStyle w:val="Heading1"/>
      </w:pPr>
      <w:r>
        <w:t xml:space="preserve">8. Open risks note</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w:t>
            </w:r>
          </w:p>
        </w:tc>
        <w:tc>
          <w:tcPr>
            <w:tcW w:w="1377" w:type="dxa"/>
            <w:shd w:val="clear" w:color="auto" w:fill="F2DFCE"/>
          </w:tcPr>
          <w:p>
            <w:pPr>
              <w:pStyle w:val="Celda"/>
            </w:pPr>
            <w:r>
              <w:rPr>
                <w:b/>
              </w:rPr>
              <w:t xml:space="preserve">Risk</w:t>
            </w:r>
          </w:p>
        </w:tc>
        <w:tc>
          <w:tcPr>
            <w:tcW w:w="1377" w:type="dxa"/>
            <w:shd w:val="clear" w:color="auto" w:fill="F2DFCE"/>
          </w:tcPr>
          <w:p>
            <w:pPr>
              <w:pStyle w:val="Celda"/>
            </w:pPr>
            <w:r>
              <w:rPr>
                <w:b/>
              </w:rPr>
              <w:t xml:space="preserve">Initiative or area</w:t>
            </w:r>
          </w:p>
        </w:tc>
        <w:tc>
          <w:tcPr>
            <w:tcW w:w="1377" w:type="dxa"/>
            <w:shd w:val="clear" w:color="auto" w:fill="F2DFCE"/>
          </w:tcPr>
          <w:p>
            <w:pPr>
              <w:pStyle w:val="Celda"/>
            </w:pPr>
            <w:r>
              <w:rPr>
                <w:b/>
              </w:rPr>
              <w:t xml:space="preserve">Residual level</w:t>
            </w:r>
          </w:p>
        </w:tc>
        <w:tc>
          <w:tcPr>
            <w:tcW w:w="1377" w:type="dxa"/>
            <w:shd w:val="clear" w:color="auto" w:fill="F2DFCE"/>
          </w:tcPr>
          <w:p>
            <w:pPr>
              <w:pStyle w:val="Celda"/>
            </w:pPr>
            <w:r>
              <w:rPr>
                <w:b/>
              </w:rPr>
              <w:t xml:space="preserve">Internal owner</w:t>
            </w:r>
          </w:p>
        </w:tc>
        <w:tc>
          <w:tcPr>
            <w:tcW w:w="1377" w:type="dxa"/>
            <w:shd w:val="clear" w:color="auto" w:fill="F2DFCE"/>
          </w:tcPr>
          <w:p>
            <w:pPr>
              <w:pStyle w:val="Celda"/>
            </w:pPr>
            <w:r>
              <w:rPr>
                <w:b/>
              </w:rPr>
              <w:t xml:space="preserve">Next review</w:t>
            </w:r>
          </w:p>
        </w:tc>
        <w:tc>
          <w:tcPr>
            <w:tcW w:w="1377" w:type="dxa"/>
            <w:shd w:val="clear" w:color="auto" w:fill="F2DFCE"/>
          </w:tcPr>
          <w:p>
            <w:pPr>
              <w:pStyle w:val="Celda"/>
            </w:pPr>
            <w:r>
              <w:rPr>
                <w:b/>
              </w:rPr>
              <w:t xml:space="preserve">Observation</w:t>
            </w:r>
          </w:p>
        </w:tc>
      </w:tr>
      <w:tr>
        <w:tc>
          <w:tcPr>
            <w:tcW w:w="1377" w:type="dxa"/>
          </w:tcPr>
          <w:p>
            <w:pPr>
              <w:pStyle w:val="Celda"/>
            </w:pPr>
            <w:r>
              <w:t xml:space="preserve">1 </w:t>
            </w:r>
            <w:r>
              <w:rPr>
                <w:i/>
              </w:rPr>
              <w:t xml:space="preserve">(illustrative example)</w:t>
            </w:r>
          </w:p>
        </w:tc>
        <w:tc>
          <w:tcPr>
            <w:tcW w:w="1377" w:type="dxa"/>
          </w:tcPr>
          <w:p>
            <w:pPr>
              <w:pStyle w:val="Celda"/>
            </w:pPr>
            <w:r>
              <w:t xml:space="preserve">The AI Office does not yet have a second person trained in maintaining the register</w:t>
            </w:r>
          </w:p>
        </w:tc>
        <w:tc>
          <w:tcPr>
            <w:tcW w:w="1377" w:type="dxa"/>
          </w:tcPr>
          <w:p>
            <w:pPr>
              <w:pStyle w:val="Celda"/>
            </w:pPr>
            <w:r>
              <w:t xml:space="preserve">Transfer</w:t>
            </w:r>
          </w:p>
        </w:tc>
        <w:tc>
          <w:tcPr>
            <w:tcW w:w="1377" w:type="dxa"/>
          </w:tcPr>
          <w:p>
            <w:pPr>
              <w:pStyle w:val="Celda"/>
            </w:pPr>
            <w:r>
              <w:t xml:space="preserve">Medium</w:t>
            </w:r>
          </w:p>
        </w:tc>
        <w:tc>
          <w:tcPr>
            <w:tcW w:w="1377" w:type="dxa"/>
          </w:tcPr>
          <w:p>
            <w:pPr>
              <w:pStyle w:val="Celda"/>
            </w:pPr>
            <w:r>
              <w:t xml:space="preserve">Head of the AI Office</w:t>
            </w:r>
          </w:p>
        </w:tc>
        <w:tc>
          <w:tcPr>
            <w:tcW w:w="1377" w:type="dxa"/>
          </w:tcPr>
          <w:p>
            <w:pPr>
              <w:pStyle w:val="Celda"/>
            </w:pPr>
            <w:r>
              <w:t xml:space="preserve">30-04-2027</w:t>
            </w:r>
          </w:p>
        </w:tc>
        <w:tc>
          <w:tcPr>
            <w:tcW w:w="1377" w:type="dxa"/>
          </w:tcPr>
          <w:p>
            <w:pPr>
              <w:pStyle w:val="Celda"/>
            </w:pPr>
            <w:r>
              <w:t xml:space="preserve">Training of a deputy included in the annual plan</w:t>
            </w:r>
          </w:p>
        </w:tc>
      </w:tr>
      <w:tr>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p>
      <w:r>
        <w:t xml:space="preserve">It includes the High and Critical risks in the portfolio (P12, T06), open nonconformities (P50) and the risks of the transfer itself (dependence on the third party, key people, tools without an owner). P×I 5×5 risk scale from document 33.</w:t>
      </w:r>
    </w:p>
    <w:p>
      <w:pPr>
        <w:pStyle w:val="Separador"/>
      </w:pPr>
    </w:p>
    <w:p>
      <w:pPr>
        <w:pStyle w:val="Heading1"/>
      </w:pPr>
      <w:r>
        <w:t xml:space="preserve">9. Independence after exit and lessons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Areas in which the third party may not audit or assess</w:t>
            </w:r>
          </w:p>
        </w:tc>
        <w:tc>
          <w:tcPr>
            <w:tcW w:w="3213" w:type="dxa"/>
          </w:tcPr>
          <w:p>
            <w:pPr>
              <w:pStyle w:val="Celda"/>
            </w:pPr>
          </w:p>
        </w:tc>
        <w:tc>
          <w:tcPr>
            <w:tcW w:w="3213" w:type="dxa"/>
          </w:tcPr>
          <w:p>
            <w:pPr>
              <w:pStyle w:val="Celda"/>
            </w:pPr>
            <w:r>
              <w:t xml:space="preserve">Those implemented, supported or audited (91 §5.2).</w:t>
            </w:r>
          </w:p>
        </w:tc>
      </w:tr>
      <w:tr>
        <w:tc>
          <w:tcPr>
            <w:tcW w:w="3213" w:type="dxa"/>
          </w:tcPr>
          <w:p>
            <w:pPr>
              <w:pStyle w:val="Celda"/>
            </w:pPr>
            <w:r>
              <w:t xml:space="preserve">Cooling-off period</w:t>
            </w:r>
          </w:p>
        </w:tc>
        <w:tc>
          <w:tcPr>
            <w:tcW w:w="3213" w:type="dxa"/>
          </w:tcPr>
          <w:p>
            <w:pPr>
              <w:pStyle w:val="Celda"/>
            </w:pPr>
          </w:p>
        </w:tc>
        <w:tc>
          <w:tcPr>
            <w:tcW w:w="3213" w:type="dxa"/>
          </w:tcPr>
          <w:p>
            <w:pPr>
              <w:pStyle w:val="Celda"/>
            </w:pPr>
            <w:r>
              <w:t xml:space="preserve">At least one full C5 (91 §5.3); date from which it ends.</w:t>
            </w:r>
          </w:p>
        </w:tc>
      </w:tr>
      <w:tr>
        <w:tc>
          <w:tcPr>
            <w:tcW w:w="3213" w:type="dxa"/>
          </w:tcPr>
          <w:p>
            <w:pPr>
              <w:pStyle w:val="Celda"/>
            </w:pPr>
            <w:r>
              <w:t xml:space="preserve">People moving from the third party to the company or vice versa</w:t>
            </w:r>
          </w:p>
        </w:tc>
        <w:tc>
          <w:tcPr>
            <w:tcW w:w="3213" w:type="dxa"/>
          </w:tcPr>
          <w:p>
            <w:pPr>
              <w:pStyle w:val="Celda"/>
            </w:pPr>
          </w:p>
        </w:tc>
        <w:tc>
          <w:tcPr>
            <w:tcW w:w="3213" w:type="dxa"/>
          </w:tcPr>
          <w:p>
            <w:pPr>
              <w:pStyle w:val="Celda"/>
            </w:pPr>
            <w:r>
              <w:t xml:space="preserve">The incompatibilities apply to them during the cooling-off period.</w:t>
            </w:r>
          </w:p>
        </w:tc>
      </w:tr>
      <w:tr>
        <w:tc>
          <w:tcPr>
            <w:tcW w:w="3213" w:type="dxa"/>
          </w:tcPr>
          <w:p>
            <w:pPr>
              <w:pStyle w:val="Celda"/>
            </w:pPr>
            <w:r>
              <w:t xml:space="preserve">Lessons from the engagement</w:t>
            </w:r>
          </w:p>
        </w:tc>
        <w:tc>
          <w:tcPr>
            <w:tcW w:w="3213" w:type="dxa"/>
          </w:tcPr>
          <w:p>
            <w:pPr>
              <w:pStyle w:val="Celda"/>
            </w:pPr>
          </w:p>
        </w:tc>
        <w:tc>
          <w:tcPr>
            <w:tcW w:w="3213" w:type="dxa"/>
          </w:tcPr>
          <w:p>
            <w:pPr>
              <w:pStyle w:val="Celda"/>
            </w:pPr>
            <w:r>
              <w:t xml:space="preserve">What worked, what did not and what the company would change.</w:t>
            </w:r>
          </w:p>
        </w:tc>
      </w:tr>
      <w:tr>
        <w:tc>
          <w:tcPr>
            <w:tcW w:w="3213" w:type="dxa"/>
          </w:tcPr>
          <w:p>
            <w:pPr>
              <w:pStyle w:val="Celda"/>
            </w:pPr>
            <w:r>
              <w:t xml:space="preserve">Subsequent support agreed</w:t>
            </w:r>
          </w:p>
        </w:tc>
        <w:tc>
          <w:tcPr>
            <w:tcW w:w="3213" w:type="dxa"/>
          </w:tcPr>
          <w:p>
            <w:pPr>
              <w:pStyle w:val="Celda"/>
            </w:pPr>
          </w:p>
        </w:tc>
        <w:tc>
          <w:tcPr>
            <w:tcW w:w="3213" w:type="dxa"/>
          </w:tcPr>
          <w:p>
            <w:pPr>
              <w:pStyle w:val="Celda"/>
            </w:pPr>
            <w:r>
              <w:t xml:space="preserve">If any, with scope and date; never as a condition for reading or maintaining what was delivered.</w:t>
            </w:r>
          </w:p>
        </w:tc>
      </w:tr>
    </w:tbl>
    <w:p>
      <w:pPr>
        <w:pStyle w:val="Espacio"/>
      </w:pPr>
    </w:p>
    <w:p>
      <w:pPr>
        <w:pStyle w:val="Separador"/>
      </w:pPr>
    </w:p>
    <w:p>
      <w:pPr>
        <w:pStyle w:val="Heading1"/>
      </w:pPr>
      <w:r>
        <w:t xml:space="preserve">10. Quality criteria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 (Met · Not met · Not applicable · Pending)</w:t>
            </w:r>
          </w:p>
        </w:tc>
      </w:tr>
      <w:tr>
        <w:tc>
          <w:tcPr>
            <w:tcW w:w="3213" w:type="dxa"/>
          </w:tcPr>
          <w:p>
            <w:pPr>
              <w:pStyle w:val="Celda"/>
            </w:pPr>
            <w:r>
              <w:t xml:space="preserve">1</w:t>
            </w:r>
          </w:p>
        </w:tc>
        <w:tc>
          <w:tcPr>
            <w:tcW w:w="3213" w:type="dxa"/>
          </w:tcPr>
          <w:p>
            <w:pPr>
              <w:pStyle w:val="Celda"/>
            </w:pPr>
            <w:r>
              <w:t xml:space="preserve">Each capability has a receiving role, a milestone and evidence that the company exercises it alone.</w:t>
            </w:r>
          </w:p>
        </w:tc>
        <w:tc>
          <w:tcPr>
            <w:tcW w:w="3213" w:type="dxa"/>
          </w:tcPr>
          <w:p>
            <w:pPr>
              <w:pStyle w:val="Celda"/>
            </w:pPr>
          </w:p>
        </w:tc>
      </w:tr>
      <w:tr>
        <w:tc>
          <w:tcPr>
            <w:tcW w:w="3213" w:type="dxa"/>
          </w:tcPr>
          <w:p>
            <w:pPr>
              <w:pStyle w:val="Celda"/>
            </w:pPr>
            <w:r>
              <w:t xml:space="preserve">2</w:t>
            </w:r>
          </w:p>
        </w:tc>
        <w:tc>
          <w:tcPr>
            <w:tcW w:w="3213" w:type="dxa"/>
          </w:tcPr>
          <w:p>
            <w:pPr>
              <w:pStyle w:val="Celda"/>
            </w:pPr>
            <w:r>
              <w:t xml:space="preserve">All deliverables are in an open format, with location and internal owner.</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The company can update T01, T17 and T18 without the third party (91 §7.3).</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Pending decisions and recommendations have an internal owner and, where applicable, a new assessor.</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The open risks note includes those of the transfer.</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Third-party access has been withdrawn or justified.</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In M2, the criteria in 90 §4.5 are met and the AI Office has prepared at least one </w:t>
            </w:r>
            <w:r>
              <w:rPr>
                <w:i/>
              </w:rPr>
              <w:t xml:space="preserve">gate</w:t>
            </w:r>
            <w:r>
              <w:t xml:space="preserve"> decision and one pack with support, not by delegation (91 §4.3).</w:t>
            </w:r>
          </w:p>
        </w:tc>
        <w:tc>
          <w:tcPr>
            <w:tcW w:w="3213" w:type="dxa"/>
          </w:tcPr>
          <w:p>
            <w:pPr>
              <w:pStyle w:val="Celda"/>
            </w:pPr>
          </w:p>
        </w:tc>
      </w:tr>
    </w:tbl>
    <w:p>
      <w:pPr>
        <w:pStyle w:val="Espacio"/>
      </w:pPr>
    </w:p>
    <w:p>
      <w:pPr>
        <w:pStyle w:val="Separador"/>
      </w:pPr>
    </w:p>
    <w:p>
      <w:pPr>
        <w:pStyle w:val="Heading1"/>
      </w:pPr>
      <w:r>
        <w:t xml:space="preserve">11.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Role</w:t>
            </w:r>
          </w:p>
        </w:tc>
        <w:tc>
          <w:tcPr>
            <w:tcW w:w="1928" w:type="dxa"/>
            <w:shd w:val="clear" w:color="auto" w:fill="F2DFCE"/>
          </w:tcPr>
          <w:p>
            <w:pPr>
              <w:pStyle w:val="Celda"/>
            </w:pPr>
            <w:r>
              <w:rPr>
                <w:b/>
              </w:rPr>
              <w:t xml:space="preserve">Name and position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Prepares</w:t>
            </w:r>
          </w:p>
        </w:tc>
        <w:tc>
          <w:tcPr>
            <w:tcW w:w="1928" w:type="dxa"/>
          </w:tcPr>
          <w:p>
            <w:pPr>
              <w:pStyle w:val="Celda"/>
            </w:pPr>
            <w:r>
              <w:t xml:space="preserve">Third party's service lead</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Receives and verifies the capabilities</w:t>
            </w:r>
          </w:p>
        </w:tc>
        <w:tc>
          <w:tcPr>
            <w:tcW w:w="1928" w:type="dxa"/>
          </w:tcPr>
          <w:p>
            <w:pPr>
              <w:pStyle w:val="Celda"/>
            </w:pPr>
            <w:r>
              <w:t xml:space="preserve">AI Office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Verifies the portfolio figures</w:t>
            </w:r>
          </w:p>
        </w:tc>
        <w:tc>
          <w:tcPr>
            <w:tcW w:w="1928" w:type="dxa"/>
          </w:tcPr>
          <w:p>
            <w:pPr>
              <w:pStyle w:val="Celda"/>
            </w:pPr>
            <w:r>
              <w:t xml:space="preserve">Management control</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Verifies the open risks note</w:t>
            </w:r>
          </w:p>
        </w:tc>
        <w:tc>
          <w:tcPr>
            <w:tcW w:w="1928" w:type="dxa"/>
          </w:tcPr>
          <w:p>
            <w:pPr>
              <w:pStyle w:val="Celda"/>
            </w:pPr>
            <w:r>
              <w:t xml:space="preserve">AI Risk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Accepts the exit</w:t>
            </w:r>
          </w:p>
        </w:tc>
        <w:tc>
          <w:tcPr>
            <w:tcW w:w="1928" w:type="dxa"/>
          </w:tcPr>
          <w:p>
            <w:pPr>
              <w:pStyle w:val="Celda"/>
            </w:pPr>
            <w:r>
              <w:t xml:space="preserve">Whoever commissioned the service · AI Committee in M5</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the third party does not declare a capability transferred; the AI Office does so with evidence that it exercises it alone.</w:t>
      </w:r>
    </w:p>
    <w:p>
      <w:pPr>
        <w:pStyle w:val="Separador"/>
      </w:pPr>
    </w:p>
    <w:p>
      <w:pPr>
        <w:pStyle w:val="Heading1"/>
      </w:pPr>
      <w:r>
        <w:t xml:space="preserve">12. Version control</w:t>
      </w:r>
    </w:p>
    <w:p>
      <w:r>
        <w:rPr>
          <w:b/>
        </w:rPr>
        <w:t xml:space="preserve">Completed document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Author</w:t>
            </w:r>
          </w:p>
        </w:tc>
        <w:tc>
          <w:tcPr>
            <w:tcW w:w="2410" w:type="dxa"/>
            <w:shd w:val="clear" w:color="auto" w:fill="F2DFCE"/>
          </w:tcPr>
          <w:p>
            <w:pPr>
              <w:pStyle w:val="Celda"/>
            </w:pPr>
            <w:r>
              <w:rPr>
                <w:b/>
              </w:rPr>
              <w:t xml:space="preserve">Changes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Template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First version. Capability transfer plan with service reduction milestones and exit note with inventory of deliverables, status of tools and portfolio, pending items, open risks, access and cooling-off period (91 §4.6, §5.3 and §7.3).</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P71 · Transfer plan and exit note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P71 · Transfer plan and exit note</dc:title>
  <dc:creator>Fernando García Varela</dc:creator>
  <dc:language>en</dc:language>
  <dc:description>sha256:3f39cde8b793d1de5b82ee23686b9fc9cc6ee4ee6fa17677d9135aacb84c7430</dc:description>
  <cp:keywords>SEVEN-G</cp:keywords>
</cp:coreProperties>
</file>