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Declaración de contexto y restricciones</w:t>
      </w:r>
    </w:p>
    <w:p>
      <w:r>
        <w:rPr>
          <w:b/>
        </w:rPr>
        <w:t xml:space="preserve">Deja por escrito, antes de invertir, el marco estratégico, regulatorio, ético, de datos, económico y organizativo dentro del cual debe desarrollarse la iniciativa.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P02 · Declaración de contexto y restricciones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0, junto con la carta de la iniciativa (P01). Se revisa en G3 y cuando cambie una restricción relevante (norma, presupuesto, proveedor, datos).</w:t>
            </w:r>
          </w:p>
        </w:tc>
      </w:tr>
      <w:tr>
        <w:tc>
          <w:tcPr>
            <w:tcW w:w="4819" w:type="dxa"/>
          </w:tcPr>
          <w:p>
            <w:pPr>
              <w:pStyle w:val="Celda"/>
            </w:pPr>
            <w:r>
              <w:rPr>
                <w:b/>
              </w:rPr>
              <w:t xml:space="preserve">Quién la rellena</w:t>
            </w:r>
          </w:p>
        </w:tc>
        <w:tc>
          <w:tcPr>
            <w:tcW w:w="4819" w:type="dxa"/>
          </w:tcPr>
          <w:p>
            <w:pPr>
              <w:pStyle w:val="Celda"/>
            </w:pPr>
            <w:r>
              <w:t xml:space="preserve">El responsable de producto de IA. Consulta al responsable de riesgos, a protección de datos, a seguridad de la información y a asesoría jurídica.</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w:t>
            </w:r>
          </w:p>
        </w:tc>
      </w:tr>
      <w:tr>
        <w:tc>
          <w:tcPr>
            <w:tcW w:w="4819" w:type="dxa"/>
          </w:tcPr>
          <w:p>
            <w:pPr>
              <w:pStyle w:val="Celda"/>
            </w:pPr>
            <w:r>
              <w:rPr>
                <w:b/>
              </w:rPr>
              <w:t xml:space="preserve">Quién decide</w:t>
            </w:r>
          </w:p>
        </w:tc>
        <w:tc>
          <w:tcPr>
            <w:tcW w:w="4819" w:type="dxa"/>
          </w:tcPr>
          <w:p>
            <w:pPr>
              <w:pStyle w:val="Celda"/>
            </w:pPr>
            <w:r>
              <w:t xml:space="preserve">Se aprueba con G0: patrocinador (Lite) · comité de IA (Enterprise).</w:t>
            </w:r>
          </w:p>
        </w:tc>
      </w:tr>
      <w:tr>
        <w:tc>
          <w:tcPr>
            <w:tcW w:w="4819" w:type="dxa"/>
          </w:tcPr>
          <w:p>
            <w:pPr>
              <w:pStyle w:val="Celda"/>
            </w:pPr>
            <w:r>
              <w:rPr>
                <w:b/>
              </w:rPr>
              <w:t xml:space="preserve">Gate en que se revisa</w:t>
            </w:r>
          </w:p>
        </w:tc>
        <w:tc>
          <w:tcPr>
            <w:tcW w:w="4819" w:type="dxa"/>
          </w:tcPr>
          <w:p>
            <w:pPr>
              <w:pStyle w:val="Celda"/>
            </w:pPr>
            <w:r>
              <w:t xml:space="preserve">G0 · Autorización; se vuelve a comprobar en G3 · Viabilidad.</w:t>
            </w:r>
          </w:p>
        </w:tc>
      </w:tr>
      <w:tr>
        <w:tc>
          <w:tcPr>
            <w:tcW w:w="4819" w:type="dxa"/>
          </w:tcPr>
          <w:p>
            <w:pPr>
              <w:pStyle w:val="Celda"/>
            </w:pPr>
            <w:r>
              <w:rPr>
                <w:b/>
              </w:rPr>
              <w:t xml:space="preserve">Herramienta</w:t>
            </w:r>
          </w:p>
        </w:tc>
        <w:tc>
          <w:tcPr>
            <w:tcW w:w="4819" w:type="dxa"/>
          </w:tcPr>
          <w:p>
            <w:pPr>
              <w:pStyle w:val="Celda"/>
            </w:pPr>
            <w:r>
              <w:t xml:space="preserve">T01 · Registro de iniciativas (enlace como evidencia de G0).</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En Lite, las restricciones que no apliquen se marcan "No aplica" con una línea de motivo.</w:t>
            </w:r>
          </w:p>
        </w:tc>
      </w:tr>
    </w:tbl>
    <w:p>
      <w:pPr>
        <w:pStyle w:val="Espacio"/>
      </w:pPr>
    </w:p>
    <w:p>
      <w:r>
        <w:t xml:space="preserve">Reglas de cumplimentación:</w:t>
      </w:r>
    </w:p>
    <w:p>
      <w:pPr>
        <w:pStyle w:val="Lista"/>
      </w:pPr>
      <w:r>
        <w:t xml:space="preserve">• Una restricción es algo que la iniciativa </w:t>
      </w:r>
      <w:r>
        <w:rPr>
          <w:b/>
        </w:rPr>
        <w:t xml:space="preserve">no puede cambiar</w:t>
      </w:r>
      <w:r>
        <w:t xml:space="preserve">. Si puede negociarse, es un supuesto y va a la sección 10.</w:t>
      </w:r>
    </w:p>
    <w:p>
      <w:pPr>
        <w:pStyle w:val="Lista"/>
      </w:pPr>
      <w:r>
        <w:t xml:space="preserve">• Esta declaración no sustituye la clasificación regulatoria (P11) ni la matriz de riesgos (P12): identifica lo que se sabe en la fase 0 para que no se descubra tarde.</w:t>
      </w:r>
    </w:p>
    <w:p>
      <w:pPr>
        <w:pStyle w:val="Lista"/>
      </w:pPr>
      <w:r>
        <w:t xml:space="preserve">• </w:t>
      </w:r>
      <w:r>
        <w:rPr>
          <w:i/>
        </w:rPr>
        <w:t xml:space="preserve">Este documento no constituye asesoramiento jurídico.</w:t>
      </w:r>
      <w:r>
        <w:t xml:space="preserve"> La aplicabilidad de cada norma debe confirmarla quien tenga competencia jurídica en la compañía. Referencias normativas consultadas en septiembre de 2026; debe verificarse su vigencia.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r>
              <w:t xml:space="preserve">Igual que en P01.</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r>
        <w:tc>
          <w:tcPr>
            <w:tcW w:w="3213" w:type="dxa"/>
          </w:tcPr>
          <w:p>
            <w:pPr>
              <w:pStyle w:val="Celda"/>
            </w:pPr>
            <w:r>
              <w:t xml:space="preserve">Personas consultadas</w:t>
            </w:r>
          </w:p>
        </w:tc>
        <w:tc>
          <w:tcPr>
            <w:tcW w:w="3213" w:type="dxa"/>
          </w:tcPr>
          <w:p>
            <w:pPr>
              <w:pStyle w:val="Celda"/>
            </w:pPr>
          </w:p>
        </w:tc>
        <w:tc>
          <w:tcPr>
            <w:tcW w:w="3213" w:type="dxa"/>
          </w:tcPr>
          <w:p>
            <w:pPr>
              <w:pStyle w:val="Celda"/>
            </w:pPr>
            <w:r>
              <w:t xml:space="preserve">Funciones de segunda línea y asesoría jurídica consultadas, con fecha.</w:t>
            </w:r>
          </w:p>
        </w:tc>
      </w:tr>
      <w:tr>
        <w:tc>
          <w:tcPr>
            <w:tcW w:w="3213" w:type="dxa"/>
          </w:tcPr>
          <w:p>
            <w:pPr>
              <w:pStyle w:val="Celda"/>
            </w:pPr>
            <w:r>
              <w:t xml:space="preserve">Intensidad aplicable</w:t>
            </w:r>
          </w:p>
        </w:tc>
        <w:tc>
          <w:tcPr>
            <w:tcW w:w="3213" w:type="dxa"/>
          </w:tcPr>
          <w:p>
            <w:pPr>
              <w:pStyle w:val="Celda"/>
            </w:pPr>
          </w:p>
        </w:tc>
        <w:tc>
          <w:tcPr>
            <w:tcW w:w="3213" w:type="dxa"/>
          </w:tcPr>
          <w:p>
            <w:pPr>
              <w:pStyle w:val="Celda"/>
            </w:pPr>
            <w:r>
              <w:t xml:space="preserve">Lite · Enterprise (P04).</w:t>
            </w:r>
          </w:p>
        </w:tc>
      </w:tr>
    </w:tbl>
    <w:p>
      <w:pPr>
        <w:pStyle w:val="Espacio"/>
      </w:pPr>
    </w:p>
    <w:p>
      <w:pPr>
        <w:pStyle w:val="Separador"/>
      </w:pPr>
    </w:p>
    <w:p>
      <w:pPr>
        <w:pStyle w:val="Heading1"/>
      </w:pPr>
      <w:r>
        <w:t xml:space="preserve">3. Contexto estratégico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Tesis de IA aplicable</w:t>
            </w:r>
          </w:p>
        </w:tc>
        <w:tc>
          <w:tcPr>
            <w:tcW w:w="3213" w:type="dxa"/>
          </w:tcPr>
          <w:p>
            <w:pPr>
              <w:pStyle w:val="Celda"/>
            </w:pPr>
          </w:p>
        </w:tc>
        <w:tc>
          <w:tcPr>
            <w:tcW w:w="3213" w:type="dxa"/>
          </w:tcPr>
          <w:p>
            <w:pPr>
              <w:pStyle w:val="Celda"/>
            </w:pPr>
            <w:r>
              <w:t xml:space="preserve">Extracto o referencia de la tesis aprobada en C2 que ampara la iniciativa.</w:t>
            </w:r>
          </w:p>
        </w:tc>
      </w:tr>
      <w:tr>
        <w:tc>
          <w:tcPr>
            <w:tcW w:w="3213" w:type="dxa"/>
          </w:tcPr>
          <w:p>
            <w:pPr>
              <w:pStyle w:val="Celda"/>
            </w:pPr>
            <w:r>
              <w:t xml:space="preserve">Ambición aprobada para la esfera</w:t>
            </w:r>
          </w:p>
        </w:tc>
        <w:tc>
          <w:tcPr>
            <w:tcW w:w="3213" w:type="dxa"/>
          </w:tcPr>
          <w:p>
            <w:pPr>
              <w:pStyle w:val="Celda"/>
            </w:pPr>
          </w:p>
        </w:tc>
        <w:tc>
          <w:tcPr>
            <w:tcW w:w="3213" w:type="dxa"/>
          </w:tcPr>
          <w:p>
            <w:pPr>
              <w:pStyle w:val="Celda"/>
            </w:pPr>
            <w:r>
              <w:t xml:space="preserve">Nivel de ambición que el consejo fijó en C2 para la esfera principal.</w:t>
            </w:r>
          </w:p>
        </w:tc>
      </w:tr>
      <w:tr>
        <w:tc>
          <w:tcPr>
            <w:tcW w:w="3213" w:type="dxa"/>
          </w:tcPr>
          <w:p>
            <w:pPr>
              <w:pStyle w:val="Celda"/>
            </w:pPr>
            <w:r>
              <w:t xml:space="preserve">Apetito de riesgo aplicable</w:t>
            </w:r>
          </w:p>
        </w:tc>
        <w:tc>
          <w:tcPr>
            <w:tcW w:w="3213" w:type="dxa"/>
          </w:tcPr>
          <w:p>
            <w:pPr>
              <w:pStyle w:val="Celda"/>
            </w:pPr>
          </w:p>
        </w:tc>
        <w:tc>
          <w:tcPr>
            <w:tcW w:w="3213" w:type="dxa"/>
          </w:tcPr>
          <w:p>
            <w:pPr>
              <w:pStyle w:val="Celda"/>
            </w:pPr>
            <w:r>
              <w:t xml:space="preserve">Límites de C2 que afectan a esta iniciativa: nivel de riesgo residual aceptable, autonomía máxima, exposición a clientes, umbrales económicos.</w:t>
            </w:r>
          </w:p>
        </w:tc>
      </w:tr>
      <w:tr>
        <w:tc>
          <w:tcPr>
            <w:tcW w:w="3213" w:type="dxa"/>
          </w:tcPr>
          <w:p>
            <w:pPr>
              <w:pStyle w:val="Celda"/>
            </w:pPr>
            <w:r>
              <w:t xml:space="preserve">Situación actual del proceso</w:t>
            </w:r>
          </w:p>
        </w:tc>
        <w:tc>
          <w:tcPr>
            <w:tcW w:w="3213" w:type="dxa"/>
          </w:tcPr>
          <w:p>
            <w:pPr>
              <w:pStyle w:val="Celda"/>
            </w:pPr>
          </w:p>
        </w:tc>
        <w:tc>
          <w:tcPr>
            <w:tcW w:w="3213" w:type="dxa"/>
          </w:tcPr>
          <w:p>
            <w:pPr>
              <w:pStyle w:val="Celda"/>
            </w:pPr>
            <w:r>
              <w:t xml:space="preserve">Cómo se hace hoy, con qué medios y con qué problemas conocidos.</w:t>
            </w:r>
          </w:p>
        </w:tc>
      </w:tr>
      <w:tr>
        <w:tc>
          <w:tcPr>
            <w:tcW w:w="3213" w:type="dxa"/>
          </w:tcPr>
          <w:p>
            <w:pPr>
              <w:pStyle w:val="Celda"/>
            </w:pPr>
            <w:r>
              <w:t xml:space="preserve">Iniciativas o sistemas existentes</w:t>
            </w:r>
          </w:p>
        </w:tc>
        <w:tc>
          <w:tcPr>
            <w:tcW w:w="3213" w:type="dxa"/>
          </w:tcPr>
          <w:p>
            <w:pPr>
              <w:pStyle w:val="Celda"/>
            </w:pPr>
          </w:p>
        </w:tc>
        <w:tc>
          <w:tcPr>
            <w:tcW w:w="3213" w:type="dxa"/>
          </w:tcPr>
          <w:p>
            <w:pPr>
              <w:pStyle w:val="Celda"/>
            </w:pPr>
            <w:r>
              <w:t xml:space="preserve">Otros sistemas de IA del inventario que ya cubren parte del proceso.</w:t>
            </w:r>
          </w:p>
        </w:tc>
      </w:tr>
      <w:tr>
        <w:tc>
          <w:tcPr>
            <w:tcW w:w="3213" w:type="dxa"/>
          </w:tcPr>
          <w:p>
            <w:pPr>
              <w:pStyle w:val="Celda"/>
            </w:pPr>
            <w:r>
              <w:t xml:space="preserve">Horizonte de retorno fijado en C2 </w:t>
            </w:r>
            <w:r>
              <w:rPr>
                <w:b/>
              </w:rPr>
              <w:t xml:space="preserve">(Enterprise)</w:t>
            </w:r>
          </w:p>
        </w:tc>
        <w:tc>
          <w:tcPr>
            <w:tcW w:w="3213" w:type="dxa"/>
          </w:tcPr>
          <w:p>
            <w:pPr>
              <w:pStyle w:val="Celda"/>
            </w:pPr>
          </w:p>
        </w:tc>
        <w:tc>
          <w:tcPr>
            <w:tcW w:w="3213" w:type="dxa"/>
          </w:tcPr>
          <w:p>
            <w:pPr>
              <w:pStyle w:val="Celda"/>
            </w:pPr>
            <w:r>
              <w:t xml:space="preserve">Plazo en el que el neto esperado debe ser positivo para Optimizar y Aumentar.</w:t>
            </w:r>
          </w:p>
        </w:tc>
      </w:tr>
    </w:tbl>
    <w:p>
      <w:pPr>
        <w:pStyle w:val="Espacio"/>
      </w:pPr>
    </w:p>
    <w:p>
      <w:pPr>
        <w:pStyle w:val="Separador"/>
      </w:pPr>
    </w:p>
    <w:p>
      <w:pPr>
        <w:pStyle w:val="Heading1"/>
      </w:pPr>
      <w:r>
        <w:t xml:space="preserve">4. Restricciones regulatorias</w:t>
      </w:r>
    </w:p>
    <w:p>
      <w:r>
        <w:t xml:space="preserve">Indique para cada referencia si aplica. "Por determinar" obliga a resolverla antes de G3.</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Referencia</w:t>
            </w:r>
          </w:p>
        </w:tc>
        <w:tc>
          <w:tcPr>
            <w:tcW w:w="1928" w:type="dxa"/>
            <w:shd w:val="clear" w:color="auto" w:fill="F2DFCE"/>
          </w:tcPr>
          <w:p>
            <w:pPr>
              <w:pStyle w:val="Celda"/>
            </w:pPr>
            <w:r>
              <w:rPr>
                <w:b/>
              </w:rPr>
              <w:t xml:space="preserve">¿Aplica?</w:t>
            </w:r>
          </w:p>
        </w:tc>
        <w:tc>
          <w:tcPr>
            <w:tcW w:w="1928" w:type="dxa"/>
            <w:shd w:val="clear" w:color="auto" w:fill="F2DFCE"/>
          </w:tcPr>
          <w:p>
            <w:pPr>
              <w:pStyle w:val="Celda"/>
            </w:pPr>
            <w:r>
              <w:rPr>
                <w:b/>
              </w:rPr>
              <w:t xml:space="preserve">Motivo</w:t>
            </w:r>
          </w:p>
        </w:tc>
        <w:tc>
          <w:tcPr>
            <w:tcW w:w="1928" w:type="dxa"/>
            <w:shd w:val="clear" w:color="auto" w:fill="F2DFCE"/>
          </w:tcPr>
          <w:p>
            <w:pPr>
              <w:pStyle w:val="Celda"/>
            </w:pPr>
            <w:r>
              <w:rPr>
                <w:b/>
              </w:rPr>
              <w:t xml:space="preserve">Implicación para la iniciativa</w:t>
            </w:r>
          </w:p>
        </w:tc>
        <w:tc>
          <w:tcPr>
            <w:tcW w:w="1928" w:type="dxa"/>
            <w:shd w:val="clear" w:color="auto" w:fill="F2DFCE"/>
          </w:tcPr>
          <w:p>
            <w:pPr>
              <w:pStyle w:val="Celda"/>
            </w:pPr>
            <w:r>
              <w:rPr>
                <w:b/>
              </w:rPr>
              <w:t xml:space="preserve">Quién lo confirma</w:t>
            </w:r>
          </w:p>
        </w:tc>
      </w:tr>
      <w:tr>
        <w:tc>
          <w:tcPr>
            <w:tcW w:w="1928" w:type="dxa"/>
          </w:tcPr>
          <w:p>
            <w:pPr>
              <w:pStyle w:val="Celda"/>
            </w:pPr>
            <w:r>
              <w:t xml:space="preserve">Reglamento Europeo de IA (Reglamento (UE) 2024/1689)</w:t>
            </w:r>
          </w:p>
        </w:tc>
        <w:tc>
          <w:tcPr>
            <w:tcW w:w="1928" w:type="dxa"/>
          </w:tcPr>
          <w:p>
            <w:pPr>
              <w:pStyle w:val="Celda"/>
            </w:pPr>
            <w:r>
              <w:t xml:space="preserve">Sí · No · Por determinar</w:t>
            </w:r>
          </w:p>
        </w:tc>
        <w:tc>
          <w:tcPr>
            <w:tcW w:w="1928" w:type="dxa"/>
          </w:tcPr>
          <w:p>
            <w:pPr>
              <w:pStyle w:val="Celda"/>
            </w:pPr>
          </w:p>
        </w:tc>
        <w:tc>
          <w:tcPr>
            <w:tcW w:w="1928" w:type="dxa"/>
          </w:tcPr>
          <w:p>
            <w:pPr>
              <w:pStyle w:val="Celda"/>
            </w:pPr>
            <w:r>
              <w:t xml:space="preserve">Clasificación y obligaciones según el rol de la compañía (P11).</w:t>
            </w:r>
          </w:p>
        </w:tc>
        <w:tc>
          <w:tcPr>
            <w:tcW w:w="1928" w:type="dxa"/>
          </w:tcPr>
          <w:p>
            <w:pPr>
              <w:pStyle w:val="Celda"/>
            </w:pPr>
          </w:p>
        </w:tc>
      </w:tr>
      <w:tr>
        <w:tc>
          <w:tcPr>
            <w:tcW w:w="1928" w:type="dxa"/>
          </w:tcPr>
          <w:p>
            <w:pPr>
              <w:pStyle w:val="Celda"/>
            </w:pPr>
            <w:r>
              <w:t xml:space="preserve">RGPD (Reglamento (UE) 2016/679) y normativa nacional de protección de datos</w:t>
            </w:r>
          </w:p>
        </w:tc>
        <w:tc>
          <w:tcPr>
            <w:tcW w:w="1928" w:type="dxa"/>
          </w:tcPr>
          <w:p>
            <w:pPr>
              <w:pStyle w:val="Celda"/>
            </w:pPr>
          </w:p>
        </w:tc>
        <w:tc>
          <w:tcPr>
            <w:tcW w:w="1928" w:type="dxa"/>
          </w:tcPr>
          <w:p>
            <w:pPr>
              <w:pStyle w:val="Celda"/>
            </w:pPr>
          </w:p>
        </w:tc>
        <w:tc>
          <w:tcPr>
            <w:tcW w:w="1928" w:type="dxa"/>
          </w:tcPr>
          <w:p>
            <w:pPr>
              <w:pStyle w:val="Celda"/>
            </w:pPr>
            <w:r>
              <w:t xml:space="preserve">Base jurídica, minimización, evaluación de impacto en protección de datos, decisiones automatizadas.</w:t>
            </w:r>
          </w:p>
        </w:tc>
        <w:tc>
          <w:tcPr>
            <w:tcW w:w="1928" w:type="dxa"/>
          </w:tcPr>
          <w:p>
            <w:pPr>
              <w:pStyle w:val="Celda"/>
            </w:pPr>
          </w:p>
        </w:tc>
      </w:tr>
      <w:tr>
        <w:tc>
          <w:tcPr>
            <w:tcW w:w="1928" w:type="dxa"/>
          </w:tcPr>
          <w:p>
            <w:pPr>
              <w:pStyle w:val="Celda"/>
            </w:pPr>
            <w:r>
              <w:t xml:space="preserve">DORA (Reglamento (UE) 2022/2554)</w:t>
            </w:r>
          </w:p>
        </w:tc>
        <w:tc>
          <w:tcPr>
            <w:tcW w:w="1928" w:type="dxa"/>
          </w:tcPr>
          <w:p>
            <w:pPr>
              <w:pStyle w:val="Celda"/>
            </w:pPr>
          </w:p>
        </w:tc>
        <w:tc>
          <w:tcPr>
            <w:tcW w:w="1928" w:type="dxa"/>
          </w:tcPr>
          <w:p>
            <w:pPr>
              <w:pStyle w:val="Celda"/>
            </w:pPr>
            <w:r>
              <w:t xml:space="preserve">Solo entidades financieras incluidas en su ámbito.</w:t>
            </w:r>
          </w:p>
        </w:tc>
        <w:tc>
          <w:tcPr>
            <w:tcW w:w="1928" w:type="dxa"/>
          </w:tcPr>
          <w:p>
            <w:pPr>
              <w:pStyle w:val="Celda"/>
            </w:pPr>
            <w:r>
              <w:t xml:space="preserve">Riesgo de proveedores TIC, incidentes, funciones esenciales o importantes.</w:t>
            </w:r>
          </w:p>
        </w:tc>
        <w:tc>
          <w:tcPr>
            <w:tcW w:w="1928" w:type="dxa"/>
          </w:tcPr>
          <w:p>
            <w:pPr>
              <w:pStyle w:val="Celda"/>
            </w:pPr>
          </w:p>
        </w:tc>
      </w:tr>
      <w:tr>
        <w:tc>
          <w:tcPr>
            <w:tcW w:w="1928" w:type="dxa"/>
          </w:tcPr>
          <w:p>
            <w:pPr>
              <w:pStyle w:val="Celda"/>
            </w:pPr>
            <w:r>
              <w:t xml:space="preserve">NIS2 (Directiva (UE) 2022/2555) y su transposición nacional</w:t>
            </w:r>
          </w:p>
        </w:tc>
        <w:tc>
          <w:tcPr>
            <w:tcW w:w="1928" w:type="dxa"/>
          </w:tcPr>
          <w:p>
            <w:pPr>
              <w:pStyle w:val="Celda"/>
            </w:pPr>
          </w:p>
        </w:tc>
        <w:tc>
          <w:tcPr>
            <w:tcW w:w="1928" w:type="dxa"/>
          </w:tcPr>
          <w:p>
            <w:pPr>
              <w:pStyle w:val="Celda"/>
            </w:pPr>
            <w:r>
              <w:t xml:space="preserve">Entidades esenciales o importantes.</w:t>
            </w:r>
          </w:p>
        </w:tc>
        <w:tc>
          <w:tcPr>
            <w:tcW w:w="1928" w:type="dxa"/>
          </w:tcPr>
          <w:p>
            <w:pPr>
              <w:pStyle w:val="Celda"/>
            </w:pPr>
            <w:r>
              <w:t xml:space="preserve">Gestión de riesgos de ciberseguridad y notificación de incidentes.</w:t>
            </w:r>
          </w:p>
        </w:tc>
        <w:tc>
          <w:tcPr>
            <w:tcW w:w="1928" w:type="dxa"/>
          </w:tcPr>
          <w:p>
            <w:pPr>
              <w:pStyle w:val="Celda"/>
            </w:pPr>
          </w:p>
        </w:tc>
      </w:tr>
      <w:tr>
        <w:tc>
          <w:tcPr>
            <w:tcW w:w="1928" w:type="dxa"/>
          </w:tcPr>
          <w:p>
            <w:pPr>
              <w:pStyle w:val="Celda"/>
            </w:pPr>
            <w:r>
              <w:t xml:space="preserve">Regulación sectorial</w:t>
            </w:r>
          </w:p>
        </w:tc>
        <w:tc>
          <w:tcPr>
            <w:tcW w:w="1928" w:type="dxa"/>
          </w:tcPr>
          <w:p>
            <w:pPr>
              <w:pStyle w:val="Celda"/>
            </w:pPr>
          </w:p>
        </w:tc>
        <w:tc>
          <w:tcPr>
            <w:tcW w:w="1928" w:type="dxa"/>
          </w:tcPr>
          <w:p>
            <w:pPr>
              <w:pStyle w:val="Celda"/>
            </w:pPr>
            <w:r>
              <w:t xml:space="preserve">Supervisores y normas del sector.</w:t>
            </w:r>
          </w:p>
        </w:tc>
        <w:tc>
          <w:tcPr>
            <w:tcW w:w="1928" w:type="dxa"/>
          </w:tcPr>
          <w:p>
            <w:pPr>
              <w:pStyle w:val="Celda"/>
            </w:pPr>
          </w:p>
        </w:tc>
        <w:tc>
          <w:tcPr>
            <w:tcW w:w="1928" w:type="dxa"/>
          </w:tcPr>
          <w:p>
            <w:pPr>
              <w:pStyle w:val="Celda"/>
            </w:pPr>
          </w:p>
        </w:tc>
      </w:tr>
      <w:tr>
        <w:tc>
          <w:tcPr>
            <w:tcW w:w="1928" w:type="dxa"/>
          </w:tcPr>
          <w:p>
            <w:pPr>
              <w:pStyle w:val="Celda"/>
            </w:pPr>
            <w:r>
              <w:t xml:space="preserve">Legislación laboral</w:t>
            </w:r>
          </w:p>
        </w:tc>
        <w:tc>
          <w:tcPr>
            <w:tcW w:w="1928" w:type="dxa"/>
          </w:tcPr>
          <w:p>
            <w:pPr>
              <w:pStyle w:val="Celda"/>
            </w:pPr>
          </w:p>
        </w:tc>
        <w:tc>
          <w:tcPr>
            <w:tcW w:w="1928" w:type="dxa"/>
          </w:tcPr>
          <w:p>
            <w:pPr>
              <w:pStyle w:val="Celda"/>
            </w:pPr>
            <w:r>
              <w:t xml:space="preserve">Si el sistema afecta a condiciones de trabajo, acceso al empleo o evaluación de personas trabajadoras.</w:t>
            </w:r>
          </w:p>
        </w:tc>
        <w:tc>
          <w:tcPr>
            <w:tcW w:w="1928" w:type="dxa"/>
          </w:tcPr>
          <w:p>
            <w:pPr>
              <w:pStyle w:val="Celda"/>
            </w:pPr>
            <w:r>
              <w:t xml:space="preserve">Información a la representación legal de las personas trabajadoras (en España, artículo 64.4.d del Estatuto de los Trabajadores).</w:t>
            </w:r>
          </w:p>
        </w:tc>
        <w:tc>
          <w:tcPr>
            <w:tcW w:w="1928" w:type="dxa"/>
          </w:tcPr>
          <w:p>
            <w:pPr>
              <w:pStyle w:val="Celda"/>
            </w:pPr>
          </w:p>
        </w:tc>
      </w:tr>
      <w:tr>
        <w:tc>
          <w:tcPr>
            <w:tcW w:w="1928" w:type="dxa"/>
          </w:tcPr>
          <w:p>
            <w:pPr>
              <w:pStyle w:val="Celda"/>
            </w:pPr>
            <w:r>
              <w:t xml:space="preserve">Consumo, publicidad y contratación a distancia</w:t>
            </w:r>
          </w:p>
        </w:tc>
        <w:tc>
          <w:tcPr>
            <w:tcW w:w="1928" w:type="dxa"/>
          </w:tcPr>
          <w:p>
            <w:pPr>
              <w:pStyle w:val="Celda"/>
            </w:pPr>
          </w:p>
        </w:tc>
        <w:tc>
          <w:tcPr>
            <w:tcW w:w="1928" w:type="dxa"/>
          </w:tcPr>
          <w:p>
            <w:pPr>
              <w:pStyle w:val="Celda"/>
            </w:pPr>
            <w:r>
              <w:t xml:space="preserve">Si hay interacción con clientes.</w:t>
            </w:r>
          </w:p>
        </w:tc>
        <w:tc>
          <w:tcPr>
            <w:tcW w:w="1928" w:type="dxa"/>
          </w:tcPr>
          <w:p>
            <w:pPr>
              <w:pStyle w:val="Celda"/>
            </w:pPr>
            <w:r>
              <w:t xml:space="preserve">Información precontractual, prácticas comerciales, reclamaciones.</w:t>
            </w:r>
          </w:p>
        </w:tc>
        <w:tc>
          <w:tcPr>
            <w:tcW w:w="1928" w:type="dxa"/>
          </w:tcPr>
          <w:p>
            <w:pPr>
              <w:pStyle w:val="Celda"/>
            </w:pPr>
          </w:p>
        </w:tc>
      </w:tr>
      <w:tr>
        <w:tc>
          <w:tcPr>
            <w:tcW w:w="1928" w:type="dxa"/>
          </w:tcPr>
          <w:p>
            <w:pPr>
              <w:pStyle w:val="Celda"/>
            </w:pPr>
            <w:r>
              <w:t xml:space="preserve">Propiedad intelectual y secretos empresariales </w:t>
            </w:r>
            <w:r>
              <w:rPr>
                <w:b/>
              </w:rPr>
              <w:t xml:space="preserve">(Enterprise)</w:t>
            </w:r>
          </w:p>
        </w:tc>
        <w:tc>
          <w:tcPr>
            <w:tcW w:w="1928" w:type="dxa"/>
          </w:tcPr>
          <w:p>
            <w:pPr>
              <w:pStyle w:val="Celda"/>
            </w:pPr>
          </w:p>
        </w:tc>
        <w:tc>
          <w:tcPr>
            <w:tcW w:w="1928" w:type="dxa"/>
          </w:tcPr>
          <w:p>
            <w:pPr>
              <w:pStyle w:val="Celda"/>
            </w:pPr>
            <w:r>
              <w:t xml:space="preserve">Uso de contenidos de terceros o generación de contenidos.</w:t>
            </w:r>
          </w:p>
        </w:tc>
        <w:tc>
          <w:tcPr>
            <w:tcW w:w="1928" w:type="dxa"/>
          </w:tcPr>
          <w:p>
            <w:pPr>
              <w:pStyle w:val="Celda"/>
            </w:pPr>
            <w:r>
              <w:t xml:space="preserve">Licencias de datos y de resultados.</w:t>
            </w:r>
          </w:p>
        </w:tc>
        <w:tc>
          <w:tcPr>
            <w:tcW w:w="1928" w:type="dxa"/>
          </w:tcPr>
          <w:p>
            <w:pPr>
              <w:pStyle w:val="Celda"/>
            </w:pPr>
          </w:p>
        </w:tc>
      </w:tr>
      <w:tr>
        <w:tc>
          <w:tcPr>
            <w:tcW w:w="1928" w:type="dxa"/>
          </w:tcPr>
          <w:p>
            <w:pPr>
              <w:pStyle w:val="Celda"/>
            </w:pPr>
            <w:r>
              <w:t xml:space="preserve">Accesibilidad </w:t>
            </w:r>
            <w:r>
              <w:rPr>
                <w:b/>
              </w:rPr>
              <w:t xml:space="preserve">(Enterprise)</w:t>
            </w:r>
          </w:p>
        </w:tc>
        <w:tc>
          <w:tcPr>
            <w:tcW w:w="1928" w:type="dxa"/>
          </w:tcPr>
          <w:p>
            <w:pPr>
              <w:pStyle w:val="Celda"/>
            </w:pPr>
          </w:p>
        </w:tc>
        <w:tc>
          <w:tcPr>
            <w:tcW w:w="1928" w:type="dxa"/>
          </w:tcPr>
          <w:p>
            <w:pPr>
              <w:pStyle w:val="Celda"/>
            </w:pPr>
            <w:r>
              <w:t xml:space="preserve">Productos o servicios incluidos en la Directiva (UE) 2019/882 sobre requisitos de accesibilidad (en España, Ley 11/2023).</w:t>
            </w:r>
          </w:p>
        </w:tc>
        <w:tc>
          <w:tcPr>
            <w:tcW w:w="1928" w:type="dxa"/>
          </w:tcPr>
          <w:p>
            <w:pPr>
              <w:pStyle w:val="Celda"/>
            </w:pPr>
          </w:p>
        </w:tc>
        <w:tc>
          <w:tcPr>
            <w:tcW w:w="1928" w:type="dxa"/>
          </w:tcPr>
          <w:p>
            <w:pPr>
              <w:pStyle w:val="Celda"/>
            </w:pPr>
          </w:p>
        </w:tc>
      </w:tr>
      <w:tr>
        <w:tc>
          <w:tcPr>
            <w:tcW w:w="1928" w:type="dxa"/>
          </w:tcPr>
          <w:p>
            <w:pPr>
              <w:pStyle w:val="Celda"/>
            </w:pPr>
            <w:r>
              <w:t xml:space="preserve">Normas internas</w:t>
            </w:r>
          </w:p>
        </w:tc>
        <w:tc>
          <w:tcPr>
            <w:tcW w:w="1928" w:type="dxa"/>
          </w:tcPr>
          <w:p>
            <w:pPr>
              <w:pStyle w:val="Celda"/>
            </w:pPr>
          </w:p>
        </w:tc>
        <w:tc>
          <w:tcPr>
            <w:tcW w:w="1928" w:type="dxa"/>
          </w:tcPr>
          <w:p>
            <w:pPr>
              <w:pStyle w:val="Celda"/>
            </w:pPr>
            <w:r>
              <w:t xml:space="preserve">Política corporativa de IA y uso aceptable (documento 31), seguridad, protección de datos, compras.</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5. Restricciones éticas y de uso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Principios corporativos aplicables</w:t>
            </w:r>
          </w:p>
        </w:tc>
        <w:tc>
          <w:tcPr>
            <w:tcW w:w="3213" w:type="dxa"/>
          </w:tcPr>
          <w:p>
            <w:pPr>
              <w:pStyle w:val="Celda"/>
            </w:pPr>
          </w:p>
        </w:tc>
        <w:tc>
          <w:tcPr>
            <w:tcW w:w="3213" w:type="dxa"/>
          </w:tcPr>
          <w:p>
            <w:pPr>
              <w:pStyle w:val="Celda"/>
            </w:pPr>
            <w:r>
              <w:t xml:space="preserve">Principios de la política corporativa de IA que condicionan el diseño.</w:t>
            </w:r>
          </w:p>
        </w:tc>
      </w:tr>
      <w:tr>
        <w:tc>
          <w:tcPr>
            <w:tcW w:w="3213" w:type="dxa"/>
          </w:tcPr>
          <w:p>
            <w:pPr>
              <w:pStyle w:val="Celda"/>
            </w:pPr>
            <w:r>
              <w:t xml:space="preserve">Usos no admitidos</w:t>
            </w:r>
          </w:p>
        </w:tc>
        <w:tc>
          <w:tcPr>
            <w:tcW w:w="3213" w:type="dxa"/>
          </w:tcPr>
          <w:p>
            <w:pPr>
              <w:pStyle w:val="Celda"/>
            </w:pPr>
          </w:p>
        </w:tc>
        <w:tc>
          <w:tcPr>
            <w:tcW w:w="3213" w:type="dxa"/>
          </w:tcPr>
          <w:p>
            <w:pPr>
              <w:pStyle w:val="Celda"/>
            </w:pPr>
            <w:r>
              <w:t xml:space="preserve">Usos expresamente prohibidos por la compañía, además de las prácticas prohibidas por la regulación.</w:t>
            </w:r>
          </w:p>
        </w:tc>
      </w:tr>
      <w:tr>
        <w:tc>
          <w:tcPr>
            <w:tcW w:w="3213" w:type="dxa"/>
          </w:tcPr>
          <w:p>
            <w:pPr>
              <w:pStyle w:val="Celda"/>
            </w:pPr>
            <w:r>
              <w:t xml:space="preserve">Personas o colectivos vulnerables</w:t>
            </w:r>
          </w:p>
        </w:tc>
        <w:tc>
          <w:tcPr>
            <w:tcW w:w="3213" w:type="dxa"/>
          </w:tcPr>
          <w:p>
            <w:pPr>
              <w:pStyle w:val="Celda"/>
            </w:pPr>
          </w:p>
        </w:tc>
        <w:tc>
          <w:tcPr>
            <w:tcW w:w="3213" w:type="dxa"/>
          </w:tcPr>
          <w:p>
            <w:pPr>
              <w:pStyle w:val="Celda"/>
            </w:pPr>
            <w:r>
              <w:t xml:space="preserve">Menores, personas mayores, personas con discapacidad, situaciones de dificultad económica.</w:t>
            </w:r>
          </w:p>
        </w:tc>
      </w:tr>
      <w:tr>
        <w:tc>
          <w:tcPr>
            <w:tcW w:w="3213" w:type="dxa"/>
          </w:tcPr>
          <w:p>
            <w:pPr>
              <w:pStyle w:val="Celda"/>
            </w:pPr>
            <w:r>
              <w:t xml:space="preserve">Supervisión humana mínima exigida</w:t>
            </w:r>
          </w:p>
        </w:tc>
        <w:tc>
          <w:tcPr>
            <w:tcW w:w="3213" w:type="dxa"/>
          </w:tcPr>
          <w:p>
            <w:pPr>
              <w:pStyle w:val="Celda"/>
            </w:pPr>
          </w:p>
        </w:tc>
        <w:tc>
          <w:tcPr>
            <w:tcW w:w="3213" w:type="dxa"/>
          </w:tcPr>
          <w:p>
            <w:pPr>
              <w:pStyle w:val="Celda"/>
            </w:pPr>
            <w:r>
              <w:t xml:space="preserve">Qué decisiones deben quedar siempre en manos de una persona.</w:t>
            </w:r>
          </w:p>
        </w:tc>
      </w:tr>
      <w:tr>
        <w:tc>
          <w:tcPr>
            <w:tcW w:w="3213" w:type="dxa"/>
          </w:tcPr>
          <w:p>
            <w:pPr>
              <w:pStyle w:val="Celda"/>
            </w:pPr>
            <w:r>
              <w:t xml:space="preserve">Autonomía máxima permitida</w:t>
            </w:r>
          </w:p>
        </w:tc>
        <w:tc>
          <w:tcPr>
            <w:tcW w:w="3213" w:type="dxa"/>
          </w:tcPr>
          <w:p>
            <w:pPr>
              <w:pStyle w:val="Celda"/>
            </w:pPr>
          </w:p>
        </w:tc>
        <w:tc>
          <w:tcPr>
            <w:tcW w:w="3213" w:type="dxa"/>
          </w:tcPr>
          <w:p>
            <w:pPr>
              <w:pStyle w:val="Celda"/>
            </w:pPr>
            <w:r>
              <w:t xml:space="preserve">A0 Asistencia · A1 Recomendación · A2 Actuación supervisada · A3 Actuación autónoma (documento 35).</w:t>
            </w:r>
          </w:p>
        </w:tc>
      </w:tr>
      <w:tr>
        <w:tc>
          <w:tcPr>
            <w:tcW w:w="3213" w:type="dxa"/>
          </w:tcPr>
          <w:p>
            <w:pPr>
              <w:pStyle w:val="Celda"/>
            </w:pPr>
            <w:r>
              <w:t xml:space="preserve">Líneas rojas</w:t>
            </w:r>
          </w:p>
        </w:tc>
        <w:tc>
          <w:tcPr>
            <w:tcW w:w="3213" w:type="dxa"/>
          </w:tcPr>
          <w:p>
            <w:pPr>
              <w:pStyle w:val="Celda"/>
            </w:pPr>
          </w:p>
        </w:tc>
        <w:tc>
          <w:tcPr>
            <w:tcW w:w="3213" w:type="dxa"/>
          </w:tcPr>
          <w:p>
            <w:pPr>
              <w:pStyle w:val="Celda"/>
            </w:pPr>
            <w:r>
              <w:t xml:space="preserve">Lo que la iniciativa no hará en ningún caso. </w:t>
            </w:r>
            <w:r>
              <w:rPr>
                <w:i/>
              </w:rPr>
              <w:t xml:space="preserve">Ejemplo ilustrativo: el asistente no modificará pedidos ni emitirá reembolsos.</w:t>
            </w:r>
          </w:p>
        </w:tc>
      </w:tr>
    </w:tbl>
    <w:p>
      <w:pPr>
        <w:pStyle w:val="Espacio"/>
      </w:pPr>
    </w:p>
    <w:p>
      <w:pPr>
        <w:pStyle w:val="Separador"/>
      </w:pPr>
    </w:p>
    <w:p>
      <w:pPr>
        <w:pStyle w:val="Heading1"/>
      </w:pPr>
      <w:r>
        <w:t xml:space="preserve">6. Restricciones de datos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Fuentes de datos previstas</w:t>
            </w:r>
          </w:p>
        </w:tc>
        <w:tc>
          <w:tcPr>
            <w:tcW w:w="3213" w:type="dxa"/>
          </w:tcPr>
          <w:p>
            <w:pPr>
              <w:pStyle w:val="Celda"/>
            </w:pPr>
          </w:p>
        </w:tc>
        <w:tc>
          <w:tcPr>
            <w:tcW w:w="3213" w:type="dxa"/>
          </w:tcPr>
          <w:p>
            <w:pPr>
              <w:pStyle w:val="Celda"/>
            </w:pPr>
            <w:r>
              <w:t xml:space="preserve">Sistemas, ficheros o proveedores.</w:t>
            </w:r>
          </w:p>
        </w:tc>
      </w:tr>
      <w:tr>
        <w:tc>
          <w:tcPr>
            <w:tcW w:w="3213" w:type="dxa"/>
          </w:tcPr>
          <w:p>
            <w:pPr>
              <w:pStyle w:val="Celda"/>
            </w:pPr>
            <w:r>
              <w:t xml:space="preserve">Datos personales</w:t>
            </w:r>
          </w:p>
        </w:tc>
        <w:tc>
          <w:tcPr>
            <w:tcW w:w="3213" w:type="dxa"/>
          </w:tcPr>
          <w:p>
            <w:pPr>
              <w:pStyle w:val="Celda"/>
            </w:pPr>
          </w:p>
        </w:tc>
        <w:tc>
          <w:tcPr>
            <w:tcW w:w="3213" w:type="dxa"/>
          </w:tcPr>
          <w:p>
            <w:pPr>
              <w:pStyle w:val="Celda"/>
            </w:pPr>
            <w:r>
              <w:t xml:space="preserve">Sí · No. Si sí, categorías de interesados.</w:t>
            </w:r>
          </w:p>
        </w:tc>
      </w:tr>
      <w:tr>
        <w:tc>
          <w:tcPr>
            <w:tcW w:w="3213" w:type="dxa"/>
          </w:tcPr>
          <w:p>
            <w:pPr>
              <w:pStyle w:val="Celda"/>
            </w:pPr>
            <w:r>
              <w:t xml:space="preserve">Categorías especiales o datos especialmente protegidos</w:t>
            </w:r>
          </w:p>
        </w:tc>
        <w:tc>
          <w:tcPr>
            <w:tcW w:w="3213" w:type="dxa"/>
          </w:tcPr>
          <w:p>
            <w:pPr>
              <w:pStyle w:val="Celda"/>
            </w:pPr>
          </w:p>
        </w:tc>
        <w:tc>
          <w:tcPr>
            <w:tcW w:w="3213" w:type="dxa"/>
          </w:tcPr>
          <w:p>
            <w:pPr>
              <w:pStyle w:val="Celda"/>
            </w:pPr>
            <w:r>
              <w:t xml:space="preserve">Sí · No · Por determinar. Si sí, activa el criterio Enterprise 5 de P04.</w:t>
            </w:r>
          </w:p>
        </w:tc>
      </w:tr>
      <w:tr>
        <w:tc>
          <w:tcPr>
            <w:tcW w:w="3213" w:type="dxa"/>
          </w:tcPr>
          <w:p>
            <w:pPr>
              <w:pStyle w:val="Celda"/>
            </w:pPr>
            <w:r>
              <w:t xml:space="preserve">Información confidencial crítica</w:t>
            </w:r>
          </w:p>
        </w:tc>
        <w:tc>
          <w:tcPr>
            <w:tcW w:w="3213" w:type="dxa"/>
          </w:tcPr>
          <w:p>
            <w:pPr>
              <w:pStyle w:val="Celda"/>
            </w:pPr>
          </w:p>
        </w:tc>
        <w:tc>
          <w:tcPr>
            <w:tcW w:w="3213" w:type="dxa"/>
          </w:tcPr>
          <w:p>
            <w:pPr>
              <w:pStyle w:val="Celda"/>
            </w:pPr>
            <w:r>
              <w:t xml:space="preserve">Secretos empresariales, información privilegiada, datos de clientes sujetos a secreto.</w:t>
            </w:r>
          </w:p>
        </w:tc>
      </w:tr>
      <w:tr>
        <w:tc>
          <w:tcPr>
            <w:tcW w:w="3213" w:type="dxa"/>
          </w:tcPr>
          <w:p>
            <w:pPr>
              <w:pStyle w:val="Celda"/>
            </w:pPr>
            <w:r>
              <w:t xml:space="preserve">Base jurídica y finalidad</w:t>
            </w:r>
          </w:p>
        </w:tc>
        <w:tc>
          <w:tcPr>
            <w:tcW w:w="3213" w:type="dxa"/>
          </w:tcPr>
          <w:p>
            <w:pPr>
              <w:pStyle w:val="Celda"/>
            </w:pPr>
          </w:p>
        </w:tc>
        <w:tc>
          <w:tcPr>
            <w:tcW w:w="3213" w:type="dxa"/>
          </w:tcPr>
          <w:p>
            <w:pPr>
              <w:pStyle w:val="Celda"/>
            </w:pPr>
            <w:r>
              <w:t xml:space="preserve">Referencia al registro de actividades de tratamiento. Uso compatible con la finalidad original.</w:t>
            </w:r>
          </w:p>
        </w:tc>
      </w:tr>
      <w:tr>
        <w:tc>
          <w:tcPr>
            <w:tcW w:w="3213" w:type="dxa"/>
          </w:tcPr>
          <w:p>
            <w:pPr>
              <w:pStyle w:val="Celda"/>
            </w:pPr>
            <w:r>
              <w:t xml:space="preserve">Ubicación y transferencias internacionales</w:t>
            </w:r>
          </w:p>
        </w:tc>
        <w:tc>
          <w:tcPr>
            <w:tcW w:w="3213" w:type="dxa"/>
          </w:tcPr>
          <w:p>
            <w:pPr>
              <w:pStyle w:val="Celda"/>
            </w:pPr>
          </w:p>
        </w:tc>
        <w:tc>
          <w:tcPr>
            <w:tcW w:w="3213" w:type="dxa"/>
          </w:tcPr>
          <w:p>
            <w:pPr>
              <w:pStyle w:val="Celda"/>
            </w:pPr>
            <w:r>
              <w:t xml:space="preserve">Dónde se tratarán los datos y si salen del Espacio Económico Europeo.</w:t>
            </w:r>
          </w:p>
        </w:tc>
      </w:tr>
      <w:tr>
        <w:tc>
          <w:tcPr>
            <w:tcW w:w="3213" w:type="dxa"/>
          </w:tcPr>
          <w:p>
            <w:pPr>
              <w:pStyle w:val="Celda"/>
            </w:pPr>
            <w:r>
              <w:t xml:space="preserve">Uso de datos por proveedores</w:t>
            </w:r>
          </w:p>
        </w:tc>
        <w:tc>
          <w:tcPr>
            <w:tcW w:w="3213" w:type="dxa"/>
          </w:tcPr>
          <w:p>
            <w:pPr>
              <w:pStyle w:val="Celda"/>
            </w:pPr>
          </w:p>
        </w:tc>
        <w:tc>
          <w:tcPr>
            <w:tcW w:w="3213" w:type="dxa"/>
          </w:tcPr>
          <w:p>
            <w:pPr>
              <w:pStyle w:val="Celda"/>
            </w:pPr>
            <w:r>
              <w:t xml:space="preserve">Si el proveedor puede usar datos o instrucciones para entrenar o mejorar sus modelos. Debe quedar prohibido o regulado por contrato.</w:t>
            </w:r>
          </w:p>
        </w:tc>
      </w:tr>
      <w:tr>
        <w:tc>
          <w:tcPr>
            <w:tcW w:w="3213" w:type="dxa"/>
          </w:tcPr>
          <w:p>
            <w:pPr>
              <w:pStyle w:val="Celda"/>
            </w:pPr>
            <w:r>
              <w:t xml:space="preserve">Calidad conocida</w:t>
            </w:r>
          </w:p>
        </w:tc>
        <w:tc>
          <w:tcPr>
            <w:tcW w:w="3213" w:type="dxa"/>
          </w:tcPr>
          <w:p>
            <w:pPr>
              <w:pStyle w:val="Celda"/>
            </w:pPr>
          </w:p>
        </w:tc>
        <w:tc>
          <w:tcPr>
            <w:tcW w:w="3213" w:type="dxa"/>
          </w:tcPr>
          <w:p>
            <w:pPr>
              <w:pStyle w:val="Celda"/>
            </w:pPr>
            <w:r>
              <w:t xml:space="preserve">Problemas de calidad, completitud o sesgo ya conocidos.</w:t>
            </w:r>
          </w:p>
        </w:tc>
      </w:tr>
      <w:tr>
        <w:tc>
          <w:tcPr>
            <w:tcW w:w="3213" w:type="dxa"/>
          </w:tcPr>
          <w:p>
            <w:pPr>
              <w:pStyle w:val="Celda"/>
            </w:pPr>
            <w:r>
              <w:t xml:space="preserve">Retención y eliminación </w:t>
            </w:r>
            <w:r>
              <w:rPr>
                <w:b/>
              </w:rPr>
              <w:t xml:space="preserve">(Enterprise)</w:t>
            </w:r>
          </w:p>
        </w:tc>
        <w:tc>
          <w:tcPr>
            <w:tcW w:w="3213" w:type="dxa"/>
          </w:tcPr>
          <w:p>
            <w:pPr>
              <w:pStyle w:val="Celda"/>
            </w:pPr>
          </w:p>
        </w:tc>
        <w:tc>
          <w:tcPr>
            <w:tcW w:w="3213" w:type="dxa"/>
          </w:tcPr>
          <w:p>
            <w:pPr>
              <w:pStyle w:val="Celda"/>
            </w:pPr>
            <w:r>
              <w:t xml:space="preserve">Plazos de conservación de entradas, salidas y registros.</w:t>
            </w:r>
          </w:p>
        </w:tc>
      </w:tr>
    </w:tbl>
    <w:p>
      <w:pPr>
        <w:pStyle w:val="Espacio"/>
      </w:pPr>
    </w:p>
    <w:p>
      <w:pPr>
        <w:pStyle w:val="Separador"/>
      </w:pPr>
    </w:p>
    <w:p>
      <w:pPr>
        <w:pStyle w:val="Heading1"/>
      </w:pPr>
      <w:r>
        <w:t xml:space="preserve">7. Restricciones presupuestarias y de plazo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Presupuesto máximo</w:t>
            </w:r>
          </w:p>
        </w:tc>
        <w:tc>
          <w:tcPr>
            <w:tcW w:w="3213" w:type="dxa"/>
          </w:tcPr>
          <w:p>
            <w:pPr>
              <w:pStyle w:val="Celda"/>
            </w:pPr>
          </w:p>
        </w:tc>
        <w:tc>
          <w:tcPr>
            <w:tcW w:w="3213" w:type="dxa"/>
          </w:tcPr>
          <w:p>
            <w:pPr>
              <w:pStyle w:val="Celda"/>
            </w:pPr>
            <w:r>
              <w:t xml:space="preserve">Tope autorizado y punto de revisión (coherente con P01).</w:t>
            </w:r>
          </w:p>
        </w:tc>
      </w:tr>
      <w:tr>
        <w:tc>
          <w:tcPr>
            <w:tcW w:w="3213" w:type="dxa"/>
          </w:tcPr>
          <w:p>
            <w:pPr>
              <w:pStyle w:val="Celda"/>
            </w:pPr>
            <w:r>
              <w:t xml:space="preserve">Restricciones de coste recurrente</w:t>
            </w:r>
          </w:p>
        </w:tc>
        <w:tc>
          <w:tcPr>
            <w:tcW w:w="3213" w:type="dxa"/>
          </w:tcPr>
          <w:p>
            <w:pPr>
              <w:pStyle w:val="Celda"/>
            </w:pPr>
          </w:p>
        </w:tc>
        <w:tc>
          <w:tcPr>
            <w:tcW w:w="3213" w:type="dxa"/>
          </w:tcPr>
          <w:p>
            <w:pPr>
              <w:pStyle w:val="Celda"/>
            </w:pPr>
            <w:r>
              <w:t xml:space="preserve">Coste anual máximo admisible en operación.</w:t>
            </w:r>
          </w:p>
        </w:tc>
      </w:tr>
      <w:tr>
        <w:tc>
          <w:tcPr>
            <w:tcW w:w="3213" w:type="dxa"/>
          </w:tcPr>
          <w:p>
            <w:pPr>
              <w:pStyle w:val="Celda"/>
            </w:pPr>
            <w:r>
              <w:t xml:space="preserve">Fechas límite externas</w:t>
            </w:r>
          </w:p>
        </w:tc>
        <w:tc>
          <w:tcPr>
            <w:tcW w:w="3213" w:type="dxa"/>
          </w:tcPr>
          <w:p>
            <w:pPr>
              <w:pStyle w:val="Celda"/>
            </w:pPr>
          </w:p>
        </w:tc>
        <w:tc>
          <w:tcPr>
            <w:tcW w:w="3213" w:type="dxa"/>
          </w:tcPr>
          <w:p>
            <w:pPr>
              <w:pStyle w:val="Celda"/>
            </w:pPr>
            <w:r>
              <w:t xml:space="preserve">Fechas regulatorias, contractuales o de negocio que no pueden moverse.</w:t>
            </w:r>
          </w:p>
        </w:tc>
      </w:tr>
      <w:tr>
        <w:tc>
          <w:tcPr>
            <w:tcW w:w="3213" w:type="dxa"/>
          </w:tcPr>
          <w:p>
            <w:pPr>
              <w:pStyle w:val="Celda"/>
            </w:pPr>
            <w:r>
              <w:t xml:space="preserve">Ventanas de cambio</w:t>
            </w:r>
          </w:p>
        </w:tc>
        <w:tc>
          <w:tcPr>
            <w:tcW w:w="3213" w:type="dxa"/>
          </w:tcPr>
          <w:p>
            <w:pPr>
              <w:pStyle w:val="Celda"/>
            </w:pPr>
          </w:p>
        </w:tc>
        <w:tc>
          <w:tcPr>
            <w:tcW w:w="3213" w:type="dxa"/>
          </w:tcPr>
          <w:p>
            <w:pPr>
              <w:pStyle w:val="Celda"/>
            </w:pPr>
            <w:r>
              <w:t xml:space="preserve">Periodos en los que no se pueden hacer despliegues (cierres, campañas).</w:t>
            </w:r>
          </w:p>
        </w:tc>
      </w:tr>
    </w:tbl>
    <w:p>
      <w:pPr>
        <w:pStyle w:val="Espacio"/>
      </w:pPr>
    </w:p>
    <w:p>
      <w:pPr>
        <w:pStyle w:val="Separador"/>
      </w:pPr>
    </w:p>
    <w:p>
      <w:pPr>
        <w:pStyle w:val="Heading1"/>
      </w:pPr>
      <w:r>
        <w:t xml:space="preserve">8. Restricciones tecnológicas y de terceros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Arquitectura y plataformas corporativas</w:t>
            </w:r>
          </w:p>
        </w:tc>
        <w:tc>
          <w:tcPr>
            <w:tcW w:w="3213" w:type="dxa"/>
          </w:tcPr>
          <w:p>
            <w:pPr>
              <w:pStyle w:val="Celda"/>
            </w:pPr>
          </w:p>
        </w:tc>
        <w:tc>
          <w:tcPr>
            <w:tcW w:w="3213" w:type="dxa"/>
          </w:tcPr>
          <w:p>
            <w:pPr>
              <w:pStyle w:val="Celda"/>
            </w:pPr>
            <w:r>
              <w:t xml:space="preserve">Plataformas obligatorias o excluidas.</w:t>
            </w:r>
          </w:p>
        </w:tc>
      </w:tr>
      <w:tr>
        <w:tc>
          <w:tcPr>
            <w:tcW w:w="3213" w:type="dxa"/>
          </w:tcPr>
          <w:p>
            <w:pPr>
              <w:pStyle w:val="Celda"/>
            </w:pPr>
            <w:r>
              <w:t xml:space="preserve">Proveedores homologados</w:t>
            </w:r>
          </w:p>
        </w:tc>
        <w:tc>
          <w:tcPr>
            <w:tcW w:w="3213" w:type="dxa"/>
          </w:tcPr>
          <w:p>
            <w:pPr>
              <w:pStyle w:val="Celda"/>
            </w:pPr>
          </w:p>
        </w:tc>
        <w:tc>
          <w:tcPr>
            <w:tcW w:w="3213" w:type="dxa"/>
          </w:tcPr>
          <w:p>
            <w:pPr>
              <w:pStyle w:val="Celda"/>
            </w:pPr>
            <w:r>
              <w:t xml:space="preserve">Si la compañía exige proveedores ya homologados o un proceso de compra concreto.</w:t>
            </w:r>
          </w:p>
        </w:tc>
      </w:tr>
      <w:tr>
        <w:tc>
          <w:tcPr>
            <w:tcW w:w="3213" w:type="dxa"/>
          </w:tcPr>
          <w:p>
            <w:pPr>
              <w:pStyle w:val="Celda"/>
            </w:pPr>
            <w:r>
              <w:t xml:space="preserve">Requisitos de seguridad</w:t>
            </w:r>
          </w:p>
        </w:tc>
        <w:tc>
          <w:tcPr>
            <w:tcW w:w="3213" w:type="dxa"/>
          </w:tcPr>
          <w:p>
            <w:pPr>
              <w:pStyle w:val="Celda"/>
            </w:pPr>
          </w:p>
        </w:tc>
        <w:tc>
          <w:tcPr>
            <w:tcW w:w="3213" w:type="dxa"/>
          </w:tcPr>
          <w:p>
            <w:pPr>
              <w:pStyle w:val="Celda"/>
            </w:pPr>
            <w:r>
              <w:t xml:space="preserve">Clasificación de la información, requisitos de identidad y acceso, entornos permitidos.</w:t>
            </w:r>
          </w:p>
        </w:tc>
      </w:tr>
      <w:tr>
        <w:tc>
          <w:tcPr>
            <w:tcW w:w="3213" w:type="dxa"/>
          </w:tcPr>
          <w:p>
            <w:pPr>
              <w:pStyle w:val="Celda"/>
            </w:pPr>
            <w:r>
              <w:t xml:space="preserve">Dependencia y sustituibilidad </w:t>
            </w:r>
            <w:r>
              <w:rPr>
                <w:b/>
              </w:rPr>
              <w:t xml:space="preserve">(Enterprise)</w:t>
            </w:r>
          </w:p>
        </w:tc>
        <w:tc>
          <w:tcPr>
            <w:tcW w:w="3213" w:type="dxa"/>
          </w:tcPr>
          <w:p>
            <w:pPr>
              <w:pStyle w:val="Celda"/>
            </w:pPr>
          </w:p>
        </w:tc>
        <w:tc>
          <w:tcPr>
            <w:tcW w:w="3213" w:type="dxa"/>
          </w:tcPr>
          <w:p>
            <w:pPr>
              <w:pStyle w:val="Celda"/>
            </w:pPr>
            <w:r>
              <w:t xml:space="preserve">Límites a la concentración en un proveedor; exigencia de plan de salida.</w:t>
            </w:r>
          </w:p>
        </w:tc>
      </w:tr>
      <w:tr>
        <w:tc>
          <w:tcPr>
            <w:tcW w:w="3213" w:type="dxa"/>
          </w:tcPr>
          <w:p>
            <w:pPr>
              <w:pStyle w:val="Celda"/>
            </w:pPr>
            <w:r>
              <w:t xml:space="preserve">Funciones críticas o importantes </w:t>
            </w:r>
            <w:r>
              <w:rPr>
                <w:b/>
              </w:rPr>
              <w:t xml:space="preserve">(Enterprise)</w:t>
            </w:r>
          </w:p>
        </w:tc>
        <w:tc>
          <w:tcPr>
            <w:tcW w:w="3213" w:type="dxa"/>
          </w:tcPr>
          <w:p>
            <w:pPr>
              <w:pStyle w:val="Celda"/>
            </w:pPr>
          </w:p>
        </w:tc>
        <w:tc>
          <w:tcPr>
            <w:tcW w:w="3213" w:type="dxa"/>
          </w:tcPr>
          <w:p>
            <w:pPr>
              <w:pStyle w:val="Celda"/>
            </w:pPr>
            <w:r>
              <w:t xml:space="preserve">Si el sistema soportará una función crítica, con los requisitos de resiliencia que correspondan.</w:t>
            </w:r>
          </w:p>
        </w:tc>
      </w:tr>
    </w:tbl>
    <w:p>
      <w:pPr>
        <w:pStyle w:val="Espacio"/>
      </w:pPr>
    </w:p>
    <w:p>
      <w:pPr>
        <w:pStyle w:val="Separador"/>
      </w:pPr>
    </w:p>
    <w:p>
      <w:pPr>
        <w:pStyle w:val="Heading1"/>
      </w:pPr>
      <w:r>
        <w:t xml:space="preserve">9. Restricciones organizativas y de personas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Capacidad disponible</w:t>
            </w:r>
          </w:p>
        </w:tc>
        <w:tc>
          <w:tcPr>
            <w:tcW w:w="3213" w:type="dxa"/>
          </w:tcPr>
          <w:p>
            <w:pPr>
              <w:pStyle w:val="Celda"/>
            </w:pPr>
          </w:p>
        </w:tc>
        <w:tc>
          <w:tcPr>
            <w:tcW w:w="3213" w:type="dxa"/>
          </w:tcPr>
          <w:p>
            <w:pPr>
              <w:pStyle w:val="Celda"/>
            </w:pPr>
            <w:r>
              <w:t xml:space="preserve">Personas y dedicación que el área puede aportar.</w:t>
            </w:r>
          </w:p>
        </w:tc>
      </w:tr>
      <w:tr>
        <w:tc>
          <w:tcPr>
            <w:tcW w:w="3213" w:type="dxa"/>
          </w:tcPr>
          <w:p>
            <w:pPr>
              <w:pStyle w:val="Celda"/>
            </w:pPr>
            <w:r>
              <w:t xml:space="preserve">Efecto previsto sobre el trabajo</w:t>
            </w:r>
          </w:p>
        </w:tc>
        <w:tc>
          <w:tcPr>
            <w:tcW w:w="3213" w:type="dxa"/>
          </w:tcPr>
          <w:p>
            <w:pPr>
              <w:pStyle w:val="Celda"/>
            </w:pPr>
          </w:p>
        </w:tc>
        <w:tc>
          <w:tcPr>
            <w:tcW w:w="3213" w:type="dxa"/>
          </w:tcPr>
          <w:p>
            <w:pPr>
              <w:pStyle w:val="Celda"/>
            </w:pPr>
            <w:r>
              <w:t xml:space="preserve">Tareas, roles o puestos que podrían cambiar.</w:t>
            </w:r>
          </w:p>
        </w:tc>
      </w:tr>
      <w:tr>
        <w:tc>
          <w:tcPr>
            <w:tcW w:w="3213" w:type="dxa"/>
          </w:tcPr>
          <w:p>
            <w:pPr>
              <w:pStyle w:val="Celda"/>
            </w:pPr>
            <w:r>
              <w:t xml:space="preserve">Formación y alfabetización en IA</w:t>
            </w:r>
          </w:p>
        </w:tc>
        <w:tc>
          <w:tcPr>
            <w:tcW w:w="3213" w:type="dxa"/>
          </w:tcPr>
          <w:p>
            <w:pPr>
              <w:pStyle w:val="Celda"/>
            </w:pPr>
          </w:p>
        </w:tc>
        <w:tc>
          <w:tcPr>
            <w:tcW w:w="3213" w:type="dxa"/>
          </w:tcPr>
          <w:p>
            <w:pPr>
              <w:pStyle w:val="Celda"/>
            </w:pPr>
            <w:r>
              <w:t xml:space="preserve">Nivel de conocimientos requerido para usuarios y supervisores.</w:t>
            </w:r>
          </w:p>
        </w:tc>
      </w:tr>
      <w:tr>
        <w:tc>
          <w:tcPr>
            <w:tcW w:w="3213" w:type="dxa"/>
          </w:tcPr>
          <w:p>
            <w:pPr>
              <w:pStyle w:val="Celda"/>
            </w:pPr>
            <w:r>
              <w:t xml:space="preserve">Relaciones laborales</w:t>
            </w:r>
          </w:p>
        </w:tc>
        <w:tc>
          <w:tcPr>
            <w:tcW w:w="3213" w:type="dxa"/>
          </w:tcPr>
          <w:p>
            <w:pPr>
              <w:pStyle w:val="Celda"/>
            </w:pPr>
          </w:p>
        </w:tc>
        <w:tc>
          <w:tcPr>
            <w:tcW w:w="3213" w:type="dxa"/>
          </w:tcPr>
          <w:p>
            <w:pPr>
              <w:pStyle w:val="Celda"/>
            </w:pPr>
            <w:r>
              <w:t xml:space="preserve">Obligaciones de información o consulta a la representación de las personas trabajadoras.</w:t>
            </w:r>
          </w:p>
        </w:tc>
      </w:tr>
      <w:tr>
        <w:tc>
          <w:tcPr>
            <w:tcW w:w="3213" w:type="dxa"/>
          </w:tcPr>
          <w:p>
            <w:pPr>
              <w:pStyle w:val="Celda"/>
            </w:pPr>
            <w:r>
              <w:t xml:space="preserve">Idiomas, canales y accesibilidad</w:t>
            </w:r>
          </w:p>
        </w:tc>
        <w:tc>
          <w:tcPr>
            <w:tcW w:w="3213" w:type="dxa"/>
          </w:tcPr>
          <w:p>
            <w:pPr>
              <w:pStyle w:val="Celda"/>
            </w:pPr>
          </w:p>
        </w:tc>
        <w:tc>
          <w:tcPr>
            <w:tcW w:w="3213" w:type="dxa"/>
          </w:tcPr>
          <w:p>
            <w:pPr>
              <w:pStyle w:val="Celda"/>
            </w:pPr>
            <w:r>
              <w:t xml:space="preserve">Requisitos de uso para usuarios internos o externos.</w:t>
            </w:r>
          </w:p>
        </w:tc>
      </w:tr>
    </w:tbl>
    <w:p>
      <w:pPr>
        <w:pStyle w:val="Espacio"/>
      </w:pPr>
    </w:p>
    <w:p>
      <w:pPr>
        <w:pStyle w:val="Separador"/>
      </w:pPr>
    </w:p>
    <w:p>
      <w:pPr>
        <w:pStyle w:val="Heading1"/>
      </w:pPr>
      <w:r>
        <w:t xml:space="preserve">10. Supuestos y cuestiones abiertas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Nº</w:t>
            </w:r>
          </w:p>
        </w:tc>
        <w:tc>
          <w:tcPr>
            <w:tcW w:w="1606" w:type="dxa"/>
            <w:shd w:val="clear" w:color="auto" w:fill="F2DFCE"/>
          </w:tcPr>
          <w:p>
            <w:pPr>
              <w:pStyle w:val="Celda"/>
            </w:pPr>
            <w:r>
              <w:rPr>
                <w:b/>
              </w:rPr>
              <w:t xml:space="preserve">Supuesto o cuestión abierta</w:t>
            </w:r>
          </w:p>
        </w:tc>
        <w:tc>
          <w:tcPr>
            <w:tcW w:w="1606" w:type="dxa"/>
            <w:shd w:val="clear" w:color="auto" w:fill="F2DFCE"/>
          </w:tcPr>
          <w:p>
            <w:pPr>
              <w:pStyle w:val="Celda"/>
            </w:pPr>
            <w:r>
              <w:rPr>
                <w:b/>
              </w:rPr>
              <w:t xml:space="preserve">Efecto si resulta falso</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Fecha límite</w:t>
            </w:r>
          </w:p>
        </w:tc>
        <w:tc>
          <w:tcPr>
            <w:tcW w:w="1606" w:type="dxa"/>
            <w:shd w:val="clear" w:color="auto" w:fill="F2DFCE"/>
          </w:tcPr>
          <w:p>
            <w:pPr>
              <w:pStyle w:val="Celda"/>
            </w:pPr>
            <w:r>
              <w:rPr>
                <w:b/>
              </w:rPr>
              <w:t xml:space="preserve">Estado</w:t>
            </w:r>
          </w:p>
        </w:tc>
      </w:tr>
      <w:tr>
        <w:tc>
          <w:tcPr>
            <w:tcW w:w="1606" w:type="dxa"/>
          </w:tcPr>
          <w:p>
            <w:pPr>
              <w:pStyle w:val="Celda"/>
            </w:pPr>
            <w:r>
              <w:t xml:space="preserve">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Abierta · Resuelta</w:t>
            </w:r>
          </w:p>
        </w:tc>
      </w:tr>
      <w:tr>
        <w:tc>
          <w:tcPr>
            <w:tcW w:w="1606" w:type="dxa"/>
          </w:tcPr>
          <w:p>
            <w:pPr>
              <w:pStyle w:val="Celda"/>
            </w:pPr>
            <w:r>
              <w:t xml:space="preserve">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(ejemplo ilustrativo)</w:t>
            </w:r>
          </w:p>
        </w:tc>
        <w:tc>
          <w:tcPr>
            <w:tcW w:w="1606" w:type="dxa"/>
          </w:tcPr>
          <w:p>
            <w:pPr>
              <w:pStyle w:val="Celda"/>
            </w:pPr>
            <w:r>
              <w:t xml:space="preserve">El proveedor de la plataforma de atención permite desactivar el uso de conversaciones para entrenamiento.</w:t>
            </w:r>
          </w:p>
        </w:tc>
        <w:tc>
          <w:tcPr>
            <w:tcW w:w="1606" w:type="dxa"/>
          </w:tcPr>
          <w:p>
            <w:pPr>
              <w:pStyle w:val="Celda"/>
            </w:pPr>
            <w:r>
              <w:t xml:space="preserve">Habría que cambiar de proveedor o anonimizar antes del envío.</w:t>
            </w:r>
          </w:p>
        </w:tc>
        <w:tc>
          <w:tcPr>
            <w:tcW w:w="1606" w:type="dxa"/>
          </w:tcPr>
          <w:p>
            <w:pPr>
              <w:pStyle w:val="Celda"/>
            </w:pPr>
            <w:r>
              <w:t xml:space="preserve">Responsable técnico</w:t>
            </w:r>
          </w:p>
        </w:tc>
        <w:tc>
          <w:tcPr>
            <w:tcW w:w="1606" w:type="dxa"/>
          </w:tcPr>
          <w:p>
            <w:pPr>
              <w:pStyle w:val="Celda"/>
            </w:pPr>
            <w:r>
              <w:t xml:space="preserve">Antes de G3</w:t>
            </w:r>
          </w:p>
        </w:tc>
        <w:tc>
          <w:tcPr>
            <w:tcW w:w="1606" w:type="dxa"/>
          </w:tcPr>
          <w:p>
            <w:pPr>
              <w:pStyle w:val="Celda"/>
            </w:pPr>
            <w:r>
              <w:t xml:space="preserve">Abierta</w:t>
            </w:r>
          </w:p>
        </w:tc>
      </w:tr>
    </w:tbl>
    <w:p>
      <w:pPr>
        <w:pStyle w:val="Espacio"/>
      </w:pPr>
    </w:p>
    <w:p>
      <w:pPr>
        <w:pStyle w:val="Separador"/>
      </w:pPr>
    </w:p>
    <w:p>
      <w:pPr>
        <w:pStyle w:val="Heading1"/>
      </w:pPr>
      <w:r>
        <w:t xml:space="preserve">11. Criterios de calidad</w:t>
      </w:r>
    </w:p>
    <w:p>
      <w:r>
        <w:t xml:space="preserve">Los criterios formales de G0 y G3 están en el documento 21 (ver criterios G0.xx y G3.xx).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Todas las referencias regulatorias tienen respuesta; las "Por determinar" tienen responsable y fecha anterior a G3.</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Las restricciones de datos identifican datos personales, categorías especiales y transferencias.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Se declara la autonomía máxima permitida y las decisiones que no se delegan.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líneas rojas son concretas y verificables.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límites económicos son coherentes con P01.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Constan las funciones de segunda línea consultadas y la fecha.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supuestos están separados de las restricciones.</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El documento tiene autor, fecha y versión, y existía antes de solicitar el </w:t>
            </w:r>
            <w:r>
              <w:rPr>
                <w:i/>
              </w:rPr>
              <w:t xml:space="preserve">gate</w:t>
            </w:r>
            <w:r>
              <w:t xml:space="preserve">.</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Consultado</w:t>
            </w:r>
          </w:p>
        </w:tc>
        <w:tc>
          <w:tcPr>
            <w:tcW w:w="1928" w:type="dxa"/>
          </w:tcPr>
          <w:p>
            <w:pPr>
              <w:pStyle w:val="Celda"/>
            </w:pPr>
            <w:r>
              <w:t xml:space="preserve">Responsable de riesgos de IA · protección de datos · seguridad · asesoría jurídica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Patrocinador de IA (Lite) · Comité de IA (Enterprise), con G0</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la consulta a segunda línea no equivale a verificación. Quien verifica no ha elaborado el documento.</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Estructura alineada con 01 §6.2 y §13.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P02 · Declaración de contexto y restricciones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P02 · Declaración de contexto y restricciones</dc:title>
  <dc:creator>Fernando García Varela</dc:creator>
  <dc:language>es</dc:language>
  <dc:description>sha256:e33c29dc0cf60c342b8ca31e8ab56584abb106d44cf7b0097b122fb168e7b017</dc:description>
  <cp:keywords>SEVEN-G</cp:keywords>
</cp:coreProperties>
</file>