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Línea base</w:t>
      </w:r>
    </w:p>
    <w:p>
      <w:r>
        <w:rPr>
          <w:b/>
        </w:rPr>
        <w:t xml:space="preserve">Mide la situación de partida de las métricas de la hipótesis de valor, con método reproducible, para que el valor posterior sea incremental y verificable.</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P09 · Línea base</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fase 2, antes de G2, en paralelo al lienzo de hipótesis de valor (P08). La línea base se congela en G2 y se usa en las fases 5, 6 y 7.</w:t>
            </w:r>
          </w:p>
        </w:tc>
      </w:tr>
      <w:tr>
        <w:tc>
          <w:tcPr>
            <w:tcW w:w="4819" w:type="dxa"/>
          </w:tcPr>
          <w:p>
            <w:pPr>
              <w:pStyle w:val="Celda"/>
            </w:pPr>
            <w:r>
              <w:rPr>
                <w:b/>
              </w:rPr>
              <w:t xml:space="preserve">Quién la rellena</w:t>
            </w:r>
          </w:p>
        </w:tc>
        <w:tc>
          <w:tcPr>
            <w:tcW w:w="4819" w:type="dxa"/>
          </w:tcPr>
          <w:p>
            <w:pPr>
              <w:pStyle w:val="Celda"/>
            </w:pPr>
            <w:r>
              <w:t xml:space="preserve">El responsable de producto de IA, con el propietario de los datos del proceso. Control de gestión revisa los valores unitarios.</w:t>
            </w:r>
          </w:p>
        </w:tc>
      </w:tr>
      <w:tr>
        <w:tc>
          <w:tcPr>
            <w:tcW w:w="4819" w:type="dxa"/>
          </w:tcPr>
          <w:p>
            <w:pPr>
              <w:pStyle w:val="Celda"/>
            </w:pPr>
            <w:r>
              <w:rPr>
                <w:b/>
              </w:rPr>
              <w:t xml:space="preserve">Quién la verifica</w:t>
            </w:r>
          </w:p>
        </w:tc>
        <w:tc>
          <w:tcPr>
            <w:tcW w:w="4819" w:type="dxa"/>
          </w:tcPr>
          <w:p>
            <w:pPr>
              <w:pStyle w:val="Celda"/>
            </w:pPr>
            <w:r>
              <w:t xml:space="preserve">Lite: oficina de IA. Enterprise: auditor de IA.</w:t>
            </w:r>
          </w:p>
        </w:tc>
      </w:tr>
      <w:tr>
        <w:tc>
          <w:tcPr>
            <w:tcW w:w="4819" w:type="dxa"/>
          </w:tcPr>
          <w:p>
            <w:pPr>
              <w:pStyle w:val="Celda"/>
            </w:pPr>
            <w:r>
              <w:rPr>
                <w:b/>
              </w:rPr>
              <w:t xml:space="preserve">Quién decide</w:t>
            </w:r>
          </w:p>
        </w:tc>
        <w:tc>
          <w:tcPr>
            <w:tcW w:w="4819" w:type="dxa"/>
          </w:tcPr>
          <w:p>
            <w:pPr>
              <w:pStyle w:val="Celda"/>
            </w:pPr>
            <w:r>
              <w:t xml:space="preserve">Se aprueba con G2: patrocinador (Lite) · comité de IA (Enterprise).</w:t>
            </w:r>
          </w:p>
        </w:tc>
      </w:tr>
      <w:tr>
        <w:tc>
          <w:tcPr>
            <w:tcW w:w="4819" w:type="dxa"/>
          </w:tcPr>
          <w:p>
            <w:pPr>
              <w:pStyle w:val="Celda"/>
            </w:pPr>
            <w:r>
              <w:rPr>
                <w:b/>
              </w:rPr>
              <w:t xml:space="preserve">Gate en que se revisa</w:t>
            </w:r>
          </w:p>
        </w:tc>
        <w:tc>
          <w:tcPr>
            <w:tcW w:w="4819" w:type="dxa"/>
          </w:tcPr>
          <w:p>
            <w:pPr>
              <w:pStyle w:val="Celda"/>
            </w:pPr>
            <w:r>
              <w:t xml:space="preserve">G2 · Hipótesis. Se vuelve a consultar en G5, R6 y G7.</w:t>
            </w:r>
          </w:p>
        </w:tc>
      </w:tr>
      <w:tr>
        <w:tc>
          <w:tcPr>
            <w:tcW w:w="4819" w:type="dxa"/>
          </w:tcPr>
          <w:p>
            <w:pPr>
              <w:pStyle w:val="Celda"/>
            </w:pPr>
            <w:r>
              <w:rPr>
                <w:b/>
              </w:rPr>
              <w:t xml:space="preserve">Herramienta</w:t>
            </w:r>
          </w:p>
        </w:tc>
        <w:tc>
          <w:tcPr>
            <w:tcW w:w="4819" w:type="dxa"/>
          </w:tcPr>
          <w:p>
            <w:pPr>
              <w:pStyle w:val="Celda"/>
            </w:pPr>
            <w:r>
              <w:t xml:space="preserve">T11 · Lienzo y calculadora de hipótesis de valor.</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y bloques marcados </w:t>
            </w:r>
            <w:r>
              <w:rPr>
                <w:b/>
              </w:rPr>
              <w:t xml:space="preserve">(Enterprise)</w:t>
            </w:r>
            <w:r>
              <w:t xml:space="preserve">. La definición de métricas, el periodo, el método y los resultados son obligatorios en ambas.</w:t>
            </w:r>
          </w:p>
        </w:tc>
      </w:tr>
    </w:tbl>
    <w:p>
      <w:pPr>
        <w:pStyle w:val="Espacio"/>
      </w:pPr>
    </w:p>
    <w:p>
      <w:r>
        <w:t xml:space="preserve">Reglas de cumplimentación:</w:t>
      </w:r>
    </w:p>
    <w:p>
      <w:pPr>
        <w:pStyle w:val="Lista"/>
      </w:pPr>
      <w:r>
        <w:t xml:space="preserve">• La línea base se </w:t>
      </w:r>
      <w:r>
        <w:rPr>
          <w:b/>
        </w:rPr>
        <w:t xml:space="preserve">mide</w:t>
      </w:r>
      <w:r>
        <w:t xml:space="preserve">; solo se estima si se justifica por qué no puede medirse y cómo se corregirá (01 §6.4).</w:t>
      </w:r>
    </w:p>
    <w:p>
      <w:pPr>
        <w:pStyle w:val="Lista"/>
      </w:pPr>
      <w:r>
        <w:t xml:space="preserve">• "Sin dato" no es cero: los datos ausentes se muestran como ausentes y nunca se rellenan sin indicarlo (regla 8).</w:t>
      </w:r>
    </w:p>
    <w:p>
      <w:pPr>
        <w:pStyle w:val="Lista"/>
      </w:pPr>
      <w:r>
        <w:t xml:space="preserve">• Las métricas deben ser </w:t>
      </w:r>
      <w:r>
        <w:rPr>
          <w:b/>
        </w:rPr>
        <w:t xml:space="preserve">las mismas</w:t>
      </w:r>
      <w:r>
        <w:t xml:space="preserve">, con la misma definición, que se usarán para medir el resultado.</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p>
        </w:tc>
      </w:tr>
      <w:tr>
        <w:tc>
          <w:tcPr>
            <w:tcW w:w="3213" w:type="dxa"/>
          </w:tcPr>
          <w:p>
            <w:pPr>
              <w:pStyle w:val="Celda"/>
            </w:pPr>
            <w:r>
              <w:t xml:space="preserve">Versión del lienzo asociado</w:t>
            </w:r>
          </w:p>
        </w:tc>
        <w:tc>
          <w:tcPr>
            <w:tcW w:w="3213" w:type="dxa"/>
          </w:tcPr>
          <w:p>
            <w:pPr>
              <w:pStyle w:val="Celda"/>
            </w:pPr>
          </w:p>
        </w:tc>
        <w:tc>
          <w:tcPr>
            <w:tcW w:w="3213" w:type="dxa"/>
          </w:tcPr>
          <w:p>
            <w:pPr>
              <w:pStyle w:val="Celda"/>
            </w:pPr>
            <w:r>
              <w:t xml:space="preserve">Versión de P08 a la que corresponde esta línea base.</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Nombre y rol.</w:t>
            </w:r>
          </w:p>
        </w:tc>
      </w:tr>
      <w:tr>
        <w:tc>
          <w:tcPr>
            <w:tcW w:w="3213" w:type="dxa"/>
          </w:tcPr>
          <w:p>
            <w:pPr>
              <w:pStyle w:val="Celda"/>
            </w:pPr>
            <w:r>
              <w:t xml:space="preserve">Fecha de congelación</w:t>
            </w:r>
          </w:p>
        </w:tc>
        <w:tc>
          <w:tcPr>
            <w:tcW w:w="3213" w:type="dxa"/>
          </w:tcPr>
          <w:p>
            <w:pPr>
              <w:pStyle w:val="Celda"/>
            </w:pPr>
          </w:p>
        </w:tc>
        <w:tc>
          <w:tcPr>
            <w:tcW w:w="3213" w:type="dxa"/>
          </w:tcPr>
          <w:p>
            <w:pPr>
              <w:pStyle w:val="Celda"/>
            </w:pPr>
            <w:r>
              <w:t xml:space="preserve">Fecha de G2. Después solo se modifica según la sección 9.</w:t>
            </w:r>
          </w:p>
        </w:tc>
      </w:tr>
    </w:tbl>
    <w:p>
      <w:pPr>
        <w:pStyle w:val="Espacio"/>
      </w:pPr>
    </w:p>
    <w:p>
      <w:pPr>
        <w:pStyle w:val="Separador"/>
      </w:pPr>
    </w:p>
    <w:p>
      <w:pPr>
        <w:pStyle w:val="Heading1"/>
      </w:pPr>
      <w:r>
        <w:t xml:space="preserve">3. Definición de las métricas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Métrica</w:t>
            </w:r>
          </w:p>
        </w:tc>
        <w:tc>
          <w:tcPr>
            <w:tcW w:w="1377" w:type="dxa"/>
            <w:shd w:val="clear" w:color="auto" w:fill="F2DFCE"/>
          </w:tcPr>
          <w:p>
            <w:pPr>
              <w:pStyle w:val="Celda"/>
            </w:pPr>
            <w:r>
              <w:rPr>
                <w:b/>
              </w:rPr>
              <w:t xml:space="preserve">Tipo</w:t>
            </w:r>
          </w:p>
        </w:tc>
        <w:tc>
          <w:tcPr>
            <w:tcW w:w="1377" w:type="dxa"/>
            <w:shd w:val="clear" w:color="auto" w:fill="F2DFCE"/>
          </w:tcPr>
          <w:p>
            <w:pPr>
              <w:pStyle w:val="Celda"/>
            </w:pPr>
            <w:r>
              <w:rPr>
                <w:b/>
              </w:rPr>
              <w:t xml:space="preserve">Definición operativa</w:t>
            </w:r>
          </w:p>
        </w:tc>
        <w:tc>
          <w:tcPr>
            <w:tcW w:w="1377" w:type="dxa"/>
            <w:shd w:val="clear" w:color="auto" w:fill="F2DFCE"/>
          </w:tcPr>
          <w:p>
            <w:pPr>
              <w:pStyle w:val="Celda"/>
            </w:pPr>
            <w:r>
              <w:rPr>
                <w:b/>
              </w:rPr>
              <w:t xml:space="preserve">Fórmula</w:t>
            </w:r>
          </w:p>
        </w:tc>
        <w:tc>
          <w:tcPr>
            <w:tcW w:w="1377" w:type="dxa"/>
            <w:shd w:val="clear" w:color="auto" w:fill="F2DFCE"/>
          </w:tcPr>
          <w:p>
            <w:pPr>
              <w:pStyle w:val="Celda"/>
            </w:pPr>
            <w:r>
              <w:rPr>
                <w:b/>
              </w:rPr>
              <w:t xml:space="preserve">Unidad</w:t>
            </w:r>
          </w:p>
        </w:tc>
        <w:tc>
          <w:tcPr>
            <w:tcW w:w="1377" w:type="dxa"/>
            <w:shd w:val="clear" w:color="auto" w:fill="F2DFCE"/>
          </w:tcPr>
          <w:p>
            <w:pPr>
              <w:pStyle w:val="Celda"/>
            </w:pPr>
            <w:r>
              <w:rPr>
                <w:b/>
              </w:rPr>
              <w:t xml:space="preserve">Fuente de datos</w:t>
            </w:r>
          </w:p>
        </w:tc>
        <w:tc>
          <w:tcPr>
            <w:tcW w:w="1377" w:type="dxa"/>
            <w:shd w:val="clear" w:color="auto" w:fill="F2DFCE"/>
          </w:tcPr>
          <w:p>
            <w:pPr>
              <w:pStyle w:val="Celda"/>
            </w:pPr>
            <w:r>
              <w:rPr>
                <w:b/>
              </w:rPr>
              <w:t xml:space="preserve">Responsable del dato</w:t>
            </w:r>
          </w:p>
        </w:tc>
      </w:tr>
      <w:tr>
        <w:tc>
          <w:tcPr>
            <w:tcW w:w="1377" w:type="dxa"/>
          </w:tcPr>
          <w:p>
            <w:pPr>
              <w:pStyle w:val="Celda"/>
            </w:pPr>
          </w:p>
        </w:tc>
        <w:tc>
          <w:tcPr>
            <w:tcW w:w="1377" w:type="dxa"/>
          </w:tcPr>
          <w:p>
            <w:pPr>
              <w:pStyle w:val="Celda"/>
            </w:pPr>
            <w:r>
              <w:t xml:space="preserve">Principal · Secundaria · De salvaguarda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(ejemplo ilustrativo)</w:t>
            </w:r>
            <w:r>
              <w:t xml:space="preserve"> Tiempo medio de primera respuesta</w:t>
            </w:r>
          </w:p>
        </w:tc>
        <w:tc>
          <w:tcPr>
            <w:tcW w:w="1377" w:type="dxa"/>
          </w:tcPr>
          <w:p>
            <w:pPr>
              <w:pStyle w:val="Celda"/>
            </w:pPr>
            <w:r>
              <w:t xml:space="preserve">Secundaria</w:t>
            </w:r>
          </w:p>
        </w:tc>
        <w:tc>
          <w:tcPr>
            <w:tcW w:w="1377" w:type="dxa"/>
          </w:tcPr>
          <w:p>
            <w:pPr>
              <w:pStyle w:val="Celda"/>
            </w:pPr>
            <w:r>
              <w:t xml:space="preserve">Horas desde la entrada de la consulta hasta la primera respuesta útil al cliente</w:t>
            </w:r>
          </w:p>
        </w:tc>
        <w:tc>
          <w:tcPr>
            <w:tcW w:w="1377" w:type="dxa"/>
          </w:tcPr>
          <w:p>
            <w:pPr>
              <w:pStyle w:val="Celda"/>
            </w:pPr>
            <w:r>
              <w:t xml:space="preserve">Suma de tiempos ÷ nº de consultas</w:t>
            </w:r>
          </w:p>
        </w:tc>
        <w:tc>
          <w:tcPr>
            <w:tcW w:w="1377" w:type="dxa"/>
          </w:tcPr>
          <w:p>
            <w:pPr>
              <w:pStyle w:val="Celda"/>
            </w:pPr>
            <w:r>
              <w:t xml:space="preserve">horas</w:t>
            </w:r>
          </w:p>
        </w:tc>
        <w:tc>
          <w:tcPr>
            <w:tcW w:w="1377" w:type="dxa"/>
          </w:tcPr>
          <w:p>
            <w:pPr>
              <w:pStyle w:val="Celda"/>
            </w:pPr>
            <w:r>
              <w:t xml:space="preserve">Herramienta de atención al cliente</w:t>
            </w:r>
          </w:p>
        </w:tc>
        <w:tc>
          <w:tcPr>
            <w:tcW w:w="1377" w:type="dxa"/>
          </w:tcPr>
          <w:p>
            <w:pPr>
              <w:pStyle w:val="Celda"/>
            </w:pPr>
            <w:r>
              <w:t xml:space="preserve">Responsable de operaciones de atención</w:t>
            </w:r>
          </w:p>
        </w:tc>
      </w:tr>
      <w:tr>
        <w:tc>
          <w:tcPr>
            <w:tcW w:w="1377" w:type="dxa"/>
          </w:tcPr>
          <w:p>
            <w:pPr>
              <w:pStyle w:val="Celda"/>
            </w:pPr>
            <w:r>
              <w:rPr>
                <w:i/>
              </w:rPr>
              <w:t xml:space="preserve">(ejemplo ilustrativo)</w:t>
            </w:r>
            <w:r>
              <w:t xml:space="preserve"> Horas de atención externa</w:t>
            </w:r>
          </w:p>
        </w:tc>
        <w:tc>
          <w:tcPr>
            <w:tcW w:w="1377" w:type="dxa"/>
          </w:tcPr>
          <w:p>
            <w:pPr>
              <w:pStyle w:val="Celda"/>
            </w:pPr>
            <w:r>
              <w:t xml:space="preserve">Principal (económica)</w:t>
            </w:r>
          </w:p>
        </w:tc>
        <w:tc>
          <w:tcPr>
            <w:tcW w:w="1377" w:type="dxa"/>
          </w:tcPr>
          <w:p>
            <w:pPr>
              <w:pStyle w:val="Celda"/>
            </w:pPr>
            <w:r>
              <w:t xml:space="preserve">Horas facturadas por el proveedor externo de atención</w:t>
            </w:r>
          </w:p>
        </w:tc>
        <w:tc>
          <w:tcPr>
            <w:tcW w:w="1377" w:type="dxa"/>
          </w:tcPr>
          <w:p>
            <w:pPr>
              <w:pStyle w:val="Celda"/>
            </w:pPr>
            <w:r>
              <w:t xml:space="preserve">Suma mensual de horas facturadas</w:t>
            </w:r>
          </w:p>
        </w:tc>
        <w:tc>
          <w:tcPr>
            <w:tcW w:w="1377" w:type="dxa"/>
          </w:tcPr>
          <w:p>
            <w:pPr>
              <w:pStyle w:val="Celda"/>
            </w:pPr>
            <w:r>
              <w:t xml:space="preserve">h</w:t>
            </w:r>
          </w:p>
        </w:tc>
        <w:tc>
          <w:tcPr>
            <w:tcW w:w="1377" w:type="dxa"/>
          </w:tcPr>
          <w:p>
            <w:pPr>
              <w:pStyle w:val="Celda"/>
            </w:pPr>
            <w:r>
              <w:t xml:space="preserve">Facturas del proveedor</w:t>
            </w:r>
          </w:p>
        </w:tc>
        <w:tc>
          <w:tcPr>
            <w:tcW w:w="1377" w:type="dxa"/>
          </w:tcPr>
          <w:p>
            <w:pPr>
              <w:pStyle w:val="Celda"/>
            </w:pPr>
            <w:r>
              <w:t xml:space="preserve">Control de gestión</w:t>
            </w:r>
          </w:p>
        </w:tc>
      </w:tr>
    </w:tbl>
    <w:p>
      <w:pPr>
        <w:pStyle w:val="Espacio"/>
      </w:pPr>
    </w:p>
    <w:p>
      <w:r>
        <w:t xml:space="preserve">La definición operativa responde a: qué se cuenta, qué se excluye, desde cuándo y hasta cuándo, y en qué sistema se registra.</w:t>
      </w:r>
    </w:p>
    <w:p>
      <w:pPr>
        <w:pStyle w:val="Separador"/>
      </w:pPr>
    </w:p>
    <w:p>
      <w:pPr>
        <w:pStyle w:val="Heading1"/>
      </w:pPr>
      <w:r>
        <w:t xml:space="preserve">4. Periodo y método de medición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Periodo de referencia</w:t>
            </w:r>
          </w:p>
        </w:tc>
        <w:tc>
          <w:tcPr>
            <w:tcW w:w="3213" w:type="dxa"/>
          </w:tcPr>
          <w:p>
            <w:pPr>
              <w:pStyle w:val="Celda"/>
            </w:pPr>
          </w:p>
        </w:tc>
        <w:tc>
          <w:tcPr>
            <w:tcW w:w="3213" w:type="dxa"/>
          </w:tcPr>
          <w:p>
            <w:pPr>
              <w:pStyle w:val="Celda"/>
            </w:pPr>
            <w:r>
              <w:t xml:space="preserve">Fechas de inicio y fin.</w:t>
            </w:r>
          </w:p>
        </w:tc>
      </w:tr>
      <w:tr>
        <w:tc>
          <w:tcPr>
            <w:tcW w:w="3213" w:type="dxa"/>
          </w:tcPr>
          <w:p>
            <w:pPr>
              <w:pStyle w:val="Celda"/>
            </w:pPr>
            <w:r>
              <w:t xml:space="preserve">Justificación de la duración</w:t>
            </w:r>
          </w:p>
        </w:tc>
        <w:tc>
          <w:tcPr>
            <w:tcW w:w="3213" w:type="dxa"/>
          </w:tcPr>
          <w:p>
            <w:pPr>
              <w:pStyle w:val="Celda"/>
            </w:pPr>
          </w:p>
        </w:tc>
        <w:tc>
          <w:tcPr>
            <w:tcW w:w="3213" w:type="dxa"/>
          </w:tcPr>
          <w:p>
            <w:pPr>
              <w:pStyle w:val="Celda"/>
            </w:pPr>
            <w:r>
              <w:t xml:space="preserve">Debe cubrir los ciclos relevantes del proceso (semanas, meses, campañas).</w:t>
            </w:r>
          </w:p>
        </w:tc>
      </w:tr>
      <w:tr>
        <w:tc>
          <w:tcPr>
            <w:tcW w:w="3213" w:type="dxa"/>
          </w:tcPr>
          <w:p>
            <w:pPr>
              <w:pStyle w:val="Celda"/>
            </w:pPr>
            <w:r>
              <w:t xml:space="preserve">Ámbito o población</w:t>
            </w:r>
          </w:p>
        </w:tc>
        <w:tc>
          <w:tcPr>
            <w:tcW w:w="3213" w:type="dxa"/>
          </w:tcPr>
          <w:p>
            <w:pPr>
              <w:pStyle w:val="Celda"/>
            </w:pPr>
          </w:p>
        </w:tc>
        <w:tc>
          <w:tcPr>
            <w:tcW w:w="3213" w:type="dxa"/>
          </w:tcPr>
          <w:p>
            <w:pPr>
              <w:pStyle w:val="Celda"/>
            </w:pPr>
            <w:r>
              <w:t xml:space="preserve">Canales, unidades, clientes o casos incluidos.</w:t>
            </w:r>
          </w:p>
        </w:tc>
      </w:tr>
      <w:tr>
        <w:tc>
          <w:tcPr>
            <w:tcW w:w="3213" w:type="dxa"/>
          </w:tcPr>
          <w:p>
            <w:pPr>
              <w:pStyle w:val="Celda"/>
            </w:pPr>
            <w:r>
              <w:t xml:space="preserve">Muestra </w:t>
            </w:r>
            <w:r>
              <w:rPr>
                <w:b/>
              </w:rPr>
              <w:t xml:space="preserve">(Enterprise)</w:t>
            </w:r>
          </w:p>
        </w:tc>
        <w:tc>
          <w:tcPr>
            <w:tcW w:w="3213" w:type="dxa"/>
          </w:tcPr>
          <w:p>
            <w:pPr>
              <w:pStyle w:val="Celda"/>
            </w:pPr>
          </w:p>
        </w:tc>
        <w:tc>
          <w:tcPr>
            <w:tcW w:w="3213" w:type="dxa"/>
          </w:tcPr>
          <w:p>
            <w:pPr>
              <w:pStyle w:val="Celda"/>
            </w:pPr>
            <w:r>
              <w:t xml:space="preserve">Si no se mide el universo: tamaño, criterio de selección y representatividad.</w:t>
            </w:r>
          </w:p>
        </w:tc>
      </w:tr>
      <w:tr>
        <w:tc>
          <w:tcPr>
            <w:tcW w:w="3213" w:type="dxa"/>
          </w:tcPr>
          <w:p>
            <w:pPr>
              <w:pStyle w:val="Celda"/>
            </w:pPr>
            <w:r>
              <w:t xml:space="preserve">Medida o estimada</w:t>
            </w:r>
          </w:p>
        </w:tc>
        <w:tc>
          <w:tcPr>
            <w:tcW w:w="3213" w:type="dxa"/>
          </w:tcPr>
          <w:p>
            <w:pPr>
              <w:pStyle w:val="Celda"/>
            </w:pPr>
          </w:p>
        </w:tc>
        <w:tc>
          <w:tcPr>
            <w:tcW w:w="3213" w:type="dxa"/>
          </w:tcPr>
          <w:p>
            <w:pPr>
              <w:pStyle w:val="Celda"/>
            </w:pPr>
            <w:r>
              <w:t xml:space="preserve">Medida · Estimada. Si es estimada, justificación y plan para medirla antes de G5.</w:t>
            </w:r>
          </w:p>
        </w:tc>
      </w:tr>
      <w:tr>
        <w:tc>
          <w:tcPr>
            <w:tcW w:w="3213" w:type="dxa"/>
          </w:tcPr>
          <w:p>
            <w:pPr>
              <w:pStyle w:val="Celda"/>
            </w:pPr>
            <w:r>
              <w:t xml:space="preserve">Método de extracción</w:t>
            </w:r>
          </w:p>
        </w:tc>
        <w:tc>
          <w:tcPr>
            <w:tcW w:w="3213" w:type="dxa"/>
          </w:tcPr>
          <w:p>
            <w:pPr>
              <w:pStyle w:val="Celda"/>
            </w:pPr>
          </w:p>
        </w:tc>
        <w:tc>
          <w:tcPr>
            <w:tcW w:w="3213" w:type="dxa"/>
          </w:tcPr>
          <w:p>
            <w:pPr>
              <w:pStyle w:val="Celda"/>
            </w:pPr>
            <w:r>
              <w:t xml:space="preserve">Consulta, informe o sistema del que se obtiene.</w:t>
            </w:r>
          </w:p>
        </w:tc>
      </w:tr>
      <w:tr>
        <w:tc>
          <w:tcPr>
            <w:tcW w:w="3213" w:type="dxa"/>
          </w:tcPr>
          <w:p>
            <w:pPr>
              <w:pStyle w:val="Celda"/>
            </w:pPr>
            <w:r>
              <w:t xml:space="preserve">Exclusiones</w:t>
            </w:r>
          </w:p>
        </w:tc>
        <w:tc>
          <w:tcPr>
            <w:tcW w:w="3213" w:type="dxa"/>
          </w:tcPr>
          <w:p>
            <w:pPr>
              <w:pStyle w:val="Celda"/>
            </w:pPr>
          </w:p>
        </w:tc>
        <w:tc>
          <w:tcPr>
            <w:tcW w:w="3213" w:type="dxa"/>
          </w:tcPr>
          <w:p>
            <w:pPr>
              <w:pStyle w:val="Celda"/>
            </w:pPr>
            <w:r>
              <w:t xml:space="preserve">Casos excluidos y motivo.</w:t>
            </w:r>
          </w:p>
        </w:tc>
      </w:tr>
      <w:tr>
        <w:tc>
          <w:tcPr>
            <w:tcW w:w="3213" w:type="dxa"/>
          </w:tcPr>
          <w:p>
            <w:pPr>
              <w:pStyle w:val="Celda"/>
            </w:pPr>
            <w:r>
              <w:t xml:space="preserve">Tratamiento de datos ausentes</w:t>
            </w:r>
          </w:p>
        </w:tc>
        <w:tc>
          <w:tcPr>
            <w:tcW w:w="3213" w:type="dxa"/>
          </w:tcPr>
          <w:p>
            <w:pPr>
              <w:pStyle w:val="Celda"/>
            </w:pPr>
          </w:p>
        </w:tc>
        <w:tc>
          <w:tcPr>
            <w:tcW w:w="3213" w:type="dxa"/>
          </w:tcPr>
          <w:p>
            <w:pPr>
              <w:pStyle w:val="Celda"/>
            </w:pPr>
            <w:r>
              <w:t xml:space="preserve">Cómo se muestran y cuántos son.</w:t>
            </w:r>
          </w:p>
        </w:tc>
      </w:tr>
      <w:tr>
        <w:tc>
          <w:tcPr>
            <w:tcW w:w="3213" w:type="dxa"/>
          </w:tcPr>
          <w:p>
            <w:pPr>
              <w:pStyle w:val="Celda"/>
            </w:pPr>
            <w:r>
              <w:t xml:space="preserve">Calidad del dato</w:t>
            </w:r>
          </w:p>
        </w:tc>
        <w:tc>
          <w:tcPr>
            <w:tcW w:w="3213" w:type="dxa"/>
          </w:tcPr>
          <w:p>
            <w:pPr>
              <w:pStyle w:val="Celda"/>
            </w:pPr>
          </w:p>
        </w:tc>
        <w:tc>
          <w:tcPr>
            <w:tcW w:w="3213" w:type="dxa"/>
          </w:tcPr>
          <w:p>
            <w:pPr>
              <w:pStyle w:val="Celda"/>
            </w:pPr>
            <w:r>
              <w:t xml:space="preserve">Completitud y problemas conocidos.</w:t>
            </w:r>
          </w:p>
        </w:tc>
      </w:tr>
    </w:tbl>
    <w:p>
      <w:pPr>
        <w:pStyle w:val="Espacio"/>
      </w:pPr>
    </w:p>
    <w:p>
      <w:pPr>
        <w:pStyle w:val="Separador"/>
      </w:pPr>
    </w:p>
    <w:p>
      <w:pPr>
        <w:pStyle w:val="Heading1"/>
      </w:pPr>
      <w:r>
        <w:t xml:space="preserve">5. Resultados de la línea base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Métrica</w:t>
            </w:r>
          </w:p>
        </w:tc>
        <w:tc>
          <w:tcPr>
            <w:tcW w:w="1377" w:type="dxa"/>
            <w:shd w:val="clear" w:color="auto" w:fill="F2DFCE"/>
          </w:tcPr>
          <w:p>
            <w:pPr>
              <w:pStyle w:val="Celda"/>
            </w:pPr>
            <w:r>
              <w:rPr>
                <w:b/>
              </w:rPr>
              <w:t xml:space="preserve">Periodo</w:t>
            </w:r>
          </w:p>
        </w:tc>
        <w:tc>
          <w:tcPr>
            <w:tcW w:w="1377" w:type="dxa"/>
            <w:shd w:val="clear" w:color="auto" w:fill="F2DFCE"/>
          </w:tcPr>
          <w:p>
            <w:pPr>
              <w:pStyle w:val="Celda"/>
            </w:pPr>
            <w:r>
              <w:rPr>
                <w:b/>
              </w:rPr>
              <w:t xml:space="preserve">Valor</w:t>
            </w:r>
          </w:p>
        </w:tc>
        <w:tc>
          <w:tcPr>
            <w:tcW w:w="1377" w:type="dxa"/>
            <w:shd w:val="clear" w:color="auto" w:fill="F2DFCE"/>
          </w:tcPr>
          <w:p>
            <w:pPr>
              <w:pStyle w:val="Celda"/>
            </w:pPr>
            <w:r>
              <w:rPr>
                <w:b/>
              </w:rPr>
              <w:t xml:space="preserve">Variabilidad</w:t>
            </w:r>
          </w:p>
        </w:tc>
        <w:tc>
          <w:tcPr>
            <w:tcW w:w="1377" w:type="dxa"/>
            <w:shd w:val="clear" w:color="auto" w:fill="F2DFCE"/>
          </w:tcPr>
          <w:p>
            <w:pPr>
              <w:pStyle w:val="Celda"/>
            </w:pPr>
            <w:r>
              <w:rPr>
                <w:b/>
              </w:rPr>
              <w:t xml:space="preserve">Nº de observaciones</w:t>
            </w:r>
          </w:p>
        </w:tc>
        <w:tc>
          <w:tcPr>
            <w:tcW w:w="1377" w:type="dxa"/>
            <w:shd w:val="clear" w:color="auto" w:fill="F2DFCE"/>
          </w:tcPr>
          <w:p>
            <w:pPr>
              <w:pStyle w:val="Celda"/>
            </w:pPr>
            <w:r>
              <w:rPr>
                <w:b/>
              </w:rPr>
              <w:t xml:space="preserve">Estado</w:t>
            </w:r>
          </w:p>
        </w:tc>
        <w:tc>
          <w:tcPr>
            <w:tcW w:w="1377" w:type="dxa"/>
            <w:shd w:val="clear" w:color="auto" w:fill="F2DFCE"/>
          </w:tcPr>
          <w:p>
            <w:pPr>
              <w:pStyle w:val="Celda"/>
            </w:pPr>
            <w:r>
              <w:rPr>
                <w:b/>
              </w:rPr>
              <w:t xml:space="preserve">Observaciones</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Mínimo–máximo o desviación típica</w:t>
            </w:r>
          </w:p>
        </w:tc>
        <w:tc>
          <w:tcPr>
            <w:tcW w:w="1377" w:type="dxa"/>
          </w:tcPr>
          <w:p>
            <w:pPr>
              <w:pStyle w:val="Celda"/>
            </w:pPr>
          </w:p>
        </w:tc>
        <w:tc>
          <w:tcPr>
            <w:tcW w:w="1377" w:type="dxa"/>
          </w:tcPr>
          <w:p>
            <w:pPr>
              <w:pStyle w:val="Celda"/>
            </w:pPr>
            <w:r>
              <w:t xml:space="preserve">Medida · Estimada · Sin dato</w:t>
            </w:r>
          </w:p>
        </w:tc>
        <w:tc>
          <w:tcPr>
            <w:tcW w:w="1377" w:type="dxa"/>
          </w:tcPr>
          <w:p>
            <w:pPr>
              <w:pStyle w:val="Celda"/>
            </w:pPr>
          </w:p>
        </w:tc>
      </w:tr>
      <w:tr>
        <w:tc>
          <w:tcPr>
            <w:tcW w:w="1377" w:type="dxa"/>
          </w:tcPr>
          <w:p>
            <w:pPr>
              <w:pStyle w:val="Celda"/>
            </w:pPr>
            <w:r>
              <w:rPr>
                <w:i/>
              </w:rPr>
              <w:t xml:space="preserve">(ejemplo ilustrativo)</w:t>
            </w:r>
            <w:r>
              <w:t xml:space="preserve"> Tiempo medio de primera respuesta</w:t>
            </w:r>
          </w:p>
        </w:tc>
        <w:tc>
          <w:tcPr>
            <w:tcW w:w="1377" w:type="dxa"/>
          </w:tcPr>
          <w:p>
            <w:pPr>
              <w:pStyle w:val="Celda"/>
            </w:pPr>
            <w:r>
              <w:t xml:space="preserve">01-01-2026 a 30-06-2026</w:t>
            </w:r>
          </w:p>
        </w:tc>
        <w:tc>
          <w:tcPr>
            <w:tcW w:w="1377" w:type="dxa"/>
          </w:tcPr>
          <w:p>
            <w:pPr>
              <w:pStyle w:val="Celda"/>
            </w:pPr>
            <w:r>
              <w:t xml:space="preserve">26,4 h</w:t>
            </w:r>
          </w:p>
        </w:tc>
        <w:tc>
          <w:tcPr>
            <w:tcW w:w="1377" w:type="dxa"/>
          </w:tcPr>
          <w:p>
            <w:pPr>
              <w:pStyle w:val="Celda"/>
            </w:pPr>
            <w:r>
              <w:t xml:space="preserve">9,1–41,7 h (media mensual)</w:t>
            </w:r>
          </w:p>
        </w:tc>
        <w:tc>
          <w:tcPr>
            <w:tcW w:w="1377" w:type="dxa"/>
          </w:tcPr>
          <w:p>
            <w:pPr>
              <w:pStyle w:val="Celda"/>
            </w:pPr>
            <w:r>
              <w:t xml:space="preserve">96.300</w:t>
            </w:r>
          </w:p>
        </w:tc>
        <w:tc>
          <w:tcPr>
            <w:tcW w:w="1377" w:type="dxa"/>
          </w:tcPr>
          <w:p>
            <w:pPr>
              <w:pStyle w:val="Celda"/>
            </w:pPr>
            <w:r>
              <w:t xml:space="preserve">Medida</w:t>
            </w:r>
          </w:p>
        </w:tc>
        <w:tc>
          <w:tcPr>
            <w:tcW w:w="1377" w:type="dxa"/>
          </w:tcPr>
          <w:p>
            <w:pPr>
              <w:pStyle w:val="Celda"/>
            </w:pPr>
            <w:r>
              <w:t xml:space="preserve">Picos en campañas de enero.</w:t>
            </w:r>
          </w:p>
        </w:tc>
      </w:tr>
      <w:tr>
        <w:tc>
          <w:tcPr>
            <w:tcW w:w="1377" w:type="dxa"/>
          </w:tcPr>
          <w:p>
            <w:pPr>
              <w:pStyle w:val="Celda"/>
            </w:pPr>
            <w:r>
              <w:rPr>
                <w:i/>
              </w:rPr>
              <w:t xml:space="preserve">(ejemplo ilustrativo)</w:t>
            </w:r>
            <w:r>
              <w:t xml:space="preserve"> Horas de atención externa</w:t>
            </w:r>
          </w:p>
        </w:tc>
        <w:tc>
          <w:tcPr>
            <w:tcW w:w="1377" w:type="dxa"/>
          </w:tcPr>
          <w:p>
            <w:pPr>
              <w:pStyle w:val="Celda"/>
            </w:pPr>
            <w:r>
              <w:t xml:space="preserve">01-01-2026 a 30-06-2026</w:t>
            </w:r>
          </w:p>
        </w:tc>
        <w:tc>
          <w:tcPr>
            <w:tcW w:w="1377" w:type="dxa"/>
          </w:tcPr>
          <w:p>
            <w:pPr>
              <w:pStyle w:val="Celda"/>
            </w:pPr>
            <w:r>
              <w:t xml:space="preserve">5.150 h</w:t>
            </w:r>
          </w:p>
        </w:tc>
        <w:tc>
          <w:tcPr>
            <w:tcW w:w="1377" w:type="dxa"/>
          </w:tcPr>
          <w:p>
            <w:pPr>
              <w:pStyle w:val="Celda"/>
            </w:pPr>
            <w:r>
              <w:t xml:space="preserve">610–1.240 h/mes</w:t>
            </w:r>
          </w:p>
        </w:tc>
        <w:tc>
          <w:tcPr>
            <w:tcW w:w="1377" w:type="dxa"/>
          </w:tcPr>
          <w:p>
            <w:pPr>
              <w:pStyle w:val="Celda"/>
            </w:pPr>
            <w:r>
              <w:t xml:space="preserve">6 facturas</w:t>
            </w:r>
          </w:p>
        </w:tc>
        <w:tc>
          <w:tcPr>
            <w:tcW w:w="1377" w:type="dxa"/>
          </w:tcPr>
          <w:p>
            <w:pPr>
              <w:pStyle w:val="Celda"/>
            </w:pPr>
            <w:r>
              <w:t xml:space="preserve">Medida</w:t>
            </w:r>
          </w:p>
        </w:tc>
        <w:tc>
          <w:tcPr>
            <w:tcW w:w="1377" w:type="dxa"/>
          </w:tcPr>
          <w:p>
            <w:pPr>
              <w:pStyle w:val="Celda"/>
            </w:pPr>
            <w:r>
              <w:t xml:space="preserve">—</w:t>
            </w:r>
          </w:p>
        </w:tc>
      </w:tr>
      <w:tr>
        <w:tc>
          <w:tcPr>
            <w:tcW w:w="1377" w:type="dxa"/>
          </w:tcPr>
          <w:p>
            <w:pPr>
              <w:pStyle w:val="Celda"/>
            </w:pPr>
            <w:r>
              <w:rPr>
                <w:i/>
              </w:rPr>
              <w:t xml:space="preserve">(ejemplo ilustrativo)</w:t>
            </w:r>
            <w:r>
              <w:t xml:space="preserve"> Satisfacción del cliente atendido</w:t>
            </w:r>
          </w:p>
        </w:tc>
        <w:tc>
          <w:tcPr>
            <w:tcW w:w="1377" w:type="dxa"/>
          </w:tcPr>
          <w:p>
            <w:pPr>
              <w:pStyle w:val="Celda"/>
            </w:pPr>
            <w:r>
              <w:t xml:space="preserve">01-01-2026 a 30-06-2026</w:t>
            </w:r>
          </w:p>
        </w:tc>
        <w:tc>
          <w:tcPr>
            <w:tcW w:w="1377" w:type="dxa"/>
          </w:tcPr>
          <w:p>
            <w:pPr>
              <w:pStyle w:val="Celda"/>
            </w:pPr>
            <w:r>
              <w:t xml:space="preserve">Sin dato</w:t>
            </w:r>
          </w:p>
        </w:tc>
        <w:tc>
          <w:tcPr>
            <w:tcW w:w="1377" w:type="dxa"/>
          </w:tcPr>
          <w:p>
            <w:pPr>
              <w:pStyle w:val="Celda"/>
            </w:pPr>
            <w:r>
              <w:t xml:space="preserve">—</w:t>
            </w:r>
          </w:p>
        </w:tc>
        <w:tc>
          <w:tcPr>
            <w:tcW w:w="1377" w:type="dxa"/>
          </w:tcPr>
          <w:p>
            <w:pPr>
              <w:pStyle w:val="Celda"/>
            </w:pPr>
            <w:r>
              <w:t xml:space="preserve">—</w:t>
            </w:r>
          </w:p>
        </w:tc>
        <w:tc>
          <w:tcPr>
            <w:tcW w:w="1377" w:type="dxa"/>
          </w:tcPr>
          <w:p>
            <w:pPr>
              <w:pStyle w:val="Celda"/>
            </w:pPr>
            <w:r>
              <w:t xml:space="preserve">Sin dato</w:t>
            </w:r>
          </w:p>
        </w:tc>
        <w:tc>
          <w:tcPr>
            <w:tcW w:w="1377" w:type="dxa"/>
          </w:tcPr>
          <w:p>
            <w:pPr>
              <w:pStyle w:val="Celda"/>
            </w:pPr>
            <w:r>
              <w:t xml:space="preserve">La encuesta se activa en octubre; se medirá cuatro semanas antes del piloto.</w:t>
            </w:r>
          </w:p>
        </w:tc>
      </w:tr>
    </w:tbl>
    <w:p>
      <w:pPr>
        <w:pStyle w:val="Espacio"/>
      </w:pPr>
    </w:p>
    <w:p>
      <w:pPr>
        <w:pStyle w:val="Separador"/>
      </w:pPr>
    </w:p>
    <w:p>
      <w:pPr>
        <w:pStyle w:val="Heading1"/>
      </w:pPr>
      <w:r>
        <w:t xml:space="preserve">6. Valores unitarios para la traducción a dinero</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Concepto</w:t>
            </w:r>
          </w:p>
        </w:tc>
        <w:tc>
          <w:tcPr>
            <w:tcW w:w="1928" w:type="dxa"/>
            <w:shd w:val="clear" w:color="auto" w:fill="F2DFCE"/>
          </w:tcPr>
          <w:p>
            <w:pPr>
              <w:pStyle w:val="Celda"/>
            </w:pPr>
            <w:r>
              <w:rPr>
                <w:b/>
              </w:rPr>
              <w:t xml:space="preserve">Valor unitario (€)</w:t>
            </w:r>
          </w:p>
        </w:tc>
        <w:tc>
          <w:tcPr>
            <w:tcW w:w="1928" w:type="dxa"/>
            <w:shd w:val="clear" w:color="auto" w:fill="F2DFCE"/>
          </w:tcPr>
          <w:p>
            <w:pPr>
              <w:pStyle w:val="Celda"/>
            </w:pPr>
            <w:r>
              <w:rPr>
                <w:b/>
              </w:rPr>
              <w:t xml:space="preserve">Fuente</w:t>
            </w:r>
          </w:p>
        </w:tc>
        <w:tc>
          <w:tcPr>
            <w:tcW w:w="1928" w:type="dxa"/>
            <w:shd w:val="clear" w:color="auto" w:fill="F2DFCE"/>
          </w:tcPr>
          <w:p>
            <w:pPr>
              <w:pStyle w:val="Celda"/>
            </w:pPr>
            <w:r>
              <w:rPr>
                <w:b/>
              </w:rPr>
              <w:t xml:space="preserve">Fecha de referencia</w:t>
            </w:r>
          </w:p>
        </w:tc>
        <w:tc>
          <w:tcPr>
            <w:tcW w:w="1928" w:type="dxa"/>
            <w:shd w:val="clear" w:color="auto" w:fill="F2DFCE"/>
          </w:tcPr>
          <w:p>
            <w:pPr>
              <w:pStyle w:val="Celda"/>
            </w:pPr>
            <w:r>
              <w:rPr>
                <w:b/>
              </w:rPr>
              <w:t xml:space="preserve">Revisado por control de gestión</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Sí · No</w:t>
            </w:r>
          </w:p>
        </w:tc>
      </w:tr>
      <w:tr>
        <w:tc>
          <w:tcPr>
            <w:tcW w:w="1928" w:type="dxa"/>
          </w:tcPr>
          <w:p>
            <w:pPr>
              <w:pStyle w:val="Celda"/>
            </w:pPr>
            <w:r>
              <w:rPr>
                <w:i/>
              </w:rPr>
              <w:t xml:space="preserve">(ejemplo ilustrativo)</w:t>
            </w:r>
            <w:r>
              <w:t xml:space="preserve"> Coste por hora de atención externa</w:t>
            </w:r>
          </w:p>
        </w:tc>
        <w:tc>
          <w:tcPr>
            <w:tcW w:w="1928" w:type="dxa"/>
          </w:tcPr>
          <w:p>
            <w:pPr>
              <w:pStyle w:val="Celda"/>
            </w:pPr>
            <w:r>
              <w:t xml:space="preserve">21,00</w:t>
            </w:r>
          </w:p>
        </w:tc>
        <w:tc>
          <w:tcPr>
            <w:tcW w:w="1928" w:type="dxa"/>
          </w:tcPr>
          <w:p>
            <w:pPr>
              <w:pStyle w:val="Celda"/>
            </w:pPr>
            <w:r>
              <w:t xml:space="preserve">Contrato vigente con el proveedor</w:t>
            </w:r>
          </w:p>
        </w:tc>
        <w:tc>
          <w:tcPr>
            <w:tcW w:w="1928" w:type="dxa"/>
          </w:tcPr>
          <w:p>
            <w:pPr>
              <w:pStyle w:val="Celda"/>
            </w:pPr>
            <w:r>
              <w:t xml:space="preserve">01-06-2026</w:t>
            </w:r>
          </w:p>
        </w:tc>
        <w:tc>
          <w:tcPr>
            <w:tcW w:w="1928" w:type="dxa"/>
          </w:tcPr>
          <w:p>
            <w:pPr>
              <w:pStyle w:val="Celda"/>
            </w:pPr>
            <w:r>
              <w:t xml:space="preserve">Sí</w:t>
            </w:r>
          </w:p>
        </w:tc>
      </w:tr>
      <w:tr>
        <w:tc>
          <w:tcPr>
            <w:tcW w:w="1928" w:type="dxa"/>
          </w:tcPr>
          <w:p>
            <w:pPr>
              <w:pStyle w:val="Celda"/>
            </w:pPr>
            <w:r>
              <w:rPr>
                <w:i/>
              </w:rPr>
              <w:t xml:space="preserve">(ejemplo ilustrativo)</w:t>
            </w:r>
            <w:r>
              <w:t xml:space="preserve"> Margen medio por pedido</w:t>
            </w:r>
          </w:p>
        </w:tc>
        <w:tc>
          <w:tcPr>
            <w:tcW w:w="1928" w:type="dxa"/>
          </w:tcPr>
          <w:p>
            <w:pPr>
              <w:pStyle w:val="Celda"/>
            </w:pPr>
            <w:r>
              <w:t xml:space="preserve">9,00</w:t>
            </w:r>
          </w:p>
        </w:tc>
        <w:tc>
          <w:tcPr>
            <w:tcW w:w="1928" w:type="dxa"/>
          </w:tcPr>
          <w:p>
            <w:pPr>
              <w:pStyle w:val="Celda"/>
            </w:pPr>
            <w:r>
              <w:t xml:space="preserve">Cuenta de resultados del canal</w:t>
            </w:r>
          </w:p>
        </w:tc>
        <w:tc>
          <w:tcPr>
            <w:tcW w:w="1928" w:type="dxa"/>
          </w:tcPr>
          <w:p>
            <w:pPr>
              <w:pStyle w:val="Celda"/>
            </w:pPr>
            <w:r>
              <w:t xml:space="preserve">Primer semestre de 2026</w:t>
            </w:r>
          </w:p>
        </w:tc>
        <w:tc>
          <w:tcPr>
            <w:tcW w:w="1928" w:type="dxa"/>
          </w:tcPr>
          <w:p>
            <w:pPr>
              <w:pStyle w:val="Celda"/>
            </w:pPr>
            <w:r>
              <w:t xml:space="preserve">Sí</w:t>
            </w:r>
          </w:p>
        </w:tc>
      </w:tr>
    </w:tbl>
    <w:p>
      <w:pPr>
        <w:pStyle w:val="Espacio"/>
      </w:pPr>
    </w:p>
    <w:p>
      <w:r>
        <w:t xml:space="preserve">Los valores unitarios se usan en la fórmula de P08 (unidades × valor unitario). Si cambian después de G2, se registra en la sección 9.</w:t>
      </w:r>
    </w:p>
    <w:p>
      <w:pPr>
        <w:pStyle w:val="Separador"/>
      </w:pPr>
    </w:p>
    <w:p>
      <w:pPr>
        <w:pStyle w:val="Heading1"/>
      </w:pPr>
      <w:r>
        <w:t xml:space="preserve">7. Grupo de control</w:t>
      </w:r>
    </w:p>
    <w:p>
      <w:r>
        <w:t xml:space="preserve">Rellenar si el método de atribución de P08 es grupo de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Definición del grupo de control</w:t>
            </w:r>
          </w:p>
        </w:tc>
        <w:tc>
          <w:tcPr>
            <w:tcW w:w="3213" w:type="dxa"/>
          </w:tcPr>
          <w:p>
            <w:pPr>
              <w:pStyle w:val="Celda"/>
            </w:pPr>
          </w:p>
        </w:tc>
        <w:tc>
          <w:tcPr>
            <w:tcW w:w="3213" w:type="dxa"/>
          </w:tcPr>
          <w:p>
            <w:pPr>
              <w:pStyle w:val="Celda"/>
            </w:pPr>
            <w:r>
              <w:t xml:space="preserve">Qué casos, clientes o unidades no reciben la intervención.</w:t>
            </w:r>
          </w:p>
        </w:tc>
      </w:tr>
      <w:tr>
        <w:tc>
          <w:tcPr>
            <w:tcW w:w="3213" w:type="dxa"/>
          </w:tcPr>
          <w:p>
            <w:pPr>
              <w:pStyle w:val="Celda"/>
            </w:pPr>
            <w:r>
              <w:t xml:space="preserve">Criterio de asignación</w:t>
            </w:r>
          </w:p>
        </w:tc>
        <w:tc>
          <w:tcPr>
            <w:tcW w:w="3213" w:type="dxa"/>
          </w:tcPr>
          <w:p>
            <w:pPr>
              <w:pStyle w:val="Celda"/>
            </w:pPr>
          </w:p>
        </w:tc>
        <w:tc>
          <w:tcPr>
            <w:tcW w:w="3213" w:type="dxa"/>
          </w:tcPr>
          <w:p>
            <w:pPr>
              <w:pStyle w:val="Celda"/>
            </w:pPr>
            <w:r>
              <w:t xml:space="preserve">Aleatorio, por región, por turno u otro, con justificación.</w:t>
            </w:r>
          </w:p>
        </w:tc>
      </w:tr>
      <w:tr>
        <w:tc>
          <w:tcPr>
            <w:tcW w:w="3213" w:type="dxa"/>
          </w:tcPr>
          <w:p>
            <w:pPr>
              <w:pStyle w:val="Celda"/>
            </w:pPr>
            <w:r>
              <w:t xml:space="preserve">Comparabilidad</w:t>
            </w:r>
          </w:p>
        </w:tc>
        <w:tc>
          <w:tcPr>
            <w:tcW w:w="3213" w:type="dxa"/>
          </w:tcPr>
          <w:p>
            <w:pPr>
              <w:pStyle w:val="Celda"/>
            </w:pPr>
          </w:p>
        </w:tc>
        <w:tc>
          <w:tcPr>
            <w:tcW w:w="3213" w:type="dxa"/>
          </w:tcPr>
          <w:p>
            <w:pPr>
              <w:pStyle w:val="Celda"/>
            </w:pPr>
            <w:r>
              <w:t xml:space="preserve">Valores de la línea base en el grupo de control y en el grupo tratado.</w:t>
            </w:r>
          </w:p>
        </w:tc>
      </w:tr>
      <w:tr>
        <w:tc>
          <w:tcPr>
            <w:tcW w:w="3213" w:type="dxa"/>
          </w:tcPr>
          <w:p>
            <w:pPr>
              <w:pStyle w:val="Celda"/>
            </w:pPr>
            <w:r>
              <w:t xml:space="preserve">Riesgo de contaminación</w:t>
            </w:r>
          </w:p>
        </w:tc>
        <w:tc>
          <w:tcPr>
            <w:tcW w:w="3213" w:type="dxa"/>
          </w:tcPr>
          <w:p>
            <w:pPr>
              <w:pStyle w:val="Celda"/>
            </w:pPr>
          </w:p>
        </w:tc>
        <w:tc>
          <w:tcPr>
            <w:tcW w:w="3213" w:type="dxa"/>
          </w:tcPr>
          <w:p>
            <w:pPr>
              <w:pStyle w:val="Celda"/>
            </w:pPr>
            <w:r>
              <w:t xml:space="preserve">Cómo se evita que el grupo de control reciba efectos de la intervención.</w:t>
            </w:r>
          </w:p>
        </w:tc>
      </w:tr>
    </w:tbl>
    <w:p>
      <w:pPr>
        <w:pStyle w:val="Espacio"/>
      </w:pP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Métrica</w:t>
            </w:r>
          </w:p>
        </w:tc>
        <w:tc>
          <w:tcPr>
            <w:tcW w:w="1928" w:type="dxa"/>
            <w:shd w:val="clear" w:color="auto" w:fill="F2DFCE"/>
          </w:tcPr>
          <w:p>
            <w:pPr>
              <w:pStyle w:val="Celda"/>
            </w:pPr>
            <w:r>
              <w:rPr>
                <w:b/>
              </w:rPr>
              <w:t xml:space="preserve">Grupo tratado (línea base)</w:t>
            </w:r>
          </w:p>
        </w:tc>
        <w:tc>
          <w:tcPr>
            <w:tcW w:w="1928" w:type="dxa"/>
            <w:shd w:val="clear" w:color="auto" w:fill="F2DFCE"/>
          </w:tcPr>
          <w:p>
            <w:pPr>
              <w:pStyle w:val="Celda"/>
            </w:pPr>
            <w:r>
              <w:rPr>
                <w:b/>
              </w:rPr>
              <w:t xml:space="preserve">Grupo de control (línea base)</w:t>
            </w:r>
          </w:p>
        </w:tc>
        <w:tc>
          <w:tcPr>
            <w:tcW w:w="1928" w:type="dxa"/>
            <w:shd w:val="clear" w:color="auto" w:fill="F2DFCE"/>
          </w:tcPr>
          <w:p>
            <w:pPr>
              <w:pStyle w:val="Celda"/>
            </w:pPr>
            <w:r>
              <w:rPr>
                <w:b/>
              </w:rPr>
              <w:t xml:space="preserve">Diferencia</w:t>
            </w:r>
          </w:p>
        </w:tc>
        <w:tc>
          <w:tcPr>
            <w:tcW w:w="1928" w:type="dxa"/>
            <w:shd w:val="clear" w:color="auto" w:fill="F2DFCE"/>
          </w:tcPr>
          <w:p>
            <w:pPr>
              <w:pStyle w:val="Celda"/>
            </w:pPr>
            <w:r>
              <w:rPr>
                <w:b/>
              </w:rPr>
              <w:t xml:space="preserve">¿Comparables?</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Sí · No</w:t>
            </w:r>
          </w:p>
        </w:tc>
      </w:tr>
    </w:tbl>
    <w:p>
      <w:pPr>
        <w:pStyle w:val="Espacio"/>
      </w:pPr>
    </w:p>
    <w:p>
      <w:pPr>
        <w:pStyle w:val="Separador"/>
      </w:pPr>
    </w:p>
    <w:p>
      <w:pPr>
        <w:pStyle w:val="Heading1"/>
      </w:pPr>
      <w:r>
        <w:t xml:space="preserve">8. Factores externos y estacionalidad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Factor</w:t>
            </w:r>
          </w:p>
        </w:tc>
        <w:tc>
          <w:tcPr>
            <w:tcW w:w="3213" w:type="dxa"/>
            <w:shd w:val="clear" w:color="auto" w:fill="F2DFCE"/>
          </w:tcPr>
          <w:p>
            <w:pPr>
              <w:pStyle w:val="Celda"/>
            </w:pPr>
            <w:r>
              <w:rPr>
                <w:b/>
              </w:rPr>
              <w:t xml:space="preserve">Efecto esperado sobre la métrica</w:t>
            </w:r>
          </w:p>
        </w:tc>
        <w:tc>
          <w:tcPr>
            <w:tcW w:w="3213" w:type="dxa"/>
            <w:shd w:val="clear" w:color="auto" w:fill="F2DFCE"/>
          </w:tcPr>
          <w:p>
            <w:pPr>
              <w:pStyle w:val="Celda"/>
            </w:pPr>
            <w:r>
              <w:rPr>
                <w:b/>
              </w:rPr>
              <w:t xml:space="preserve">Cómo se corrige o se controla</w:t>
            </w:r>
          </w:p>
        </w:tc>
      </w:tr>
      <w:tr>
        <w:tc>
          <w:tcPr>
            <w:tcW w:w="3213" w:type="dxa"/>
          </w:tcPr>
          <w:p>
            <w:pPr>
              <w:pStyle w:val="Celda"/>
            </w:pPr>
          </w:p>
        </w:tc>
        <w:tc>
          <w:tcPr>
            <w:tcW w:w="3213" w:type="dxa"/>
          </w:tcPr>
          <w:p>
            <w:pPr>
              <w:pStyle w:val="Celda"/>
            </w:pPr>
          </w:p>
        </w:tc>
        <w:tc>
          <w:tcPr>
            <w:tcW w:w="3213" w:type="dxa"/>
          </w:tcPr>
          <w:p>
            <w:pPr>
              <w:pStyle w:val="Celda"/>
            </w:pPr>
          </w:p>
        </w:tc>
      </w:tr>
      <w:tr>
        <w:tc>
          <w:tcPr>
            <w:tcW w:w="3213" w:type="dxa"/>
          </w:tcPr>
          <w:p>
            <w:pPr>
              <w:pStyle w:val="Celda"/>
            </w:pPr>
            <w:r>
              <w:rPr>
                <w:i/>
              </w:rPr>
              <w:t xml:space="preserve">(ejemplo ilustrativo)</w:t>
            </w:r>
            <w:r>
              <w:t xml:space="preserve"> Campaña de rebajas</w:t>
            </w:r>
          </w:p>
        </w:tc>
        <w:tc>
          <w:tcPr>
            <w:tcW w:w="3213" w:type="dxa"/>
          </w:tcPr>
          <w:p>
            <w:pPr>
              <w:pStyle w:val="Celda"/>
            </w:pPr>
            <w:r>
              <w:t xml:space="preserve">Aumento de consultas del 60 % en enero</w:t>
            </w:r>
          </w:p>
        </w:tc>
        <w:tc>
          <w:tcPr>
            <w:tcW w:w="3213" w:type="dxa"/>
          </w:tcPr>
          <w:p>
            <w:pPr>
              <w:pStyle w:val="Celda"/>
            </w:pPr>
            <w:r>
              <w:t xml:space="preserve">Comparar con el mismo periodo del grupo de control y no con la media anual.</w:t>
            </w:r>
          </w:p>
        </w:tc>
      </w:tr>
    </w:tbl>
    <w:p>
      <w:pPr>
        <w:pStyle w:val="Espacio"/>
      </w:pPr>
    </w:p>
    <w:p>
      <w:pPr>
        <w:pStyle w:val="Separador"/>
      </w:pPr>
    </w:p>
    <w:p>
      <w:pPr>
        <w:pStyle w:val="Heading1"/>
      </w:pPr>
      <w:r>
        <w:t xml:space="preserve">9. Congelación y cambios posteriores</w:t>
      </w:r>
    </w:p>
    <w:p>
      <w:r>
        <w:t xml:space="preserve">Tras G2, la línea base solo puede modificarse por error material documentado o por cambio en la definición de una métrica, con aprobación del órgano que autorizó la iniciativa. Modificarla para favorecer el resultado es una no conformidad.</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Fecha</w:t>
            </w:r>
          </w:p>
        </w:tc>
        <w:tc>
          <w:tcPr>
            <w:tcW w:w="1606" w:type="dxa"/>
            <w:shd w:val="clear" w:color="auto" w:fill="F2DFCE"/>
          </w:tcPr>
          <w:p>
            <w:pPr>
              <w:pStyle w:val="Celda"/>
            </w:pPr>
            <w:r>
              <w:rPr>
                <w:b/>
              </w:rPr>
              <w:t xml:space="preserve">Métrica</w:t>
            </w:r>
          </w:p>
        </w:tc>
        <w:tc>
          <w:tcPr>
            <w:tcW w:w="1606" w:type="dxa"/>
            <w:shd w:val="clear" w:color="auto" w:fill="F2DFCE"/>
          </w:tcPr>
          <w:p>
            <w:pPr>
              <w:pStyle w:val="Celda"/>
            </w:pPr>
            <w:r>
              <w:rPr>
                <w:b/>
              </w:rPr>
              <w:t xml:space="preserve">Valor anterior</w:t>
            </w:r>
          </w:p>
        </w:tc>
        <w:tc>
          <w:tcPr>
            <w:tcW w:w="1606" w:type="dxa"/>
            <w:shd w:val="clear" w:color="auto" w:fill="F2DFCE"/>
          </w:tcPr>
          <w:p>
            <w:pPr>
              <w:pStyle w:val="Celda"/>
            </w:pPr>
            <w:r>
              <w:rPr>
                <w:b/>
              </w:rPr>
              <w:t xml:space="preserve">Valor nuevo</w:t>
            </w:r>
          </w:p>
        </w:tc>
        <w:tc>
          <w:tcPr>
            <w:tcW w:w="1606" w:type="dxa"/>
            <w:shd w:val="clear" w:color="auto" w:fill="F2DFCE"/>
          </w:tcPr>
          <w:p>
            <w:pPr>
              <w:pStyle w:val="Celda"/>
            </w:pPr>
            <w:r>
              <w:rPr>
                <w:b/>
              </w:rPr>
              <w:t xml:space="preserve">Motivo</w:t>
            </w:r>
          </w:p>
        </w:tc>
        <w:tc>
          <w:tcPr>
            <w:tcW w:w="1606" w:type="dxa"/>
            <w:shd w:val="clear" w:color="auto" w:fill="F2DFCE"/>
          </w:tcPr>
          <w:p>
            <w:pPr>
              <w:pStyle w:val="Celda"/>
            </w:pPr>
            <w:r>
              <w:rPr>
                <w:b/>
              </w:rPr>
              <w:t xml:space="preserve">Aprobado por</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10. Reproducibilidad </w:t>
      </w:r>
      <w:r>
        <w:rPr>
          <w:b/>
        </w:rPr>
        <w:t xml:space="preserve">(Enterprise)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Consulta o procedimiento de cálculo</w:t>
            </w:r>
          </w:p>
        </w:tc>
        <w:tc>
          <w:tcPr>
            <w:tcW w:w="3213" w:type="dxa"/>
          </w:tcPr>
          <w:p>
            <w:pPr>
              <w:pStyle w:val="Celda"/>
            </w:pPr>
          </w:p>
        </w:tc>
        <w:tc>
          <w:tcPr>
            <w:tcW w:w="3213" w:type="dxa"/>
          </w:tcPr>
          <w:p>
            <w:pPr>
              <w:pStyle w:val="Celda"/>
            </w:pPr>
            <w:r>
              <w:t xml:space="preserve">Enlace a la consulta, script o informe versionado.</w:t>
            </w:r>
          </w:p>
        </w:tc>
      </w:tr>
      <w:tr>
        <w:tc>
          <w:tcPr>
            <w:tcW w:w="3213" w:type="dxa"/>
          </w:tcPr>
          <w:p>
            <w:pPr>
              <w:pStyle w:val="Celda"/>
            </w:pPr>
            <w:r>
              <w:t xml:space="preserve">Versión o instantánea de los datos</w:t>
            </w:r>
          </w:p>
        </w:tc>
        <w:tc>
          <w:tcPr>
            <w:tcW w:w="3213" w:type="dxa"/>
          </w:tcPr>
          <w:p>
            <w:pPr>
              <w:pStyle w:val="Celda"/>
            </w:pPr>
          </w:p>
        </w:tc>
        <w:tc>
          <w:tcPr>
            <w:tcW w:w="3213" w:type="dxa"/>
          </w:tcPr>
          <w:p>
            <w:pPr>
              <w:pStyle w:val="Celda"/>
            </w:pPr>
            <w:r>
              <w:t xml:space="preserve">Identificador de la extracción usada.</w:t>
            </w:r>
          </w:p>
        </w:tc>
      </w:tr>
      <w:tr>
        <w:tc>
          <w:tcPr>
            <w:tcW w:w="3213" w:type="dxa"/>
          </w:tcPr>
          <w:p>
            <w:pPr>
              <w:pStyle w:val="Celda"/>
            </w:pPr>
            <w:r>
              <w:t xml:space="preserve">Ubicación</w:t>
            </w:r>
          </w:p>
        </w:tc>
        <w:tc>
          <w:tcPr>
            <w:tcW w:w="3213" w:type="dxa"/>
          </w:tcPr>
          <w:p>
            <w:pPr>
              <w:pStyle w:val="Celda"/>
            </w:pPr>
          </w:p>
        </w:tc>
        <w:tc>
          <w:tcPr>
            <w:tcW w:w="3213" w:type="dxa"/>
          </w:tcPr>
          <w:p>
            <w:pPr>
              <w:pStyle w:val="Celda"/>
            </w:pPr>
            <w:r>
              <w:t xml:space="preserve">Repositorio donde se conserva.</w:t>
            </w:r>
          </w:p>
        </w:tc>
      </w:tr>
      <w:tr>
        <w:tc>
          <w:tcPr>
            <w:tcW w:w="3213" w:type="dxa"/>
          </w:tcPr>
          <w:p>
            <w:pPr>
              <w:pStyle w:val="Celda"/>
            </w:pPr>
            <w:r>
              <w:t xml:space="preserve">Persona que puede reproducirla</w:t>
            </w:r>
          </w:p>
        </w:tc>
        <w:tc>
          <w:tcPr>
            <w:tcW w:w="3213" w:type="dxa"/>
          </w:tcPr>
          <w:p>
            <w:pPr>
              <w:pStyle w:val="Celda"/>
            </w:pPr>
          </w:p>
        </w:tc>
        <w:tc>
          <w:tcPr>
            <w:tcW w:w="3213" w:type="dxa"/>
          </w:tcPr>
          <w:p>
            <w:pPr>
              <w:pStyle w:val="Celda"/>
            </w:pPr>
            <w:r>
              <w:t xml:space="preserve">Distinta de quien la calculó.</w:t>
            </w:r>
          </w:p>
        </w:tc>
      </w:tr>
    </w:tbl>
    <w:p>
      <w:pPr>
        <w:pStyle w:val="Espacio"/>
      </w:pPr>
    </w:p>
    <w:p>
      <w:pPr>
        <w:pStyle w:val="Separador"/>
      </w:pPr>
    </w:p>
    <w:p>
      <w:pPr>
        <w:pStyle w:val="Heading1"/>
      </w:pPr>
      <w:r>
        <w:t xml:space="preserve">11. Criterios de calidad</w:t>
      </w:r>
    </w:p>
    <w:p>
      <w:r>
        <w:t xml:space="preserve">Los criterios formales de G2 están en el documento 21 (ver criterios G2.xx).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Cada métrica de P08 tiene definición operativa, fórmula y fuente.</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El periodo cubre los ciclos relevantes del proceso.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 línea base está medida o su estimación está justificada con plan de medición.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Los datos ausentes figuran como "sin dato".</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Los valores unitarios tienen fuente y revisión de control de gestión.</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Si hay grupo de control, se demuestra su comparabilidad.</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Está registrada la fecha de congelación.</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Aporta datos</w:t>
            </w:r>
          </w:p>
        </w:tc>
        <w:tc>
          <w:tcPr>
            <w:tcW w:w="1928" w:type="dxa"/>
          </w:tcPr>
          <w:p>
            <w:pPr>
              <w:pStyle w:val="Celda"/>
            </w:pPr>
            <w:r>
              <w:t xml:space="preserve">Propietario de los datos del proceso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valores unitarios</w:t>
            </w:r>
          </w:p>
        </w:tc>
        <w:tc>
          <w:tcPr>
            <w:tcW w:w="1928" w:type="dxa"/>
          </w:tcPr>
          <w:p>
            <w:pPr>
              <w:pStyle w:val="Celda"/>
            </w:pPr>
            <w:r>
              <w:t xml:space="preserve">Control de gestión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w:t>
            </w:r>
          </w:p>
        </w:tc>
        <w:tc>
          <w:tcPr>
            <w:tcW w:w="1928" w:type="dxa"/>
          </w:tcPr>
          <w:p>
            <w:pPr>
              <w:pStyle w:val="Celda"/>
            </w:pPr>
            <w:r>
              <w:t xml:space="preserve">Patrocinador de IA (Lite) · Comité de IA (Enterprise), con G2</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verifica no ha calculado la línea base.</w:t>
      </w:r>
    </w:p>
    <w:p>
      <w:pPr>
        <w:pStyle w:val="Separador"/>
      </w:pPr>
    </w:p>
    <w:p>
      <w:pPr>
        <w:pStyle w:val="Heading1"/>
      </w:pPr>
      <w:r>
        <w:t xml:space="preserve">13.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Estructura alineada con 01 §6.4 y con las reglas 1 y 8 de medición de 00 §6.</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P09 · Línea base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P09 · Línea base</dc:title>
  <dc:creator>Fernando García Varela</dc:creator>
  <dc:language>es</dc:language>
  <dc:description>sha256:8e8d5a2a0977c88d7ab5c2e73a87eccdeaf16029d8ab2b31992ba5751eabe92d</dc:description>
  <cp:keywords>SEVEN-G</cp:keywords>
</cp:coreProperties>
</file>