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Registro de arquitectura</w:t>
      </w:r>
    </w:p>
    <w:p>
      <w:r>
        <w:rPr>
          <w:b/>
        </w:rPr>
        <w:t xml:space="preserve">Documenta la arquitectura de la solución, las decisiones de diseño con sus alternativas y la trazabilidad entre los riesgos y requisitos de la fase 3 y los controles diseñados.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P15 · Registro de arquitectura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fase 4 (Diseño de la solución), antes de G4. Se mantiene vivo en las fases 5 y 6: todo cambio de arquitectura relevante añade una decisión y actualiza la versión.</w:t>
            </w:r>
          </w:p>
        </w:tc>
      </w:tr>
      <w:tr>
        <w:tc>
          <w:tcPr>
            <w:tcW w:w="4819" w:type="dxa"/>
          </w:tcPr>
          <w:p>
            <w:pPr>
              <w:pStyle w:val="Celda"/>
            </w:pPr>
            <w:r>
              <w:rPr>
                <w:b/>
              </w:rPr>
              <w:t xml:space="preserve">Quién la rellena</w:t>
            </w:r>
          </w:p>
        </w:tc>
        <w:tc>
          <w:tcPr>
            <w:tcW w:w="4819" w:type="dxa"/>
          </w:tcPr>
          <w:p>
            <w:pPr>
              <w:pStyle w:val="Celda"/>
            </w:pPr>
            <w:r>
              <w:t xml:space="preserve">El responsable técnico de IA, que responde y realiza el trabajo en la fase 4. Consulta a seguridad de la información, al responsable de operación y al responsable de riesgos.</w:t>
            </w:r>
          </w:p>
        </w:tc>
      </w:tr>
      <w:tr>
        <w:tc>
          <w:tcPr>
            <w:tcW w:w="4819" w:type="dxa"/>
          </w:tcPr>
          <w:p>
            <w:pPr>
              <w:pStyle w:val="Celda"/>
            </w:pPr>
            <w:r>
              <w:rPr>
                <w:b/>
              </w:rPr>
              <w:t xml:space="preserve">Quién la verifica</w:t>
            </w:r>
          </w:p>
        </w:tc>
        <w:tc>
          <w:tcPr>
            <w:tcW w:w="4819" w:type="dxa"/>
          </w:tcPr>
          <w:p>
            <w:pPr>
              <w:pStyle w:val="Celda"/>
            </w:pPr>
            <w:r>
              <w:t xml:space="preserve">Lite: oficina de IA. Enterprise: auditor de IA.</w:t>
            </w:r>
          </w:p>
        </w:tc>
      </w:tr>
      <w:tr>
        <w:tc>
          <w:tcPr>
            <w:tcW w:w="4819" w:type="dxa"/>
          </w:tcPr>
          <w:p>
            <w:pPr>
              <w:pStyle w:val="Celda"/>
            </w:pPr>
            <w:r>
              <w:rPr>
                <w:b/>
              </w:rPr>
              <w:t xml:space="preserve">Quién decide</w:t>
            </w:r>
          </w:p>
        </w:tc>
        <w:tc>
          <w:tcPr>
            <w:tcW w:w="4819" w:type="dxa"/>
          </w:tcPr>
          <w:p>
            <w:pPr>
              <w:pStyle w:val="Celda"/>
            </w:pPr>
            <w:r>
              <w:t xml:space="preserve">Lite: responsable técnico con conformidad de riesgos (01 §7.5). Enterprise: comité de IA.</w:t>
            </w:r>
          </w:p>
        </w:tc>
      </w:tr>
      <w:tr>
        <w:tc>
          <w:tcPr>
            <w:tcW w:w="4819" w:type="dxa"/>
          </w:tcPr>
          <w:p>
            <w:pPr>
              <w:pStyle w:val="Celda"/>
            </w:pPr>
            <w:r>
              <w:rPr>
                <w:b/>
              </w:rPr>
              <w:t xml:space="preserve">Gate en que se revisa</w:t>
            </w:r>
          </w:p>
        </w:tc>
        <w:tc>
          <w:tcPr>
            <w:tcW w:w="4819" w:type="dxa"/>
          </w:tcPr>
          <w:p>
            <w:pPr>
              <w:pStyle w:val="Celda"/>
            </w:pPr>
            <w:r>
              <w:t xml:space="preserve">G4 · Diseño. Se comprueba de nuevo en G5 (lo construido coincide con lo diseñado) y en R6 (cambios).</w:t>
            </w:r>
          </w:p>
        </w:tc>
      </w:tr>
      <w:tr>
        <w:tc>
          <w:tcPr>
            <w:tcW w:w="4819" w:type="dxa"/>
          </w:tcPr>
          <w:p>
            <w:pPr>
              <w:pStyle w:val="Celda"/>
            </w:pPr>
            <w:r>
              <w:rPr>
                <w:b/>
              </w:rPr>
              <w:t xml:space="preserve">Herramienta</w:t>
            </w:r>
          </w:p>
        </w:tc>
        <w:tc>
          <w:tcPr>
            <w:tcW w:w="4819" w:type="dxa"/>
          </w:tcPr>
          <w:p>
            <w:pPr>
              <w:pStyle w:val="Celda"/>
            </w:pPr>
            <w:r>
              <w:t xml:space="preserve">No tiene herramienta propia; se enlaza como evidencia en T03.</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y bloques marcados </w:t>
            </w:r>
            <w:r>
              <w:rPr>
                <w:b/>
              </w:rPr>
              <w:t xml:space="preserve">(Enterprise)</w:t>
            </w:r>
            <w:r>
              <w:t xml:space="preserve">. La visión general, los componentes, las decisiones y la trazabilidad de controles son obligatorios en ambas.</w:t>
            </w:r>
          </w:p>
        </w:tc>
      </w:tr>
    </w:tbl>
    <w:p>
      <w:pPr>
        <w:pStyle w:val="Espacio"/>
      </w:pPr>
    </w:p>
    <w:p>
      <w:r>
        <w:t xml:space="preserve">Reglas de cumplimentación:</w:t>
      </w:r>
    </w:p>
    <w:p>
      <w:pPr>
        <w:pStyle w:val="Lista"/>
      </w:pPr>
      <w:r>
        <w:t xml:space="preserve">• La arquitectura debe cubrir los </w:t>
      </w:r>
      <w:r>
        <w:rPr>
          <w:b/>
        </w:rPr>
        <w:t xml:space="preserve">controles exigidos por la clasificación de riesgo</w:t>
      </w:r>
      <w:r>
        <w:t xml:space="preserve"> y los riesgos de la fase 3 deben tener </w:t>
      </w:r>
      <w:r>
        <w:rPr>
          <w:b/>
        </w:rPr>
        <w:t xml:space="preserve">control diseñado</w:t>
      </w:r>
      <w:r>
        <w:t xml:space="preserve"> (01 §6.6).</w:t>
      </w:r>
    </w:p>
    <w:p>
      <w:pPr>
        <w:pStyle w:val="Lista"/>
      </w:pPr>
      <w:r>
        <w:t xml:space="preserve">• Debe existir un </w:t>
      </w:r>
      <w:r>
        <w:rPr>
          <w:b/>
        </w:rPr>
        <w:t xml:space="preserve">mecanismo de parada</w:t>
      </w:r>
      <w:r>
        <w:t xml:space="preserve"> y una vía de reversión (P19).</w:t>
      </w:r>
    </w:p>
    <w:p>
      <w:pPr>
        <w:pStyle w:val="Lista"/>
      </w:pPr>
      <w:r>
        <w:t xml:space="preserve">• Los diagramas se adjuntan como fichero enlazado o como bloque Mermaid; no se dibujan en texto.</w:t>
      </w:r>
    </w:p>
    <w:p>
      <w:pPr>
        <w:pStyle w:val="Lista"/>
      </w:pPr>
      <w:r>
        <w:t xml:space="preserve">• Este registro resume y enlaza: el linaje de datos y modelos va en P16, la supervisión humana en P17, la seguridad en P18, la reversión en P19 y la monitorización en P25.</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Sistemas de IA cubiertos</w:t>
            </w:r>
          </w:p>
        </w:tc>
        <w:tc>
          <w:tcPr>
            <w:tcW w:w="3213" w:type="dxa"/>
          </w:tcPr>
          <w:p>
            <w:pPr>
              <w:pStyle w:val="Celda"/>
            </w:pPr>
          </w:p>
        </w:tc>
        <w:tc>
          <w:tcPr>
            <w:tcW w:w="3213" w:type="dxa"/>
          </w:tcPr>
          <w:p>
            <w:pPr>
              <w:pStyle w:val="Celda"/>
            </w:pPr>
            <w:r>
              <w:t xml:space="preserve">Códigos de P05.</w:t>
            </w:r>
          </w:p>
        </w:tc>
      </w:tr>
      <w:tr>
        <w:tc>
          <w:tcPr>
            <w:tcW w:w="3213" w:type="dxa"/>
          </w:tcPr>
          <w:p>
            <w:pPr>
              <w:pStyle w:val="Celda"/>
            </w:pPr>
            <w:r>
              <w:t xml:space="preserve">Clasificación regulatoria e intensidad</w:t>
            </w:r>
          </w:p>
        </w:tc>
        <w:tc>
          <w:tcPr>
            <w:tcW w:w="3213" w:type="dxa"/>
          </w:tcPr>
          <w:p>
            <w:pPr>
              <w:pStyle w:val="Celda"/>
            </w:pPr>
          </w:p>
        </w:tc>
        <w:tc>
          <w:tcPr>
            <w:tcW w:w="3213" w:type="dxa"/>
          </w:tcPr>
          <w:p>
            <w:pPr>
              <w:pStyle w:val="Celda"/>
            </w:pPr>
            <w:r>
              <w:t xml:space="preserve">De P11 y P04.</w:t>
            </w:r>
          </w:p>
        </w:tc>
      </w:tr>
      <w:tr>
        <w:tc>
          <w:tcPr>
            <w:tcW w:w="3213" w:type="dxa"/>
          </w:tcPr>
          <w:p>
            <w:pPr>
              <w:pStyle w:val="Celda"/>
            </w:pPr>
            <w:r>
              <w:t xml:space="preserve">Nivel de autonomía</w:t>
            </w:r>
          </w:p>
        </w:tc>
        <w:tc>
          <w:tcPr>
            <w:tcW w:w="3213" w:type="dxa"/>
          </w:tcPr>
          <w:p>
            <w:pPr>
              <w:pStyle w:val="Celda"/>
            </w:pPr>
          </w:p>
        </w:tc>
        <w:tc>
          <w:tcPr>
            <w:tcW w:w="3213" w:type="dxa"/>
          </w:tcPr>
          <w:p>
            <w:pPr>
              <w:pStyle w:val="Celda"/>
            </w:pPr>
            <w:r>
              <w:t xml:space="preserve">A0 · A1 · A2 · A3.</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Nombre y rol.</w:t>
            </w:r>
          </w:p>
        </w:tc>
      </w:tr>
    </w:tbl>
    <w:p>
      <w:pPr>
        <w:pStyle w:val="Espacio"/>
      </w:pPr>
    </w:p>
    <w:p>
      <w:pPr>
        <w:pStyle w:val="Separador"/>
      </w:pPr>
    </w:p>
    <w:p>
      <w:pPr>
        <w:pStyle w:val="Heading1"/>
      </w:pPr>
      <w:r>
        <w:t xml:space="preserve">3. Visión general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Descripción de la solución</w:t>
            </w:r>
          </w:p>
        </w:tc>
        <w:tc>
          <w:tcPr>
            <w:tcW w:w="3213" w:type="dxa"/>
          </w:tcPr>
          <w:p>
            <w:pPr>
              <w:pStyle w:val="Celda"/>
            </w:pPr>
          </w:p>
        </w:tc>
        <w:tc>
          <w:tcPr>
            <w:tcW w:w="3213" w:type="dxa"/>
          </w:tcPr>
          <w:p>
            <w:pPr>
              <w:pStyle w:val="Celda"/>
            </w:pPr>
            <w:r>
              <w:t xml:space="preserve">Qué hace, para quién y cómo se integra en el proceso, en lenguaje comprensible.</w:t>
            </w:r>
          </w:p>
        </w:tc>
      </w:tr>
      <w:tr>
        <w:tc>
          <w:tcPr>
            <w:tcW w:w="3213" w:type="dxa"/>
          </w:tcPr>
          <w:p>
            <w:pPr>
              <w:pStyle w:val="Celda"/>
            </w:pPr>
            <w:r>
              <w:t xml:space="preserve">Diagrama de contexto</w:t>
            </w:r>
          </w:p>
        </w:tc>
        <w:tc>
          <w:tcPr>
            <w:tcW w:w="3213" w:type="dxa"/>
          </w:tcPr>
          <w:p>
            <w:pPr>
              <w:pStyle w:val="Celda"/>
            </w:pPr>
          </w:p>
        </w:tc>
        <w:tc>
          <w:tcPr>
            <w:tcW w:w="3213" w:type="dxa"/>
          </w:tcPr>
          <w:p>
            <w:pPr>
              <w:pStyle w:val="Celda"/>
            </w:pPr>
            <w:r>
              <w:t xml:space="preserve">Enlace al diagrama: usuarios, sistemas externos, proveedores y límites de la solución.</w:t>
            </w:r>
          </w:p>
        </w:tc>
      </w:tr>
      <w:tr>
        <w:tc>
          <w:tcPr>
            <w:tcW w:w="3213" w:type="dxa"/>
          </w:tcPr>
          <w:p>
            <w:pPr>
              <w:pStyle w:val="Celda"/>
            </w:pPr>
            <w:r>
              <w:t xml:space="preserve">Diagrama de componentes</w:t>
            </w:r>
          </w:p>
        </w:tc>
        <w:tc>
          <w:tcPr>
            <w:tcW w:w="3213" w:type="dxa"/>
          </w:tcPr>
          <w:p>
            <w:pPr>
              <w:pStyle w:val="Celda"/>
            </w:pPr>
          </w:p>
        </w:tc>
        <w:tc>
          <w:tcPr>
            <w:tcW w:w="3213" w:type="dxa"/>
          </w:tcPr>
          <w:p>
            <w:pPr>
              <w:pStyle w:val="Celda"/>
            </w:pPr>
            <w:r>
              <w:t xml:space="preserve">Enlace al diagrama de componentes y flujos principales.</w:t>
            </w:r>
          </w:p>
        </w:tc>
      </w:tr>
      <w:tr>
        <w:tc>
          <w:tcPr>
            <w:tcW w:w="3213" w:type="dxa"/>
          </w:tcPr>
          <w:p>
            <w:pPr>
              <w:pStyle w:val="Celda"/>
            </w:pPr>
            <w:r>
              <w:t xml:space="preserve">Alcance de esta versión</w:t>
            </w:r>
          </w:p>
        </w:tc>
        <w:tc>
          <w:tcPr>
            <w:tcW w:w="3213" w:type="dxa"/>
          </w:tcPr>
          <w:p>
            <w:pPr>
              <w:pStyle w:val="Celda"/>
            </w:pPr>
          </w:p>
        </w:tc>
        <w:tc>
          <w:tcPr>
            <w:tcW w:w="3213" w:type="dxa"/>
          </w:tcPr>
          <w:p>
            <w:pPr>
              <w:pStyle w:val="Celda"/>
            </w:pPr>
            <w:r>
              <w:t xml:space="preserve">Qué incluye el diseño y qué se deja para versiones posteriores.</w:t>
            </w:r>
          </w:p>
        </w:tc>
      </w:tr>
      <w:tr>
        <w:tc>
          <w:tcPr>
            <w:tcW w:w="3213" w:type="dxa"/>
          </w:tcPr>
          <w:p>
            <w:pPr>
              <w:pStyle w:val="Celda"/>
            </w:pPr>
            <w:r>
              <w:t xml:space="preserve">Restricciones de P02 aplicadas</w:t>
            </w:r>
          </w:p>
        </w:tc>
        <w:tc>
          <w:tcPr>
            <w:tcW w:w="3213" w:type="dxa"/>
          </w:tcPr>
          <w:p>
            <w:pPr>
              <w:pStyle w:val="Celda"/>
            </w:pPr>
          </w:p>
        </w:tc>
        <w:tc>
          <w:tcPr>
            <w:tcW w:w="3213" w:type="dxa"/>
          </w:tcPr>
          <w:p>
            <w:pPr>
              <w:pStyle w:val="Celda"/>
            </w:pPr>
            <w:r>
              <w:t xml:space="preserve">Plataformas obligatorias, ubicación de datos, autonomía máxima, líneas rojas.</w:t>
            </w:r>
          </w:p>
        </w:tc>
      </w:tr>
    </w:tbl>
    <w:p>
      <w:pPr>
        <w:pStyle w:val="Espacio"/>
      </w:pPr>
    </w:p>
    <w:p>
      <w:pPr>
        <w:pStyle w:val="Separador"/>
      </w:pPr>
    </w:p>
    <w:p>
      <w:pPr>
        <w:pStyle w:val="Heading1"/>
      </w:pPr>
      <w:r>
        <w:t xml:space="preserve">4. Componentes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Componente</w:t>
            </w:r>
          </w:p>
        </w:tc>
        <w:tc>
          <w:tcPr>
            <w:tcW w:w="1205" w:type="dxa"/>
            <w:shd w:val="clear" w:color="auto" w:fill="F2DFCE"/>
          </w:tcPr>
          <w:p>
            <w:pPr>
              <w:pStyle w:val="Celda"/>
            </w:pPr>
            <w:r>
              <w:rPr>
                <w:b/>
              </w:rPr>
              <w:t xml:space="preserve">Función</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Proveedor o equipo</w:t>
            </w:r>
          </w:p>
        </w:tc>
        <w:tc>
          <w:tcPr>
            <w:tcW w:w="1205" w:type="dxa"/>
            <w:shd w:val="clear" w:color="auto" w:fill="F2DFCE"/>
          </w:tcPr>
          <w:p>
            <w:pPr>
              <w:pStyle w:val="Celda"/>
            </w:pPr>
            <w:r>
              <w:rPr>
                <w:b/>
              </w:rPr>
              <w:t xml:space="preserve">Versión</w:t>
            </w:r>
          </w:p>
        </w:tc>
        <w:tc>
          <w:tcPr>
            <w:tcW w:w="1205" w:type="dxa"/>
            <w:shd w:val="clear" w:color="auto" w:fill="F2DFCE"/>
          </w:tcPr>
          <w:p>
            <w:pPr>
              <w:pStyle w:val="Celda"/>
            </w:pPr>
            <w:r>
              <w:rPr>
                <w:b/>
              </w:rPr>
              <w:t xml:space="preserve">Entorno de alojamiento</w:t>
            </w:r>
          </w:p>
        </w:tc>
        <w:tc>
          <w:tcPr>
            <w:tcW w:w="1205" w:type="dxa"/>
            <w:shd w:val="clear" w:color="auto" w:fill="F2DFCE"/>
          </w:tcPr>
          <w:p>
            <w:pPr>
              <w:pStyle w:val="Celda"/>
            </w:pPr>
            <w:r>
              <w:rPr>
                <w:b/>
              </w:rPr>
              <w:t xml:space="preserve">Datos que trata</w:t>
            </w:r>
          </w:p>
        </w:tc>
        <w:tc>
          <w:tcPr>
            <w:tcW w:w="1205" w:type="dxa"/>
            <w:shd w:val="clear" w:color="auto" w:fill="F2DFCE"/>
          </w:tcPr>
          <w:p>
            <w:pPr>
              <w:pStyle w:val="Celda"/>
            </w:pPr>
            <w:r>
              <w:rPr>
                <w:b/>
              </w:rPr>
              <w:t xml:space="preserve">Criticidad</w:t>
            </w:r>
          </w:p>
        </w:tc>
      </w:tr>
      <w:tr>
        <w:tc>
          <w:tcPr>
            <w:tcW w:w="1205" w:type="dxa"/>
          </w:tcPr>
          <w:p>
            <w:pPr>
              <w:pStyle w:val="Celda"/>
            </w:pPr>
          </w:p>
        </w:tc>
        <w:tc>
          <w:tcPr>
            <w:tcW w:w="1205" w:type="dxa"/>
          </w:tcPr>
          <w:p>
            <w:pPr>
              <w:pStyle w:val="Celda"/>
            </w:pPr>
          </w:p>
        </w:tc>
        <w:tc>
          <w:tcPr>
            <w:tcW w:w="1205" w:type="dxa"/>
          </w:tcPr>
          <w:p>
            <w:pPr>
              <w:pStyle w:val="Celda"/>
            </w:pPr>
            <w:r>
              <w:t xml:space="preserve">Modelo · Orquestación · Datos · Integración · Interfaz · Control · Monitorización</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Baja · Media · Alta</w:t>
            </w:r>
          </w:p>
        </w:tc>
      </w:tr>
      <w:tr>
        <w:tc>
          <w:tcPr>
            <w:tcW w:w="1205" w:type="dxa"/>
          </w:tcPr>
          <w:p>
            <w:pPr>
              <w:pStyle w:val="Celda"/>
            </w:pPr>
            <w:r>
              <w:rPr>
                <w:i/>
              </w:rPr>
              <w:t xml:space="preserve">(ejemplo ilustrativo)</w:t>
            </w:r>
            <w:r>
              <w:t xml:space="preserve"> Modelo de lenguaje</w:t>
            </w:r>
          </w:p>
        </w:tc>
        <w:tc>
          <w:tcPr>
            <w:tcW w:w="1205" w:type="dxa"/>
          </w:tcPr>
          <w:p>
            <w:pPr>
              <w:pStyle w:val="Celda"/>
            </w:pPr>
            <w:r>
              <w:t xml:space="preserve">Redactar respuestas a partir de la información del pedido</w:t>
            </w:r>
          </w:p>
        </w:tc>
        <w:tc>
          <w:tcPr>
            <w:tcW w:w="1205" w:type="dxa"/>
          </w:tcPr>
          <w:p>
            <w:pPr>
              <w:pStyle w:val="Celda"/>
            </w:pPr>
            <w:r>
              <w:t xml:space="preserve">Modelo</w:t>
            </w:r>
          </w:p>
        </w:tc>
        <w:tc>
          <w:tcPr>
            <w:tcW w:w="1205" w:type="dxa"/>
          </w:tcPr>
          <w:p>
            <w:pPr>
              <w:pStyle w:val="Celda"/>
            </w:pPr>
            <w:r>
              <w:t xml:space="preserve">Proveedor X (P14, N2)</w:t>
            </w:r>
          </w:p>
        </w:tc>
        <w:tc>
          <w:tcPr>
            <w:tcW w:w="1205" w:type="dxa"/>
          </w:tcPr>
          <w:p>
            <w:pPr>
              <w:pStyle w:val="Celda"/>
            </w:pPr>
            <w:r>
              <w:t xml:space="preserve">Versión fijada por contrato</w:t>
            </w:r>
          </w:p>
        </w:tc>
        <w:tc>
          <w:tcPr>
            <w:tcW w:w="1205" w:type="dxa"/>
          </w:tcPr>
          <w:p>
            <w:pPr>
              <w:pStyle w:val="Celda"/>
            </w:pPr>
            <w:r>
              <w:t xml:space="preserve">Nube del proveedor, región de la UE</w:t>
            </w:r>
          </w:p>
        </w:tc>
        <w:tc>
          <w:tcPr>
            <w:tcW w:w="1205" w:type="dxa"/>
          </w:tcPr>
          <w:p>
            <w:pPr>
              <w:pStyle w:val="Celda"/>
            </w:pPr>
            <w:r>
              <w:t xml:space="preserve">Texto de la consulta y datos del pedido</w:t>
            </w:r>
          </w:p>
        </w:tc>
        <w:tc>
          <w:tcPr>
            <w:tcW w:w="1205" w:type="dxa"/>
          </w:tcPr>
          <w:p>
            <w:pPr>
              <w:pStyle w:val="Celda"/>
            </w:pPr>
            <w:r>
              <w:t xml:space="preserve">Alta</w:t>
            </w:r>
          </w:p>
        </w:tc>
      </w:tr>
      <w:tr>
        <w:tc>
          <w:tcPr>
            <w:tcW w:w="1205" w:type="dxa"/>
          </w:tcPr>
          <w:p>
            <w:pPr>
              <w:pStyle w:val="Celda"/>
            </w:pPr>
            <w:r>
              <w:rPr>
                <w:i/>
              </w:rPr>
              <w:t xml:space="preserve">(ejemplo ilustrativo)</w:t>
            </w:r>
            <w:r>
              <w:t xml:space="preserve"> Servicio de consulta de pedidos</w:t>
            </w:r>
          </w:p>
        </w:tc>
        <w:tc>
          <w:tcPr>
            <w:tcW w:w="1205" w:type="dxa"/>
          </w:tcPr>
          <w:p>
            <w:pPr>
              <w:pStyle w:val="Celda"/>
            </w:pPr>
            <w:r>
              <w:t xml:space="preserve">Devolver solo los pedidos del cliente autenticado</w:t>
            </w:r>
          </w:p>
        </w:tc>
        <w:tc>
          <w:tcPr>
            <w:tcW w:w="1205" w:type="dxa"/>
          </w:tcPr>
          <w:p>
            <w:pPr>
              <w:pStyle w:val="Celda"/>
            </w:pPr>
            <w:r>
              <w:t xml:space="preserve">Integración</w:t>
            </w:r>
          </w:p>
        </w:tc>
        <w:tc>
          <w:tcPr>
            <w:tcW w:w="1205" w:type="dxa"/>
          </w:tcPr>
          <w:p>
            <w:pPr>
              <w:pStyle w:val="Celda"/>
            </w:pPr>
            <w:r>
              <w:t xml:space="preserve">Equipo interno</w:t>
            </w:r>
          </w:p>
        </w:tc>
        <w:tc>
          <w:tcPr>
            <w:tcW w:w="1205" w:type="dxa"/>
          </w:tcPr>
          <w:p>
            <w:pPr>
              <w:pStyle w:val="Celda"/>
            </w:pPr>
            <w:r>
              <w:t xml:space="preserve">1.0</w:t>
            </w:r>
          </w:p>
        </w:tc>
        <w:tc>
          <w:tcPr>
            <w:tcW w:w="1205" w:type="dxa"/>
          </w:tcPr>
          <w:p>
            <w:pPr>
              <w:pStyle w:val="Celda"/>
            </w:pPr>
            <w:r>
              <w:t xml:space="preserve">Nube corporativa</w:t>
            </w:r>
          </w:p>
        </w:tc>
        <w:tc>
          <w:tcPr>
            <w:tcW w:w="1205" w:type="dxa"/>
          </w:tcPr>
          <w:p>
            <w:pPr>
              <w:pStyle w:val="Celda"/>
            </w:pPr>
            <w:r>
              <w:t xml:space="preserve">Datos del pedido</w:t>
            </w:r>
          </w:p>
        </w:tc>
        <w:tc>
          <w:tcPr>
            <w:tcW w:w="1205" w:type="dxa"/>
          </w:tcPr>
          <w:p>
            <w:pPr>
              <w:pStyle w:val="Celda"/>
            </w:pPr>
            <w:r>
              <w:t xml:space="preserve">Alta</w:t>
            </w:r>
          </w:p>
        </w:tc>
      </w:tr>
      <w:tr>
        <w:tc>
          <w:tcPr>
            <w:tcW w:w="1205" w:type="dxa"/>
          </w:tcPr>
          <w:p>
            <w:pPr>
              <w:pStyle w:val="Celda"/>
            </w:pPr>
            <w:r>
              <w:rPr>
                <w:i/>
              </w:rPr>
              <w:t xml:space="preserve">(ejemplo ilustrativo)</w:t>
            </w:r>
            <w:r>
              <w:t xml:space="preserve"> Filtro de salida</w:t>
            </w:r>
          </w:p>
        </w:tc>
        <w:tc>
          <w:tcPr>
            <w:tcW w:w="1205" w:type="dxa"/>
          </w:tcPr>
          <w:p>
            <w:pPr>
              <w:pStyle w:val="Celda"/>
            </w:pPr>
            <w:r>
              <w:t xml:space="preserve">Bloquear datos personales ajenos al cliente</w:t>
            </w:r>
          </w:p>
        </w:tc>
        <w:tc>
          <w:tcPr>
            <w:tcW w:w="1205" w:type="dxa"/>
          </w:tcPr>
          <w:p>
            <w:pPr>
              <w:pStyle w:val="Celda"/>
            </w:pPr>
            <w:r>
              <w:t xml:space="preserve">Control</w:t>
            </w:r>
          </w:p>
        </w:tc>
        <w:tc>
          <w:tcPr>
            <w:tcW w:w="1205" w:type="dxa"/>
          </w:tcPr>
          <w:p>
            <w:pPr>
              <w:pStyle w:val="Celda"/>
            </w:pPr>
            <w:r>
              <w:t xml:space="preserve">Equipo interno</w:t>
            </w:r>
          </w:p>
        </w:tc>
        <w:tc>
          <w:tcPr>
            <w:tcW w:w="1205" w:type="dxa"/>
          </w:tcPr>
          <w:p>
            <w:pPr>
              <w:pStyle w:val="Celda"/>
            </w:pPr>
            <w:r>
              <w:t xml:space="preserve">1.0</w:t>
            </w:r>
          </w:p>
        </w:tc>
        <w:tc>
          <w:tcPr>
            <w:tcW w:w="1205" w:type="dxa"/>
          </w:tcPr>
          <w:p>
            <w:pPr>
              <w:pStyle w:val="Celda"/>
            </w:pPr>
            <w:r>
              <w:t xml:space="preserve">Nube corporativa</w:t>
            </w:r>
          </w:p>
        </w:tc>
        <w:tc>
          <w:tcPr>
            <w:tcW w:w="1205" w:type="dxa"/>
          </w:tcPr>
          <w:p>
            <w:pPr>
              <w:pStyle w:val="Celda"/>
            </w:pPr>
            <w:r>
              <w:t xml:space="preserve">Respuesta generada</w:t>
            </w:r>
          </w:p>
        </w:tc>
        <w:tc>
          <w:tcPr>
            <w:tcW w:w="1205" w:type="dxa"/>
          </w:tcPr>
          <w:p>
            <w:pPr>
              <w:pStyle w:val="Celda"/>
            </w:pPr>
            <w:r>
              <w:t xml:space="preserve">Alta</w:t>
            </w:r>
          </w:p>
        </w:tc>
      </w:tr>
    </w:tbl>
    <w:p>
      <w:pPr>
        <w:pStyle w:val="Espacio"/>
      </w:pPr>
    </w:p>
    <w:p>
      <w:pPr>
        <w:pStyle w:val="Separador"/>
      </w:pPr>
    </w:p>
    <w:p>
      <w:pPr>
        <w:pStyle w:val="Heading1"/>
      </w:pPr>
      <w:r>
        <w:t xml:space="preserve">5. Modelos</w:t>
      </w:r>
    </w:p>
    <w:p>
      <w:r>
        <w:t xml:space="preserve">Resumen; el detalle de versiones, datos de entrenamiento y evaluaciones va en P16.</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Modelo</w:t>
            </w:r>
          </w:p>
        </w:tc>
        <w:tc>
          <w:tcPr>
            <w:tcW w:w="1377" w:type="dxa"/>
            <w:shd w:val="clear" w:color="auto" w:fill="F2DFCE"/>
          </w:tcPr>
          <w:p>
            <w:pPr>
              <w:pStyle w:val="Celda"/>
            </w:pPr>
            <w:r>
              <w:rPr>
                <w:b/>
              </w:rPr>
              <w:t xml:space="preserve">Tipo</w:t>
            </w:r>
          </w:p>
        </w:tc>
        <w:tc>
          <w:tcPr>
            <w:tcW w:w="1377" w:type="dxa"/>
            <w:shd w:val="clear" w:color="auto" w:fill="F2DFCE"/>
          </w:tcPr>
          <w:p>
            <w:pPr>
              <w:pStyle w:val="Celda"/>
            </w:pPr>
            <w:r>
              <w:rPr>
                <w:b/>
              </w:rPr>
              <w:t xml:space="preserve">Origen</w:t>
            </w:r>
          </w:p>
        </w:tc>
        <w:tc>
          <w:tcPr>
            <w:tcW w:w="1377" w:type="dxa"/>
            <w:shd w:val="clear" w:color="auto" w:fill="F2DFCE"/>
          </w:tcPr>
          <w:p>
            <w:pPr>
              <w:pStyle w:val="Celda"/>
            </w:pPr>
            <w:r>
              <w:rPr>
                <w:b/>
              </w:rPr>
              <w:t xml:space="preserve">Uso</w:t>
            </w:r>
          </w:p>
        </w:tc>
        <w:tc>
          <w:tcPr>
            <w:tcW w:w="1377" w:type="dxa"/>
            <w:shd w:val="clear" w:color="auto" w:fill="F2DFCE"/>
          </w:tcPr>
          <w:p>
            <w:pPr>
              <w:pStyle w:val="Celda"/>
            </w:pPr>
            <w:r>
              <w:rPr>
                <w:b/>
              </w:rPr>
              <w:t xml:space="preserve">Criterio de selección</w:t>
            </w:r>
          </w:p>
        </w:tc>
        <w:tc>
          <w:tcPr>
            <w:tcW w:w="1377" w:type="dxa"/>
            <w:shd w:val="clear" w:color="auto" w:fill="F2DFCE"/>
          </w:tcPr>
          <w:p>
            <w:pPr>
              <w:pStyle w:val="Celda"/>
            </w:pPr>
            <w:r>
              <w:rPr>
                <w:b/>
              </w:rPr>
              <w:t xml:space="preserve">Evaluación realizada</w:t>
            </w:r>
          </w:p>
        </w:tc>
        <w:tc>
          <w:tcPr>
            <w:tcW w:w="1377" w:type="dxa"/>
            <w:shd w:val="clear" w:color="auto" w:fill="F2DFCE"/>
          </w:tcPr>
          <w:p>
            <w:pPr>
              <w:pStyle w:val="Celda"/>
            </w:pPr>
            <w:r>
              <w:rPr>
                <w:b/>
              </w:rPr>
              <w:t xml:space="preserve">Sustituto previsto</w:t>
            </w:r>
          </w:p>
        </w:tc>
      </w:tr>
      <w:tr>
        <w:tc>
          <w:tcPr>
            <w:tcW w:w="1377" w:type="dxa"/>
          </w:tcPr>
          <w:p>
            <w:pPr>
              <w:pStyle w:val="Celda"/>
            </w:pPr>
          </w:p>
        </w:tc>
        <w:tc>
          <w:tcPr>
            <w:tcW w:w="1377" w:type="dxa"/>
          </w:tcPr>
          <w:p>
            <w:pPr>
              <w:pStyle w:val="Celda"/>
            </w:pPr>
            <w:r>
              <w:t xml:space="preserve">ML predictivo · IA generativa · Agente · Otro</w:t>
            </w:r>
          </w:p>
        </w:tc>
        <w:tc>
          <w:tcPr>
            <w:tcW w:w="1377" w:type="dxa"/>
          </w:tcPr>
          <w:p>
            <w:pPr>
              <w:pStyle w:val="Celda"/>
            </w:pPr>
            <w:r>
              <w:t xml:space="preserve">Propio · Terceros · Código abierto</w:t>
            </w:r>
          </w:p>
        </w:tc>
        <w:tc>
          <w:tcPr>
            <w:tcW w:w="1377" w:type="dxa"/>
          </w:tcPr>
          <w:p>
            <w:pPr>
              <w:pStyle w:val="Celda"/>
            </w:pPr>
          </w:p>
        </w:tc>
        <w:tc>
          <w:tcPr>
            <w:tcW w:w="1377" w:type="dxa"/>
          </w:tcPr>
          <w:p>
            <w:pPr>
              <w:pStyle w:val="Celda"/>
            </w:pPr>
          </w:p>
        </w:tc>
        <w:tc>
          <w:tcPr>
            <w:tcW w:w="1377" w:type="dxa"/>
          </w:tcPr>
          <w:p>
            <w:pPr>
              <w:pStyle w:val="Celda"/>
            </w:pPr>
            <w:r>
              <w:t xml:space="preserve">Métricas y fecha</w:t>
            </w:r>
          </w:p>
        </w:tc>
        <w:tc>
          <w:tcPr>
            <w:tcW w:w="1377" w:type="dxa"/>
          </w:tcPr>
          <w:p>
            <w:pPr>
              <w:pStyle w:val="Celda"/>
            </w:pPr>
          </w:p>
        </w:tc>
      </w:tr>
    </w:tbl>
    <w:p>
      <w:pPr>
        <w:pStyle w:val="Espacio"/>
      </w:pPr>
    </w:p>
    <w:p>
      <w:pPr>
        <w:pStyle w:val="Separador"/>
      </w:pPr>
    </w:p>
    <w:p>
      <w:pPr>
        <w:pStyle w:val="Heading1"/>
      </w:pPr>
      <w:r>
        <w:t xml:space="preserve">6. Flujos de datos e integraciones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Flujo</w:t>
            </w:r>
          </w:p>
        </w:tc>
        <w:tc>
          <w:tcPr>
            <w:tcW w:w="1377" w:type="dxa"/>
            <w:shd w:val="clear" w:color="auto" w:fill="F2DFCE"/>
          </w:tcPr>
          <w:p>
            <w:pPr>
              <w:pStyle w:val="Celda"/>
            </w:pPr>
            <w:r>
              <w:rPr>
                <w:b/>
              </w:rPr>
              <w:t xml:space="preserve">Origen</w:t>
            </w:r>
          </w:p>
        </w:tc>
        <w:tc>
          <w:tcPr>
            <w:tcW w:w="1377" w:type="dxa"/>
            <w:shd w:val="clear" w:color="auto" w:fill="F2DFCE"/>
          </w:tcPr>
          <w:p>
            <w:pPr>
              <w:pStyle w:val="Celda"/>
            </w:pPr>
            <w:r>
              <w:rPr>
                <w:b/>
              </w:rPr>
              <w:t xml:space="preserve">Destino</w:t>
            </w:r>
          </w:p>
        </w:tc>
        <w:tc>
          <w:tcPr>
            <w:tcW w:w="1377" w:type="dxa"/>
            <w:shd w:val="clear" w:color="auto" w:fill="F2DFCE"/>
          </w:tcPr>
          <w:p>
            <w:pPr>
              <w:pStyle w:val="Celda"/>
            </w:pPr>
            <w:r>
              <w:rPr>
                <w:b/>
              </w:rPr>
              <w:t xml:space="preserve">Datos</w:t>
            </w:r>
          </w:p>
        </w:tc>
        <w:tc>
          <w:tcPr>
            <w:tcW w:w="1377" w:type="dxa"/>
            <w:shd w:val="clear" w:color="auto" w:fill="F2DFCE"/>
          </w:tcPr>
          <w:p>
            <w:pPr>
              <w:pStyle w:val="Celda"/>
            </w:pPr>
            <w:r>
              <w:rPr>
                <w:b/>
              </w:rPr>
              <w:t xml:space="preserve">Frecuencia</w:t>
            </w:r>
          </w:p>
        </w:tc>
        <w:tc>
          <w:tcPr>
            <w:tcW w:w="1377" w:type="dxa"/>
            <w:shd w:val="clear" w:color="auto" w:fill="F2DFCE"/>
          </w:tcPr>
          <w:p>
            <w:pPr>
              <w:pStyle w:val="Celda"/>
            </w:pPr>
            <w:r>
              <w:rPr>
                <w:b/>
              </w:rPr>
              <w:t xml:space="preserve">Protección en tránsito</w:t>
            </w:r>
          </w:p>
        </w:tc>
        <w:tc>
          <w:tcPr>
            <w:tcW w:w="1377" w:type="dxa"/>
            <w:shd w:val="clear" w:color="auto" w:fill="F2DFCE"/>
          </w:tcPr>
          <w:p>
            <w:pPr>
              <w:pStyle w:val="Celda"/>
            </w:pPr>
            <w:r>
              <w:rPr>
                <w:b/>
              </w:rPr>
              <w:t xml:space="preserve">Transferencia fuera del EEE</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Tiempo real · Por lotes</w:t>
            </w:r>
          </w:p>
        </w:tc>
        <w:tc>
          <w:tcPr>
            <w:tcW w:w="1377" w:type="dxa"/>
          </w:tcPr>
          <w:p>
            <w:pPr>
              <w:pStyle w:val="Celda"/>
            </w:pPr>
          </w:p>
        </w:tc>
        <w:tc>
          <w:tcPr>
            <w:tcW w:w="1377" w:type="dxa"/>
          </w:tcPr>
          <w:p>
            <w:pPr>
              <w:pStyle w:val="Celda"/>
            </w:pPr>
            <w:r>
              <w:t xml:space="preserve">Sí · No</w:t>
            </w:r>
          </w:p>
        </w:tc>
      </w:tr>
    </w:tbl>
    <w:p>
      <w:pPr>
        <w:pStyle w:val="Espacio"/>
      </w:pPr>
    </w:p>
    <w:p>
      <w:r>
        <w:t xml:space="preserve">Detalle de fuentes, transformaciones y versiones en P16.</w:t>
      </w:r>
    </w:p>
    <w:p>
      <w:pPr>
        <w:pStyle w:val="Separador"/>
      </w:pPr>
    </w:p>
    <w:p>
      <w:pPr>
        <w:pStyle w:val="Heading1"/>
      </w:pPr>
      <w:r>
        <w:t xml:space="preserve">7. Decisiones de arquitectura</w:t>
      </w:r>
    </w:p>
    <w:p>
      <w:r>
        <w:t xml:space="preserve">Una fila por decisión relevante. Las decisiones no se borran: si se sustituyen, se marca la anterior como sustituida.</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Nº</w:t>
            </w:r>
          </w:p>
        </w:tc>
        <w:tc>
          <w:tcPr>
            <w:tcW w:w="1205" w:type="dxa"/>
            <w:shd w:val="clear" w:color="auto" w:fill="F2DFCE"/>
          </w:tcPr>
          <w:p>
            <w:pPr>
              <w:pStyle w:val="Celda"/>
            </w:pPr>
            <w:r>
              <w:rPr>
                <w:b/>
              </w:rPr>
              <w:t xml:space="preserve">Decisión</w:t>
            </w:r>
          </w:p>
        </w:tc>
        <w:tc>
          <w:tcPr>
            <w:tcW w:w="1205" w:type="dxa"/>
            <w:shd w:val="clear" w:color="auto" w:fill="F2DFCE"/>
          </w:tcPr>
          <w:p>
            <w:pPr>
              <w:pStyle w:val="Celda"/>
            </w:pPr>
            <w:r>
              <w:rPr>
                <w:b/>
              </w:rPr>
              <w:t xml:space="preserve">Contexto</w:t>
            </w:r>
          </w:p>
        </w:tc>
        <w:tc>
          <w:tcPr>
            <w:tcW w:w="1205" w:type="dxa"/>
            <w:shd w:val="clear" w:color="auto" w:fill="F2DFCE"/>
          </w:tcPr>
          <w:p>
            <w:pPr>
              <w:pStyle w:val="Celda"/>
            </w:pPr>
            <w:r>
              <w:rPr>
                <w:b/>
              </w:rPr>
              <w:t xml:space="preserve">Alternativas consideradas</w:t>
            </w:r>
          </w:p>
        </w:tc>
        <w:tc>
          <w:tcPr>
            <w:tcW w:w="1205" w:type="dxa"/>
            <w:shd w:val="clear" w:color="auto" w:fill="F2DFCE"/>
          </w:tcPr>
          <w:p>
            <w:pPr>
              <w:pStyle w:val="Celda"/>
            </w:pPr>
            <w:r>
              <w:rPr>
                <w:b/>
              </w:rPr>
              <w:t xml:space="preserve">Motivo de la elección</w:t>
            </w:r>
          </w:p>
        </w:tc>
        <w:tc>
          <w:tcPr>
            <w:tcW w:w="1205" w:type="dxa"/>
            <w:shd w:val="clear" w:color="auto" w:fill="F2DFCE"/>
          </w:tcPr>
          <w:p>
            <w:pPr>
              <w:pStyle w:val="Celda"/>
            </w:pPr>
            <w:r>
              <w:rPr>
                <w:b/>
              </w:rPr>
              <w:t xml:space="preserve">Consecuencias y riesgos</w:t>
            </w:r>
          </w:p>
        </w:tc>
        <w:tc>
          <w:tcPr>
            <w:tcW w:w="1205" w:type="dxa"/>
            <w:shd w:val="clear" w:color="auto" w:fill="F2DFCE"/>
          </w:tcPr>
          <w:p>
            <w:pPr>
              <w:pStyle w:val="Celda"/>
            </w:pPr>
            <w:r>
              <w:rPr>
                <w:b/>
              </w:rPr>
              <w:t xml:space="preserve">Fecha</w:t>
            </w:r>
          </w:p>
        </w:tc>
        <w:tc>
          <w:tcPr>
            <w:tcW w:w="1205" w:type="dxa"/>
            <w:shd w:val="clear" w:color="auto" w:fill="F2DFCE"/>
          </w:tcPr>
          <w:p>
            <w:pPr>
              <w:pStyle w:val="Celda"/>
            </w:pPr>
            <w:r>
              <w:rPr>
                <w:b/>
              </w:rPr>
              <w:t xml:space="preserve">Estado</w:t>
            </w:r>
          </w:p>
        </w:tc>
      </w:tr>
      <w:tr>
        <w:tc>
          <w:tcPr>
            <w:tcW w:w="1205" w:type="dxa"/>
          </w:tcPr>
          <w:p>
            <w:pPr>
              <w:pStyle w:val="Celda"/>
            </w:pPr>
            <w:r>
              <w:t xml:space="preserve">DA-01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Propuesta · Aprobada · Sustituida por DA-NN</w:t>
            </w:r>
          </w:p>
        </w:tc>
      </w:tr>
      <w:tr>
        <w:tc>
          <w:tcPr>
            <w:tcW w:w="1205" w:type="dxa"/>
          </w:tcPr>
          <w:p>
            <w:pPr>
              <w:pStyle w:val="Celda"/>
            </w:pPr>
            <w:r>
              <w:rPr>
                <w:i/>
              </w:rPr>
              <w:t xml:space="preserve">(ejemplo ilustrativo)</w:t>
            </w:r>
            <w:r>
              <w:t xml:space="preserve"> DA-01</w:t>
            </w:r>
          </w:p>
        </w:tc>
        <w:tc>
          <w:tcPr>
            <w:tcW w:w="1205" w:type="dxa"/>
          </w:tcPr>
          <w:p>
            <w:pPr>
              <w:pStyle w:val="Celda"/>
            </w:pPr>
            <w:r>
              <w:t xml:space="preserve">El modelo no accede directamente al sistema de pedidos; recibe solo los datos devueltos por un servicio intermedio.</w:t>
            </w:r>
          </w:p>
        </w:tc>
        <w:tc>
          <w:tcPr>
            <w:tcW w:w="1205" w:type="dxa"/>
          </w:tcPr>
          <w:p>
            <w:pPr>
              <w:pStyle w:val="Celda"/>
            </w:pPr>
            <w:r>
              <w:t xml:space="preserve">Riesgo de fuga de datos de otros clientes (P12, R01).</w:t>
            </w:r>
          </w:p>
        </w:tc>
        <w:tc>
          <w:tcPr>
            <w:tcW w:w="1205" w:type="dxa"/>
          </w:tcPr>
          <w:p>
            <w:pPr>
              <w:pStyle w:val="Celda"/>
            </w:pPr>
            <w:r>
              <w:t xml:space="preserve">Acceso directo del modelo mediante herramienta; recuperación sobre un índice con todos los pedidos.</w:t>
            </w:r>
          </w:p>
        </w:tc>
        <w:tc>
          <w:tcPr>
            <w:tcW w:w="1205" w:type="dxa"/>
          </w:tcPr>
          <w:p>
            <w:pPr>
              <w:pStyle w:val="Celda"/>
            </w:pPr>
            <w:r>
              <w:t xml:space="preserve">Limita por diseño los datos disponibles a los del cliente autenticado.</w:t>
            </w:r>
          </w:p>
        </w:tc>
        <w:tc>
          <w:tcPr>
            <w:tcW w:w="1205" w:type="dxa"/>
          </w:tcPr>
          <w:p>
            <w:pPr>
              <w:pStyle w:val="Celda"/>
            </w:pPr>
            <w:r>
              <w:t xml:space="preserve">Mayor latencia; mantenimiento del servicio intermedio.</w:t>
            </w:r>
          </w:p>
        </w:tc>
        <w:tc>
          <w:tcPr>
            <w:tcW w:w="1205" w:type="dxa"/>
          </w:tcPr>
          <w:p>
            <w:pPr>
              <w:pStyle w:val="Celda"/>
            </w:pPr>
            <w:r>
              <w:t xml:space="preserve">20-01-2027</w:t>
            </w:r>
          </w:p>
        </w:tc>
        <w:tc>
          <w:tcPr>
            <w:tcW w:w="1205" w:type="dxa"/>
          </w:tcPr>
          <w:p>
            <w:pPr>
              <w:pStyle w:val="Celda"/>
            </w:pPr>
            <w:r>
              <w:t xml:space="preserve">Aprobada</w:t>
            </w:r>
          </w:p>
        </w:tc>
      </w:tr>
    </w:tbl>
    <w:p>
      <w:pPr>
        <w:pStyle w:val="Espacio"/>
      </w:pPr>
    </w:p>
    <w:p>
      <w:pPr>
        <w:pStyle w:val="Separador"/>
      </w:pPr>
    </w:p>
    <w:p>
      <w:pPr>
        <w:pStyle w:val="Heading1"/>
      </w:pPr>
      <w:r>
        <w:t xml:space="preserve">8. Trazabilidad de riesgos, obligaciones y controles</w:t>
      </w:r>
    </w:p>
    <w:p>
      <w:r>
        <w:t xml:space="preserve">Cada riesgo de P12 que requiera tratamiento y cada obligación de P11 debe tener al menos un control diseñado.</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Riesgo u obligación</w:t>
            </w:r>
          </w:p>
        </w:tc>
        <w:tc>
          <w:tcPr>
            <w:tcW w:w="1606" w:type="dxa"/>
            <w:shd w:val="clear" w:color="auto" w:fill="F2DFCE"/>
          </w:tcPr>
          <w:p>
            <w:pPr>
              <w:pStyle w:val="Celda"/>
            </w:pPr>
            <w:r>
              <w:rPr>
                <w:b/>
              </w:rPr>
              <w:t xml:space="preserve">Origen</w:t>
            </w:r>
          </w:p>
        </w:tc>
        <w:tc>
          <w:tcPr>
            <w:tcW w:w="1606" w:type="dxa"/>
            <w:shd w:val="clear" w:color="auto" w:fill="F2DFCE"/>
          </w:tcPr>
          <w:p>
            <w:pPr>
              <w:pStyle w:val="Celda"/>
            </w:pPr>
            <w:r>
              <w:rPr>
                <w:b/>
              </w:rPr>
              <w:t xml:space="preserve">Control diseñado</w:t>
            </w:r>
          </w:p>
        </w:tc>
        <w:tc>
          <w:tcPr>
            <w:tcW w:w="1606" w:type="dxa"/>
            <w:shd w:val="clear" w:color="auto" w:fill="F2DFCE"/>
          </w:tcPr>
          <w:p>
            <w:pPr>
              <w:pStyle w:val="Celda"/>
            </w:pPr>
            <w:r>
              <w:rPr>
                <w:b/>
              </w:rPr>
              <w:t xml:space="preserve">Componente</w:t>
            </w:r>
          </w:p>
        </w:tc>
        <w:tc>
          <w:tcPr>
            <w:tcW w:w="1606" w:type="dxa"/>
            <w:shd w:val="clear" w:color="auto" w:fill="F2DFCE"/>
          </w:tcPr>
          <w:p>
            <w:pPr>
              <w:pStyle w:val="Celda"/>
            </w:pPr>
            <w:r>
              <w:rPr>
                <w:b/>
              </w:rPr>
              <w:t xml:space="preserve">Plantilla de detalle</w:t>
            </w:r>
          </w:p>
        </w:tc>
        <w:tc>
          <w:tcPr>
            <w:tcW w:w="1606" w:type="dxa"/>
            <w:shd w:val="clear" w:color="auto" w:fill="F2DFCE"/>
          </w:tcPr>
          <w:p>
            <w:pPr>
              <w:pStyle w:val="Celda"/>
            </w:pPr>
            <w:r>
              <w:rPr>
                <w:b/>
              </w:rPr>
              <w:t xml:space="preserve">Cómo se probará en la fase 5</w:t>
            </w:r>
          </w:p>
        </w:tc>
      </w:tr>
      <w:tr>
        <w:tc>
          <w:tcPr>
            <w:tcW w:w="1606" w:type="dxa"/>
          </w:tcPr>
          <w:p>
            <w:pPr>
              <w:pStyle w:val="Celda"/>
            </w:pPr>
          </w:p>
        </w:tc>
        <w:tc>
          <w:tcPr>
            <w:tcW w:w="1606" w:type="dxa"/>
          </w:tcPr>
          <w:p>
            <w:pPr>
              <w:pStyle w:val="Celda"/>
            </w:pPr>
            <w:r>
              <w:t xml:space="preserve">P12 R.. · P11</w:t>
            </w:r>
          </w:p>
        </w:tc>
        <w:tc>
          <w:tcPr>
            <w:tcW w:w="1606" w:type="dxa"/>
          </w:tcPr>
          <w:p>
            <w:pPr>
              <w:pStyle w:val="Celda"/>
            </w:pPr>
          </w:p>
        </w:tc>
        <w:tc>
          <w:tcPr>
            <w:tcW w:w="1606" w:type="dxa"/>
          </w:tcPr>
          <w:p>
            <w:pPr>
              <w:pStyle w:val="Celda"/>
            </w:pPr>
          </w:p>
        </w:tc>
        <w:tc>
          <w:tcPr>
            <w:tcW w:w="1606" w:type="dxa"/>
          </w:tcPr>
          <w:p>
            <w:pPr>
              <w:pStyle w:val="Celda"/>
            </w:pPr>
            <w:r>
              <w:t xml:space="preserve">P16 · P17 · P18 · P19 · P25</w:t>
            </w:r>
          </w:p>
        </w:tc>
        <w:tc>
          <w:tcPr>
            <w:tcW w:w="1606" w:type="dxa"/>
          </w:tcPr>
          <w:p>
            <w:pPr>
              <w:pStyle w:val="Celda"/>
            </w:pPr>
          </w:p>
        </w:tc>
      </w:tr>
      <w:tr>
        <w:tc>
          <w:tcPr>
            <w:tcW w:w="1606" w:type="dxa"/>
          </w:tcPr>
          <w:p>
            <w:pPr>
              <w:pStyle w:val="Celda"/>
            </w:pPr>
            <w:r>
              <w:rPr>
                <w:i/>
              </w:rPr>
              <w:t xml:space="preserve">(ejemplo ilustrativo)</w:t>
            </w:r>
            <w:r>
              <w:t xml:space="preserve"> Fuga de datos de otro cliente</w:t>
            </w:r>
          </w:p>
        </w:tc>
        <w:tc>
          <w:tcPr>
            <w:tcW w:w="1606" w:type="dxa"/>
          </w:tcPr>
          <w:p>
            <w:pPr>
              <w:pStyle w:val="Celda"/>
            </w:pPr>
            <w:r>
              <w:t xml:space="preserve">P12 R01</w:t>
            </w:r>
          </w:p>
        </w:tc>
        <w:tc>
          <w:tcPr>
            <w:tcW w:w="1606" w:type="dxa"/>
          </w:tcPr>
          <w:p>
            <w:pPr>
              <w:pStyle w:val="Celda"/>
            </w:pPr>
            <w:r>
              <w:t xml:space="preserve">Servicio intermedio con filtrado por cliente autenticado y filtro de salida</w:t>
            </w:r>
          </w:p>
        </w:tc>
        <w:tc>
          <w:tcPr>
            <w:tcW w:w="1606" w:type="dxa"/>
          </w:tcPr>
          <w:p>
            <w:pPr>
              <w:pStyle w:val="Celda"/>
            </w:pPr>
            <w:r>
              <w:t xml:space="preserve">Servicio de consulta de pedidos; filtro de salida</w:t>
            </w:r>
          </w:p>
        </w:tc>
        <w:tc>
          <w:tcPr>
            <w:tcW w:w="1606" w:type="dxa"/>
          </w:tcPr>
          <w:p>
            <w:pPr>
              <w:pStyle w:val="Celda"/>
            </w:pPr>
            <w:r>
              <w:t xml:space="preserve">P18</w:t>
            </w:r>
          </w:p>
        </w:tc>
        <w:tc>
          <w:tcPr>
            <w:tcW w:w="1606" w:type="dxa"/>
          </w:tcPr>
          <w:p>
            <w:pPr>
              <w:pStyle w:val="Celda"/>
            </w:pPr>
            <w:r>
              <w:t xml:space="preserve">300 ataques de inyección sin fugas</w:t>
            </w:r>
          </w:p>
        </w:tc>
      </w:tr>
      <w:tr>
        <w:tc>
          <w:tcPr>
            <w:tcW w:w="1606" w:type="dxa"/>
          </w:tcPr>
          <w:p>
            <w:pPr>
              <w:pStyle w:val="Celda"/>
            </w:pPr>
            <w:r>
              <w:rPr>
                <w:i/>
              </w:rPr>
              <w:t xml:space="preserve">(ejemplo ilustrativo)</w:t>
            </w:r>
            <w:r>
              <w:t xml:space="preserve"> Informar de que se conversa con un sistema de IA</w:t>
            </w:r>
          </w:p>
        </w:tc>
        <w:tc>
          <w:tcPr>
            <w:tcW w:w="1606" w:type="dxa"/>
          </w:tcPr>
          <w:p>
            <w:pPr>
              <w:pStyle w:val="Celda"/>
            </w:pPr>
            <w:r>
              <w:t xml:space="preserve">P11 §10</w:t>
            </w:r>
          </w:p>
        </w:tc>
        <w:tc>
          <w:tcPr>
            <w:tcW w:w="1606" w:type="dxa"/>
          </w:tcPr>
          <w:p>
            <w:pPr>
              <w:pStyle w:val="Celda"/>
            </w:pPr>
            <w:r>
              <w:t xml:space="preserve">Aviso al inicio de cada conversación</w:t>
            </w:r>
          </w:p>
        </w:tc>
        <w:tc>
          <w:tcPr>
            <w:tcW w:w="1606" w:type="dxa"/>
          </w:tcPr>
          <w:p>
            <w:pPr>
              <w:pStyle w:val="Celda"/>
            </w:pPr>
            <w:r>
              <w:t xml:space="preserve">Interfaz</w:t>
            </w:r>
          </w:p>
        </w:tc>
        <w:tc>
          <w:tcPr>
            <w:tcW w:w="1606" w:type="dxa"/>
          </w:tcPr>
          <w:p>
            <w:pPr>
              <w:pStyle w:val="Celda"/>
            </w:pPr>
            <w:r>
              <w:t xml:space="preserve">P17</w:t>
            </w:r>
          </w:p>
        </w:tc>
        <w:tc>
          <w:tcPr>
            <w:tcW w:w="1606" w:type="dxa"/>
          </w:tcPr>
          <w:p>
            <w:pPr>
              <w:pStyle w:val="Celda"/>
            </w:pPr>
            <w:r>
              <w:t xml:space="preserve">Revisión funcional</w:t>
            </w:r>
          </w:p>
        </w:tc>
      </w:tr>
    </w:tbl>
    <w:p>
      <w:pPr>
        <w:pStyle w:val="Espacio"/>
      </w:pPr>
    </w:p>
    <w:p>
      <w:pPr>
        <w:pStyle w:val="Separador"/>
      </w:pPr>
    </w:p>
    <w:p>
      <w:pPr>
        <w:pStyle w:val="Heading1"/>
      </w:pPr>
      <w:r>
        <w:t xml:space="preserve">9. Requisitos no funcionales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Requisito</w:t>
            </w:r>
          </w:p>
        </w:tc>
        <w:tc>
          <w:tcPr>
            <w:tcW w:w="2410" w:type="dxa"/>
            <w:shd w:val="clear" w:color="auto" w:fill="F2DFCE"/>
          </w:tcPr>
          <w:p>
            <w:pPr>
              <w:pStyle w:val="Celda"/>
            </w:pPr>
            <w:r>
              <w:rPr>
                <w:b/>
              </w:rPr>
              <w:t xml:space="preserve">Objetivo</w:t>
            </w:r>
          </w:p>
        </w:tc>
        <w:tc>
          <w:tcPr>
            <w:tcW w:w="2410" w:type="dxa"/>
            <w:shd w:val="clear" w:color="auto" w:fill="F2DFCE"/>
          </w:tcPr>
          <w:p>
            <w:pPr>
              <w:pStyle w:val="Celda"/>
            </w:pPr>
            <w:r>
              <w:rPr>
                <w:b/>
              </w:rPr>
              <w:t xml:space="preserve">Cómo se mide</w:t>
            </w:r>
          </w:p>
        </w:tc>
        <w:tc>
          <w:tcPr>
            <w:tcW w:w="2410" w:type="dxa"/>
            <w:shd w:val="clear" w:color="auto" w:fill="F2DFCE"/>
          </w:tcPr>
          <w:p>
            <w:pPr>
              <w:pStyle w:val="Celda"/>
            </w:pPr>
            <w:r>
              <w:rPr>
                <w:b/>
              </w:rPr>
              <w:t xml:space="preserve">Componente responsable</w:t>
            </w:r>
          </w:p>
        </w:tc>
      </w:tr>
      <w:tr>
        <w:tc>
          <w:tcPr>
            <w:tcW w:w="2410" w:type="dxa"/>
          </w:tcPr>
          <w:p>
            <w:pPr>
              <w:pStyle w:val="Celda"/>
            </w:pPr>
            <w:r>
              <w:t xml:space="preserve">Disponibilidad</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Tiempo de respuesta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Capacidad y volumen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Coste por transacción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Registro de actividad y trazabilidad</w:t>
            </w:r>
          </w:p>
        </w:tc>
        <w:tc>
          <w:tcPr>
            <w:tcW w:w="2410" w:type="dxa"/>
          </w:tcPr>
          <w:p>
            <w:pPr>
              <w:pStyle w:val="Celda"/>
            </w:pPr>
          </w:p>
        </w:tc>
        <w:tc>
          <w:tcPr>
            <w:tcW w:w="2410" w:type="dxa"/>
          </w:tcPr>
          <w:p>
            <w:pPr>
              <w:pStyle w:val="Celda"/>
            </w:pPr>
            <w:r>
              <w:t xml:space="preserve">Qué se registra, dónde y cuánto tiempo se conserva</w:t>
            </w:r>
          </w:p>
        </w:tc>
        <w:tc>
          <w:tcPr>
            <w:tcW w:w="2410" w:type="dxa"/>
          </w:tcPr>
          <w:p>
            <w:pPr>
              <w:pStyle w:val="Celda"/>
            </w:pPr>
          </w:p>
        </w:tc>
      </w:tr>
      <w:tr>
        <w:tc>
          <w:tcPr>
            <w:tcW w:w="2410" w:type="dxa"/>
          </w:tcPr>
          <w:p>
            <w:pPr>
              <w:pStyle w:val="Celda"/>
            </w:pPr>
            <w:r>
              <w:t xml:space="preserve">Accesibilidad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10. Supervisión, seguridad, operación y reversibilidad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Puntos de supervisión humana</w:t>
            </w:r>
          </w:p>
        </w:tc>
        <w:tc>
          <w:tcPr>
            <w:tcW w:w="3213" w:type="dxa"/>
          </w:tcPr>
          <w:p>
            <w:pPr>
              <w:pStyle w:val="Celda"/>
            </w:pPr>
          </w:p>
        </w:tc>
        <w:tc>
          <w:tcPr>
            <w:tcW w:w="3213" w:type="dxa"/>
          </w:tcPr>
          <w:p>
            <w:pPr>
              <w:pStyle w:val="Celda"/>
            </w:pPr>
            <w:r>
              <w:t xml:space="preserve">Dónde interviene una persona y qué no se delega nunca. Detalle en P17.</w:t>
            </w:r>
          </w:p>
        </w:tc>
      </w:tr>
      <w:tr>
        <w:tc>
          <w:tcPr>
            <w:tcW w:w="3213" w:type="dxa"/>
          </w:tcPr>
          <w:p>
            <w:pPr>
              <w:pStyle w:val="Celda"/>
            </w:pPr>
            <w:r>
              <w:t xml:space="preserve">Identidad y permisos del sistema o del agente</w:t>
            </w:r>
          </w:p>
        </w:tc>
        <w:tc>
          <w:tcPr>
            <w:tcW w:w="3213" w:type="dxa"/>
          </w:tcPr>
          <w:p>
            <w:pPr>
              <w:pStyle w:val="Celda"/>
            </w:pPr>
          </w:p>
        </w:tc>
        <w:tc>
          <w:tcPr>
            <w:tcW w:w="3213" w:type="dxa"/>
          </w:tcPr>
          <w:p>
            <w:pPr>
              <w:pStyle w:val="Celda"/>
            </w:pPr>
            <w:r>
              <w:t xml:space="preserve">Cuentas, permisos mínimos, límites de actuación. Detalle en P18.</w:t>
            </w:r>
          </w:p>
        </w:tc>
      </w:tr>
      <w:tr>
        <w:tc>
          <w:tcPr>
            <w:tcW w:w="3213" w:type="dxa"/>
          </w:tcPr>
          <w:p>
            <w:pPr>
              <w:pStyle w:val="Celda"/>
            </w:pPr>
            <w:r>
              <w:t xml:space="preserve">Mecanismo de parada</w:t>
            </w:r>
          </w:p>
        </w:tc>
        <w:tc>
          <w:tcPr>
            <w:tcW w:w="3213" w:type="dxa"/>
          </w:tcPr>
          <w:p>
            <w:pPr>
              <w:pStyle w:val="Celda"/>
            </w:pPr>
          </w:p>
        </w:tc>
        <w:tc>
          <w:tcPr>
            <w:tcW w:w="3213" w:type="dxa"/>
          </w:tcPr>
          <w:p>
            <w:pPr>
              <w:pStyle w:val="Celda"/>
            </w:pPr>
            <w:r>
              <w:t xml:space="preserve">Cómo se detiene el sistema, quién puede hacerlo y en cuánto tiempo.</w:t>
            </w:r>
          </w:p>
        </w:tc>
      </w:tr>
      <w:tr>
        <w:tc>
          <w:tcPr>
            <w:tcW w:w="3213" w:type="dxa"/>
          </w:tcPr>
          <w:p>
            <w:pPr>
              <w:pStyle w:val="Celda"/>
            </w:pPr>
            <w:r>
              <w:t xml:space="preserve">Reversión</w:t>
            </w:r>
          </w:p>
        </w:tc>
        <w:tc>
          <w:tcPr>
            <w:tcW w:w="3213" w:type="dxa"/>
          </w:tcPr>
          <w:p>
            <w:pPr>
              <w:pStyle w:val="Celda"/>
            </w:pPr>
          </w:p>
        </w:tc>
        <w:tc>
          <w:tcPr>
            <w:tcW w:w="3213" w:type="dxa"/>
          </w:tcPr>
          <w:p>
            <w:pPr>
              <w:pStyle w:val="Celda"/>
            </w:pPr>
            <w:r>
              <w:t xml:space="preserve">Cómo se vuelve a la versión anterior o al proceso sin IA. Detalle en P19.</w:t>
            </w:r>
          </w:p>
        </w:tc>
      </w:tr>
      <w:tr>
        <w:tc>
          <w:tcPr>
            <w:tcW w:w="3213" w:type="dxa"/>
          </w:tcPr>
          <w:p>
            <w:pPr>
              <w:pStyle w:val="Celda"/>
            </w:pPr>
            <w:r>
              <w:t xml:space="preserve">Monitorización</w:t>
            </w:r>
          </w:p>
        </w:tc>
        <w:tc>
          <w:tcPr>
            <w:tcW w:w="3213" w:type="dxa"/>
          </w:tcPr>
          <w:p>
            <w:pPr>
              <w:pStyle w:val="Celda"/>
            </w:pPr>
          </w:p>
        </w:tc>
        <w:tc>
          <w:tcPr>
            <w:tcW w:w="3213" w:type="dxa"/>
          </w:tcPr>
          <w:p>
            <w:pPr>
              <w:pStyle w:val="Celda"/>
            </w:pPr>
            <w:r>
              <w:t xml:space="preserve">Métricas técnicas, de calidad, de coste y de seguridad. Detalle en P25.</w:t>
            </w:r>
          </w:p>
        </w:tc>
      </w:tr>
      <w:tr>
        <w:tc>
          <w:tcPr>
            <w:tcW w:w="3213" w:type="dxa"/>
          </w:tcPr>
          <w:p>
            <w:pPr>
              <w:pStyle w:val="Celda"/>
            </w:pPr>
            <w:r>
              <w:t xml:space="preserve">Entornos</w:t>
            </w:r>
          </w:p>
        </w:tc>
        <w:tc>
          <w:tcPr>
            <w:tcW w:w="3213" w:type="dxa"/>
          </w:tcPr>
          <w:p>
            <w:pPr>
              <w:pStyle w:val="Celda"/>
            </w:pPr>
          </w:p>
        </w:tc>
        <w:tc>
          <w:tcPr>
            <w:tcW w:w="3213" w:type="dxa"/>
          </w:tcPr>
          <w:p>
            <w:pPr>
              <w:pStyle w:val="Celda"/>
            </w:pPr>
            <w:r>
              <w:t xml:space="preserve">Desarrollo, pruebas, preproducción y producción; separación de datos.</w:t>
            </w:r>
          </w:p>
        </w:tc>
      </w:tr>
      <w:tr>
        <w:tc>
          <w:tcPr>
            <w:tcW w:w="3213" w:type="dxa"/>
          </w:tcPr>
          <w:p>
            <w:pPr>
              <w:pStyle w:val="Celda"/>
            </w:pPr>
            <w:r>
              <w:t xml:space="preserve">Gestión de cambios </w:t>
            </w:r>
            <w:r>
              <w:rPr>
                <w:b/>
              </w:rPr>
              <w:t xml:space="preserve">(Enterprise)</w:t>
            </w:r>
          </w:p>
        </w:tc>
        <w:tc>
          <w:tcPr>
            <w:tcW w:w="3213" w:type="dxa"/>
          </w:tcPr>
          <w:p>
            <w:pPr>
              <w:pStyle w:val="Celda"/>
            </w:pPr>
          </w:p>
        </w:tc>
        <w:tc>
          <w:tcPr>
            <w:tcW w:w="3213" w:type="dxa"/>
          </w:tcPr>
          <w:p>
            <w:pPr>
              <w:pStyle w:val="Celda"/>
            </w:pPr>
            <w:r>
              <w:t xml:space="preserve">Cómo se aprueban cambios de modelo, instrucciones o configuración.</w:t>
            </w:r>
          </w:p>
        </w:tc>
      </w:tr>
    </w:tbl>
    <w:p>
      <w:pPr>
        <w:pStyle w:val="Espacio"/>
      </w:pPr>
    </w:p>
    <w:p>
      <w:pPr>
        <w:pStyle w:val="Separador"/>
      </w:pPr>
    </w:p>
    <w:p>
      <w:pPr>
        <w:pStyle w:val="Heading1"/>
      </w:pPr>
      <w:r>
        <w:t xml:space="preserve">11. Coste de operación estimado </w:t>
      </w:r>
      <w:r>
        <w:rPr>
          <w:b/>
        </w:rPr>
        <w:t xml:space="preserve">(Enterprise)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Categoría</w:t>
            </w:r>
          </w:p>
        </w:tc>
        <w:tc>
          <w:tcPr>
            <w:tcW w:w="2410" w:type="dxa"/>
            <w:shd w:val="clear" w:color="auto" w:fill="F2DFCE"/>
          </w:tcPr>
          <w:p>
            <w:pPr>
              <w:pStyle w:val="Celda"/>
            </w:pPr>
            <w:r>
              <w:rPr>
                <w:b/>
              </w:rPr>
              <w:t xml:space="preserve">Coste recurrente anual (€)</w:t>
            </w:r>
          </w:p>
        </w:tc>
        <w:tc>
          <w:tcPr>
            <w:tcW w:w="2410" w:type="dxa"/>
            <w:shd w:val="clear" w:color="auto" w:fill="F2DFCE"/>
          </w:tcPr>
          <w:p>
            <w:pPr>
              <w:pStyle w:val="Celda"/>
            </w:pPr>
            <w:r>
              <w:rPr>
                <w:b/>
              </w:rPr>
              <w:t xml:space="preserve">Supuestos</w:t>
            </w:r>
          </w:p>
        </w:tc>
        <w:tc>
          <w:tcPr>
            <w:tcW w:w="2410" w:type="dxa"/>
            <w:shd w:val="clear" w:color="auto" w:fill="F2DFCE"/>
          </w:tcPr>
          <w:p>
            <w:pPr>
              <w:pStyle w:val="Celda"/>
            </w:pPr>
            <w:r>
              <w:rPr>
                <w:b/>
              </w:rPr>
              <w:t xml:space="preserve">Cambio respecto de P10</w:t>
            </w:r>
          </w:p>
        </w:tc>
      </w:tr>
      <w:tr>
        <w:tc>
          <w:tcPr>
            <w:tcW w:w="2410" w:type="dxa"/>
          </w:tcPr>
          <w:p>
            <w:pPr>
              <w:pStyle w:val="Celda"/>
            </w:pPr>
            <w:r>
              <w:t xml:space="preserve">Licencias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Consumo de modelos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Cómputo e infraestructura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Personas de operación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Proveedores y servicios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Control y cumplimiento</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t xml:space="preserve">Si el coste recurrente supera el de P10 de forma relevante, se actualiza P08 y se informa en G4.</w:t>
      </w:r>
    </w:p>
    <w:p>
      <w:pPr>
        <w:pStyle w:val="Separador"/>
      </w:pPr>
    </w:p>
    <w:p>
      <w:pPr>
        <w:pStyle w:val="Heading1"/>
      </w:pPr>
      <w:r>
        <w:t xml:space="preserve">12. Criterios de calidad</w:t>
      </w:r>
    </w:p>
    <w:p>
      <w:r>
        <w:t xml:space="preserve">Los criterios formales de G4 están en el documento 21 (ver criterios G4.xx).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 visión general y los diagramas enlazados reflejan la solución completa, incluidos proveedores.</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componente tiene responsable, versión, alojamiento y datos que trata.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decisiones relevantes tienen alternativas y motivo.</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Todo riesgo de P12 que requiere tratamiento y toda obligación de P11 tiene control diseñado y forma de prueba.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Existe mecanismo de parada y vía de reversión.</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Los permisos del sistema o del agente se limitan a lo necesario y no superan la autonomía máxima de P02.</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Las restricciones de P02 (ubicación, plataformas, líneas rojas) se respetan.</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P16, P17, P18, P19 y P25 existen y son coherentes con este registro.</w:t>
            </w:r>
          </w:p>
        </w:tc>
        <w:tc>
          <w:tcPr>
            <w:tcW w:w="3213" w:type="dxa"/>
          </w:tcPr>
          <w:p>
            <w:pPr>
              <w:pStyle w:val="Celda"/>
            </w:pPr>
          </w:p>
        </w:tc>
      </w:tr>
    </w:tbl>
    <w:p>
      <w:pPr>
        <w:pStyle w:val="Espacio"/>
      </w:pPr>
    </w:p>
    <w:p>
      <w:pPr>
        <w:pStyle w:val="Separador"/>
      </w:pPr>
    </w:p>
    <w:p>
      <w:pPr>
        <w:pStyle w:val="Heading1"/>
      </w:pPr>
      <w:r>
        <w:t xml:space="preserve">13.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 y responde</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Consultado</w:t>
            </w:r>
          </w:p>
        </w:tc>
        <w:tc>
          <w:tcPr>
            <w:tcW w:w="1928" w:type="dxa"/>
          </w:tcPr>
          <w:p>
            <w:pPr>
              <w:pStyle w:val="Celda"/>
            </w:pPr>
            <w:r>
              <w:t xml:space="preserve">Seguridad de la información · responsable de operación de IA · 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Emite conformidad</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w:t>
            </w:r>
          </w:p>
        </w:tc>
        <w:tc>
          <w:tcPr>
            <w:tcW w:w="1928" w:type="dxa"/>
          </w:tcPr>
          <w:p>
            <w:pPr>
              <w:pStyle w:val="Celda"/>
            </w:pPr>
            <w:r>
              <w:t xml:space="preserve">Responsable técnico con conformidad de riesgos (Lite) · Comité de IA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en Lite, el responsable técnico decide G4 sobre su propio diseño solo porque 01 §7.5 lo permite con conformidad de riesgos y verificación independiente de la oficina de IA; ambas deben constar antes de la decisión.</w:t>
      </w:r>
    </w:p>
    <w:p>
      <w:pPr>
        <w:pStyle w:val="Separador"/>
      </w:pPr>
    </w:p>
    <w:p>
      <w:pPr>
        <w:pStyle w:val="Heading1"/>
      </w:pPr>
      <w:r>
        <w:t xml:space="preserve">14.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Registro de componentes, decisiones de arquitectura y trazabilidad de riesgos y obligaciones a controles, alineado con 01 §6.6.</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P15 · Registro de arquitectura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P15 · Registro de arquitectura</dc:title>
  <dc:creator>Fernando García Varela</dc:creator>
  <dc:language>es</dc:language>
  <dc:description>sha256:487b5da60fe51d2e3f5823f451106c6b85ba1fbab1849c10b0df0de01218189c</dc:description>
  <cp:keywords>SEVEN-G</cp:keywords>
</cp:coreProperties>
</file>