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Resultados de validación y del piloto</w:t>
      </w:r>
    </w:p>
    <w:p>
      <w:r>
        <w:rPr>
          <w:b/>
        </w:rPr>
        <w:t xml:space="preserve">Recoge los resultados de las pruebas y del piloto en condiciones reales, y los compara con los umbrales y la hipótesis de valor fijados antes de invertir.</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P22 · Resultados de validación y del piloto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Fase 5 (Entrega y validación), tras ejecutar las pruebas y el piloto y antes de solicitar G5.</w:t>
            </w:r>
          </w:p>
        </w:tc>
      </w:tr>
      <w:tr>
        <w:tc>
          <w:tcPr>
            <w:tcW w:w="4819" w:type="dxa"/>
          </w:tcPr>
          <w:p>
            <w:pPr>
              <w:pStyle w:val="Celda"/>
            </w:pPr>
            <w:r>
              <w:rPr>
                <w:b/>
              </w:rPr>
              <w:t xml:space="preserve">Quién la rellena</w:t>
            </w:r>
          </w:p>
        </w:tc>
        <w:tc>
          <w:tcPr>
            <w:tcW w:w="4819" w:type="dxa"/>
          </w:tcPr>
          <w:p>
            <w:pPr>
              <w:pStyle w:val="Celda"/>
            </w:pPr>
            <w:r>
              <w:t xml:space="preserve">Responsable de producto de IA (piloto y valor) y responsable técnico de IA (pruebas).</w:t>
            </w:r>
          </w:p>
        </w:tc>
      </w:tr>
      <w:tr>
        <w:tc>
          <w:tcPr>
            <w:tcW w:w="4819" w:type="dxa"/>
          </w:tcPr>
          <w:p>
            <w:pPr>
              <w:pStyle w:val="Celda"/>
            </w:pPr>
            <w:r>
              <w:rPr>
                <w:b/>
              </w:rPr>
              <w:t xml:space="preserve">Quién la verifica</w:t>
            </w:r>
          </w:p>
        </w:tc>
        <w:tc>
          <w:tcPr>
            <w:tcW w:w="4819" w:type="dxa"/>
          </w:tcPr>
          <w:p>
            <w:pPr>
              <w:pStyle w:val="Celda"/>
            </w:pPr>
            <w:r>
              <w:t xml:space="preserve">Responsable de riesgos de IA en Lite; auditor de IA en Enterprise. El valor lo valida control de gestión cuando se declare como </w:t>
            </w:r>
            <w:r>
              <w:rPr>
                <w:i/>
              </w:rPr>
              <w:t xml:space="preserve">validado</w:t>
            </w:r>
            <w:r>
              <w:t xml:space="preserve">.</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G5 · Puesta en producción.</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w:t>
            </w:r>
          </w:p>
        </w:tc>
      </w:tr>
      <w:tr>
        <w:tc>
          <w:tcPr>
            <w:tcW w:w="4819" w:type="dxa"/>
          </w:tcPr>
          <w:p>
            <w:pPr>
              <w:pStyle w:val="Celda"/>
            </w:pPr>
            <w:r>
              <w:rPr>
                <w:b/>
              </w:rPr>
              <w:t xml:space="preserve">Herramienta</w:t>
            </w:r>
          </w:p>
        </w:tc>
        <w:tc>
          <w:tcPr>
            <w:tcW w:w="4819" w:type="dxa"/>
          </w:tcPr>
          <w:p>
            <w:pPr>
              <w:pStyle w:val="Celda"/>
            </w:pPr>
            <w:r>
              <w:t xml:space="preserve">T11 Lienzo y calculadora de hipótesis de valor.</w:t>
            </w:r>
          </w:p>
        </w:tc>
      </w:tr>
      <w:tr>
        <w:tc>
          <w:tcPr>
            <w:tcW w:w="4819" w:type="dxa"/>
          </w:tcPr>
          <w:p>
            <w:pPr>
              <w:pStyle w:val="Celda"/>
            </w:pPr>
            <w:r>
              <w:rPr>
                <w:b/>
              </w:rPr>
              <w:t xml:space="preserve">Relación</w:t>
            </w:r>
          </w:p>
        </w:tc>
        <w:tc>
          <w:tcPr>
            <w:tcW w:w="4819" w:type="dxa"/>
          </w:tcPr>
          <w:p>
            <w:pPr>
              <w:pStyle w:val="Celda"/>
            </w:pPr>
            <w:r>
              <w:t xml:space="preserve">P08 Lienzo de hipótesis de valor · P09 Línea base · P17 Supervisión humana · P18 Diseño de seguridad · P19 Prueba de reversión · P20 Adopción · P21 Informe de entrega · P28 Seguimiento de valor · documento 40.</w:t>
            </w:r>
          </w:p>
        </w:tc>
      </w:tr>
    </w:tbl>
    <w:p>
      <w:pPr>
        <w:pStyle w:val="Espacio"/>
      </w:pPr>
    </w:p>
    <w:p>
      <w:r>
        <w:t xml:space="preserve">Reglas:</w:t>
      </w:r>
    </w:p>
    <w:p>
      <w:pPr>
        <w:pStyle w:val="Lista"/>
      </w:pPr>
      <w:r>
        <w:t xml:space="preserve">• </w:t>
      </w:r>
      <w:r>
        <w:rPr>
          <w:b/>
        </w:rPr>
        <w:t xml:space="preserve">Los umbrales se fijaron antes.</w:t>
      </w:r>
      <w:r>
        <w:t xml:space="preserve"> Las métricas, umbrales de éxito y criterios de parada son los aprobados en la fase 2 (P08). No pueden relajarse para evitar una decisión de parar sin aprobación del órgano que autorizó la iniciativa (01 §7.4, regla 6).</w:t>
      </w:r>
    </w:p>
    <w:p>
      <w:pPr>
        <w:pStyle w:val="Lista"/>
      </w:pPr>
      <w:r>
        <w:t xml:space="preserve">• </w:t>
      </w:r>
      <w:r>
        <w:rPr>
          <w:b/>
        </w:rPr>
        <w:t xml:space="preserve">La producción es la única verdad.</w:t>
      </w:r>
      <w:r>
        <w:t xml:space="preserve"> Los resultados de laboratorio no sustituyen al piloto en condiciones reales.</w:t>
      </w:r>
    </w:p>
    <w:p>
      <w:pPr>
        <w:pStyle w:val="Lista"/>
      </w:pPr>
      <w:r>
        <w:t xml:space="preserve">• Todo importe tiene fórmula, es incremental frente a la línea base o el grupo de control y tiene estado (reglas 1 y 2 de medición).</w:t>
      </w:r>
    </w:p>
    <w:p>
      <w:pPr>
        <w:pStyle w:val="Lista"/>
      </w:pPr>
      <w:r>
        <w:t xml:space="preserve">• La extrapolación anual de un piloto es siempre </w:t>
      </w:r>
      <w:r>
        <w:rPr>
          <w:b/>
        </w:rPr>
        <w:t xml:space="preserve">estimada</w:t>
      </w:r>
      <w:r>
        <w:t xml:space="preserve"> hasta que se mide en producción.</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Sistema(s) de IA y versión probada</w:t>
            </w:r>
          </w:p>
        </w:tc>
        <w:tc>
          <w:tcPr>
            <w:tcW w:w="3213" w:type="dxa"/>
          </w:tcPr>
          <w:p>
            <w:pPr>
              <w:pStyle w:val="Celda"/>
            </w:pPr>
          </w:p>
        </w:tc>
        <w:tc>
          <w:tcPr>
            <w:tcW w:w="3213" w:type="dxa"/>
          </w:tcPr>
          <w:p>
            <w:pPr>
              <w:pStyle w:val="Celda"/>
            </w:pPr>
            <w:r>
              <w:t xml:space="preserve">Identificador (T02) y versión (P16).</w:t>
            </w: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Resultados de las pruebas</w:t>
      </w:r>
    </w:p>
    <w:p>
      <w:r>
        <w:rPr>
          <w:b/>
        </w:rPr>
        <w:t xml:space="preserve">Tipo de prueba:</w:t>
      </w:r>
      <w:r>
        <w:t xml:space="preserve"> Funcional · Rendimiento del modelo · Sesgo y no discriminación · Robustez · Seguridad · Inyección de instrucciones · Carga y latencia · Usabilidad · Supervisión humana · Reversión. </w:t>
      </w:r>
      <w:r>
        <w:rPr>
          <w:b/>
        </w:rPr>
        <w:t xml:space="preserve">Resultado:</w:t>
      </w:r>
      <w:r>
        <w:t xml:space="preserve"> Superada · Superada con observaciones · No superada · Pendiente.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Tipo de prueba</w:t>
            </w:r>
          </w:p>
        </w:tc>
        <w:tc>
          <w:tcPr>
            <w:tcW w:w="1606" w:type="dxa"/>
            <w:shd w:val="clear" w:color="auto" w:fill="F2DFCE"/>
          </w:tcPr>
          <w:p>
            <w:pPr>
              <w:pStyle w:val="Celda"/>
            </w:pPr>
            <w:r>
              <w:rPr>
                <w:b/>
              </w:rPr>
              <w:t xml:space="preserve">Métrica</w:t>
            </w:r>
          </w:p>
        </w:tc>
        <w:tc>
          <w:tcPr>
            <w:tcW w:w="1606" w:type="dxa"/>
            <w:shd w:val="clear" w:color="auto" w:fill="F2DFCE"/>
          </w:tcPr>
          <w:p>
            <w:pPr>
              <w:pStyle w:val="Celda"/>
            </w:pPr>
            <w:r>
              <w:rPr>
                <w:b/>
              </w:rPr>
              <w:t xml:space="preserve">Umbral de aceptación y fecha en que se fijó</w:t>
            </w:r>
          </w:p>
        </w:tc>
        <w:tc>
          <w:tcPr>
            <w:tcW w:w="1606" w:type="dxa"/>
            <w:shd w:val="clear" w:color="auto" w:fill="F2DFCE"/>
          </w:tcPr>
          <w:p>
            <w:pPr>
              <w:pStyle w:val="Celda"/>
            </w:pPr>
            <w:r>
              <w:rPr>
                <w:b/>
              </w:rPr>
              <w:t xml:space="preserve">Resultado obtenido</w:t>
            </w:r>
          </w:p>
        </w:tc>
        <w:tc>
          <w:tcPr>
            <w:tcW w:w="1606" w:type="dxa"/>
            <w:shd w:val="clear" w:color="auto" w:fill="F2DFCE"/>
          </w:tcPr>
          <w:p>
            <w:pPr>
              <w:pStyle w:val="Celda"/>
            </w:pPr>
            <w:r>
              <w:rPr>
                <w:b/>
              </w:rPr>
              <w:t xml:space="preserve">Estado</w:t>
            </w:r>
          </w:p>
        </w:tc>
        <w:tc>
          <w:tcPr>
            <w:tcW w:w="1606" w:type="dxa"/>
            <w:shd w:val="clear" w:color="auto" w:fill="F2DFCE"/>
          </w:tcPr>
          <w:p>
            <w:pPr>
              <w:pStyle w:val="Celda"/>
            </w:pPr>
            <w:r>
              <w:rPr>
                <w:b/>
              </w:rPr>
              <w:t xml:space="preserve">Evidencia</w:t>
            </w:r>
          </w:p>
        </w:tc>
      </w:tr>
      <w:tr>
        <w:tc>
          <w:tcPr>
            <w:tcW w:w="1606" w:type="dxa"/>
          </w:tcPr>
          <w:p>
            <w:pPr>
              <w:pStyle w:val="Celda"/>
            </w:pPr>
            <w:r>
              <w:t xml:space="preserve">Rendimiento del modelo </w:t>
            </w:r>
            <w:r>
              <w:rPr>
                <w:i/>
              </w:rPr>
              <w:t xml:space="preserve">(ejemplo ilustrativo)</w:t>
            </w:r>
          </w:p>
        </w:tc>
        <w:tc>
          <w:tcPr>
            <w:tcW w:w="1606" w:type="dxa"/>
          </w:tcPr>
          <w:p>
            <w:pPr>
              <w:pStyle w:val="Celda"/>
            </w:pPr>
            <w:r>
              <w:t xml:space="preserve">Proporción de clasificaciones correctas sobre conjunto de prueba independiente</w:t>
            </w:r>
          </w:p>
        </w:tc>
        <w:tc>
          <w:tcPr>
            <w:tcW w:w="1606" w:type="dxa"/>
          </w:tcPr>
          <w:p>
            <w:pPr>
              <w:pStyle w:val="Celda"/>
            </w:pPr>
            <w:r>
              <w:t xml:space="preserve">≥ 90 % · fijado en P08 el 03-03-2026</w:t>
            </w:r>
          </w:p>
        </w:tc>
        <w:tc>
          <w:tcPr>
            <w:tcW w:w="1606" w:type="dxa"/>
          </w:tcPr>
          <w:p>
            <w:pPr>
              <w:pStyle w:val="Celda"/>
            </w:pPr>
            <w:r>
              <w:t xml:space="preserve">92,4 %</w:t>
            </w:r>
          </w:p>
        </w:tc>
        <w:tc>
          <w:tcPr>
            <w:tcW w:w="1606" w:type="dxa"/>
          </w:tcPr>
          <w:p>
            <w:pPr>
              <w:pStyle w:val="Celda"/>
            </w:pPr>
            <w:r>
              <w:t xml:space="preserve">Superada</w:t>
            </w:r>
          </w:p>
        </w:tc>
        <w:tc>
          <w:tcPr>
            <w:tcW w:w="1606" w:type="dxa"/>
          </w:tcPr>
          <w:p>
            <w:pPr>
              <w:pStyle w:val="Celda"/>
            </w:pPr>
            <w:r>
              <w:t xml:space="preserve">Informe de evaluación v2</w:t>
            </w:r>
          </w:p>
        </w:tc>
      </w:tr>
      <w:tr>
        <w:tc>
          <w:tcPr>
            <w:tcW w:w="1606" w:type="dxa"/>
          </w:tcPr>
          <w:p>
            <w:pPr>
              <w:pStyle w:val="Celda"/>
            </w:pPr>
            <w:r>
              <w:t xml:space="preserve">Sesgo y no discriminación </w:t>
            </w:r>
            <w:r>
              <w:rPr>
                <w:i/>
              </w:rPr>
              <w:t xml:space="preserve">(ejemplo ilustrativo)</w:t>
            </w:r>
          </w:p>
        </w:tc>
        <w:tc>
          <w:tcPr>
            <w:tcW w:w="1606" w:type="dxa"/>
          </w:tcPr>
          <w:p>
            <w:pPr>
              <w:pStyle w:val="Celda"/>
            </w:pPr>
            <w:r>
              <w:t xml:space="preserve">Diferencia de tasa de error entre grupos de edad</w:t>
            </w:r>
          </w:p>
        </w:tc>
        <w:tc>
          <w:tcPr>
            <w:tcW w:w="1606" w:type="dxa"/>
          </w:tcPr>
          <w:p>
            <w:pPr>
              <w:pStyle w:val="Celda"/>
            </w:pPr>
            <w:r>
              <w:t xml:space="preserve">≤ 3 puntos</w:t>
            </w:r>
          </w:p>
        </w:tc>
        <w:tc>
          <w:tcPr>
            <w:tcW w:w="1606" w:type="dxa"/>
          </w:tcPr>
          <w:p>
            <w:pPr>
              <w:pStyle w:val="Celda"/>
            </w:pPr>
            <w:r>
              <w:t xml:space="preserve">4,1 puntos en el grupo de mayores de 65 años</w:t>
            </w:r>
          </w:p>
        </w:tc>
        <w:tc>
          <w:tcPr>
            <w:tcW w:w="1606" w:type="dxa"/>
          </w:tcPr>
          <w:p>
            <w:pPr>
              <w:pStyle w:val="Celda"/>
            </w:pPr>
            <w:r>
              <w:t xml:space="preserve">No superada</w:t>
            </w:r>
          </w:p>
        </w:tc>
        <w:tc>
          <w:tcPr>
            <w:tcW w:w="1606" w:type="dxa"/>
          </w:tcPr>
          <w:p>
            <w:pPr>
              <w:pStyle w:val="Celda"/>
            </w:pPr>
            <w:r>
              <w:t xml:space="preserve">Informe de sesgo v1</w:t>
            </w:r>
          </w:p>
        </w:tc>
      </w:tr>
      <w:tr>
        <w:tc>
          <w:tcPr>
            <w:tcW w:w="1606" w:type="dxa"/>
          </w:tcPr>
          <w:p>
            <w:pPr>
              <w:pStyle w:val="Celda"/>
            </w:pPr>
            <w:r>
              <w:t xml:space="preserve">Inyección de instrucciones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P18 bloque 11</w:t>
            </w:r>
          </w:p>
        </w:tc>
      </w:tr>
      <w:tr>
        <w:tc>
          <w:tcPr>
            <w:tcW w:w="1606" w:type="dxa"/>
          </w:tcPr>
          <w:p>
            <w:pPr>
              <w:pStyle w:val="Celda"/>
            </w:pPr>
            <w:r>
              <w:t xml:space="preserve">Reversión</w:t>
            </w:r>
          </w:p>
        </w:tc>
        <w:tc>
          <w:tcPr>
            <w:tcW w:w="1606" w:type="dxa"/>
          </w:tcPr>
          <w:p>
            <w:pPr>
              <w:pStyle w:val="Celda"/>
            </w:pPr>
            <w:r>
              <w:t xml:space="preserve">Tiempo hasta estado seguro</w:t>
            </w:r>
          </w:p>
        </w:tc>
        <w:tc>
          <w:tcPr>
            <w:tcW w:w="1606" w:type="dxa"/>
          </w:tcPr>
          <w:p>
            <w:pPr>
              <w:pStyle w:val="Celda"/>
            </w:pPr>
            <w:r>
              <w:t xml:space="preserve">Tiempo objetivo de P19</w:t>
            </w:r>
          </w:p>
        </w:tc>
        <w:tc>
          <w:tcPr>
            <w:tcW w:w="1606" w:type="dxa"/>
          </w:tcPr>
          <w:p>
            <w:pPr>
              <w:pStyle w:val="Celda"/>
            </w:pPr>
          </w:p>
        </w:tc>
        <w:tc>
          <w:tcPr>
            <w:tcW w:w="1606" w:type="dxa"/>
          </w:tcPr>
          <w:p>
            <w:pPr>
              <w:pStyle w:val="Celda"/>
            </w:pPr>
          </w:p>
        </w:tc>
        <w:tc>
          <w:tcPr>
            <w:tcW w:w="1606" w:type="dxa"/>
          </w:tcPr>
          <w:p>
            <w:pPr>
              <w:pStyle w:val="Celda"/>
            </w:pPr>
            <w:r>
              <w:t xml:space="preserve">P19 bloque 10</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Toda prueba </w:t>
      </w:r>
      <w:r>
        <w:rPr>
          <w:i/>
        </w:rPr>
        <w:t xml:space="preserve">No superada</w:t>
      </w:r>
      <w:r>
        <w:t xml:space="preserve"> indica su tratamiento y si bloquea la puesta en producción: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Prueba no superada</w:t>
            </w:r>
          </w:p>
        </w:tc>
        <w:tc>
          <w:tcPr>
            <w:tcW w:w="1928" w:type="dxa"/>
            <w:shd w:val="clear" w:color="auto" w:fill="F2DFCE"/>
          </w:tcPr>
          <w:p>
            <w:pPr>
              <w:pStyle w:val="Celda"/>
            </w:pPr>
            <w:r>
              <w:rPr>
                <w:b/>
              </w:rPr>
              <w:t xml:space="preserve">¿Afecta a un control crítico de seguridad, cumplimiento o supervisión humana? (Sí · No)</w:t>
            </w:r>
          </w:p>
        </w:tc>
        <w:tc>
          <w:tcPr>
            <w:tcW w:w="1928" w:type="dxa"/>
            <w:shd w:val="clear" w:color="auto" w:fill="F2DFCE"/>
          </w:tcPr>
          <w:p>
            <w:pPr>
              <w:pStyle w:val="Celda"/>
            </w:pPr>
            <w:r>
              <w:rPr>
                <w:b/>
              </w:rPr>
              <w:t xml:space="preserve">Tratamiento</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Fecha</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Evaluación específica de IA generativa y agentes </w:t>
      </w:r>
      <w:r>
        <w:rPr>
          <w:b/>
        </w:rPr>
        <w:t xml:space="preserve">(Enterprise)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Aspecto</w:t>
            </w:r>
          </w:p>
        </w:tc>
        <w:tc>
          <w:tcPr>
            <w:tcW w:w="1606" w:type="dxa"/>
            <w:shd w:val="clear" w:color="auto" w:fill="F2DFCE"/>
          </w:tcPr>
          <w:p>
            <w:pPr>
              <w:pStyle w:val="Celda"/>
            </w:pPr>
            <w:r>
              <w:rPr>
                <w:b/>
              </w:rPr>
              <w:t xml:space="preserve">Método de evaluación</w:t>
            </w:r>
          </w:p>
        </w:tc>
        <w:tc>
          <w:tcPr>
            <w:tcW w:w="1606" w:type="dxa"/>
            <w:shd w:val="clear" w:color="auto" w:fill="F2DFCE"/>
          </w:tcPr>
          <w:p>
            <w:pPr>
              <w:pStyle w:val="Celda"/>
            </w:pPr>
            <w:r>
              <w:rPr>
                <w:b/>
              </w:rPr>
              <w:t xml:space="preserve">Muestra</w:t>
            </w:r>
          </w:p>
        </w:tc>
        <w:tc>
          <w:tcPr>
            <w:tcW w:w="1606" w:type="dxa"/>
            <w:shd w:val="clear" w:color="auto" w:fill="F2DFCE"/>
          </w:tcPr>
          <w:p>
            <w:pPr>
              <w:pStyle w:val="Celda"/>
            </w:pPr>
            <w:r>
              <w:rPr>
                <w:b/>
              </w:rPr>
              <w:t xml:space="preserve">Resultado</w:t>
            </w:r>
          </w:p>
        </w:tc>
        <w:tc>
          <w:tcPr>
            <w:tcW w:w="1606" w:type="dxa"/>
            <w:shd w:val="clear" w:color="auto" w:fill="F2DFCE"/>
          </w:tcPr>
          <w:p>
            <w:pPr>
              <w:pStyle w:val="Celda"/>
            </w:pPr>
            <w:r>
              <w:rPr>
                <w:b/>
              </w:rPr>
              <w:t xml:space="preserve">Umbral</w:t>
            </w:r>
          </w:p>
        </w:tc>
        <w:tc>
          <w:tcPr>
            <w:tcW w:w="1606" w:type="dxa"/>
            <w:shd w:val="clear" w:color="auto" w:fill="F2DFCE"/>
          </w:tcPr>
          <w:p>
            <w:pPr>
              <w:pStyle w:val="Celda"/>
            </w:pPr>
            <w:r>
              <w:rPr>
                <w:b/>
              </w:rPr>
              <w:t xml:space="preserve">Estado</w:t>
            </w:r>
          </w:p>
        </w:tc>
      </w:tr>
      <w:tr>
        <w:tc>
          <w:tcPr>
            <w:tcW w:w="1606" w:type="dxa"/>
          </w:tcPr>
          <w:p>
            <w:pPr>
              <w:pStyle w:val="Celda"/>
            </w:pPr>
            <w:r>
              <w:t xml:space="preserve">Respuestas fundamentadas en las fuentes autorizadas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Contenido inventado o incorrecto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Contenido inadecuado o contrario a la política de uso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Fuga de información confidencial o personal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Acciones del agente dentro de límites y finalidad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5. Diseño del piloto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Periodo</w:t>
            </w:r>
          </w:p>
        </w:tc>
        <w:tc>
          <w:tcPr>
            <w:tcW w:w="3213" w:type="dxa"/>
          </w:tcPr>
          <w:p>
            <w:pPr>
              <w:pStyle w:val="Celda"/>
            </w:pPr>
          </w:p>
        </w:tc>
        <w:tc>
          <w:tcPr>
            <w:tcW w:w="3213" w:type="dxa"/>
          </w:tcPr>
          <w:p>
            <w:pPr>
              <w:pStyle w:val="Celda"/>
            </w:pPr>
            <w:r>
              <w:t xml:space="preserve">Fechas de inicio y fin.</w:t>
            </w:r>
          </w:p>
        </w:tc>
      </w:tr>
      <w:tr>
        <w:tc>
          <w:tcPr>
            <w:tcW w:w="3213" w:type="dxa"/>
          </w:tcPr>
          <w:p>
            <w:pPr>
              <w:pStyle w:val="Celda"/>
            </w:pPr>
            <w:r>
              <w:t xml:space="preserve">Población y alcance</w:t>
            </w:r>
          </w:p>
        </w:tc>
        <w:tc>
          <w:tcPr>
            <w:tcW w:w="3213" w:type="dxa"/>
          </w:tcPr>
          <w:p>
            <w:pPr>
              <w:pStyle w:val="Celda"/>
            </w:pPr>
          </w:p>
        </w:tc>
        <w:tc>
          <w:tcPr>
            <w:tcW w:w="3213" w:type="dxa"/>
          </w:tcPr>
          <w:p>
            <w:pPr>
              <w:pStyle w:val="Celda"/>
            </w:pPr>
            <w:r>
              <w:t xml:space="preserve">Área, casos, usuarios y personas afectadas incluidos.</w:t>
            </w:r>
          </w:p>
        </w:tc>
      </w:tr>
      <w:tr>
        <w:tc>
          <w:tcPr>
            <w:tcW w:w="3213" w:type="dxa"/>
          </w:tcPr>
          <w:p>
            <w:pPr>
              <w:pStyle w:val="Celda"/>
            </w:pPr>
            <w:r>
              <w:t xml:space="preserve">Método de atribución</w:t>
            </w:r>
          </w:p>
        </w:tc>
        <w:tc>
          <w:tcPr>
            <w:tcW w:w="3213" w:type="dxa"/>
          </w:tcPr>
          <w:p>
            <w:pPr>
              <w:pStyle w:val="Celda"/>
            </w:pPr>
          </w:p>
        </w:tc>
        <w:tc>
          <w:tcPr>
            <w:tcW w:w="3213" w:type="dxa"/>
          </w:tcPr>
          <w:p>
            <w:pPr>
              <w:pStyle w:val="Celda"/>
            </w:pPr>
            <w:r>
              <w:t xml:space="preserve">El aprobado en P08: grupo de control · antes y después · otro justificado.</w:t>
            </w:r>
          </w:p>
        </w:tc>
      </w:tr>
      <w:tr>
        <w:tc>
          <w:tcPr>
            <w:tcW w:w="3213" w:type="dxa"/>
          </w:tcPr>
          <w:p>
            <w:pPr>
              <w:pStyle w:val="Celda"/>
            </w:pPr>
            <w:r>
              <w:t xml:space="preserve">Grupo de control o referencia</w:t>
            </w:r>
          </w:p>
        </w:tc>
        <w:tc>
          <w:tcPr>
            <w:tcW w:w="3213" w:type="dxa"/>
          </w:tcPr>
          <w:p>
            <w:pPr>
              <w:pStyle w:val="Celda"/>
            </w:pPr>
          </w:p>
        </w:tc>
        <w:tc>
          <w:tcPr>
            <w:tcW w:w="3213" w:type="dxa"/>
          </w:tcPr>
          <w:p>
            <w:pPr>
              <w:pStyle w:val="Celda"/>
            </w:pPr>
            <w:r>
              <w:t xml:space="preserve">Composición y cómo se asignó.</w:t>
            </w:r>
          </w:p>
        </w:tc>
      </w:tr>
      <w:tr>
        <w:tc>
          <w:tcPr>
            <w:tcW w:w="3213" w:type="dxa"/>
          </w:tcPr>
          <w:p>
            <w:pPr>
              <w:pStyle w:val="Celda"/>
            </w:pPr>
            <w:r>
              <w:t xml:space="preserve">Tamaño de muestra y justificación </w:t>
            </w:r>
            <w:r>
              <w:rPr>
                <w:b/>
              </w:rPr>
              <w:t xml:space="preserve">(Enterprise)</w:t>
            </w:r>
          </w:p>
        </w:tc>
        <w:tc>
          <w:tcPr>
            <w:tcW w:w="3213" w:type="dxa"/>
          </w:tcPr>
          <w:p>
            <w:pPr>
              <w:pStyle w:val="Celda"/>
            </w:pPr>
          </w:p>
        </w:tc>
        <w:tc>
          <w:tcPr>
            <w:tcW w:w="3213" w:type="dxa"/>
          </w:tcPr>
          <w:p>
            <w:pPr>
              <w:pStyle w:val="Celda"/>
            </w:pPr>
            <w:r>
              <w:t xml:space="preserve">Por qué el tamaño permite distinguir el efecto del ruido.</w:t>
            </w:r>
          </w:p>
        </w:tc>
      </w:tr>
      <w:tr>
        <w:tc>
          <w:tcPr>
            <w:tcW w:w="3213" w:type="dxa"/>
          </w:tcPr>
          <w:p>
            <w:pPr>
              <w:pStyle w:val="Celda"/>
            </w:pPr>
            <w:r>
              <w:t xml:space="preserve">Nivel de autonomía durante el piloto</w:t>
            </w:r>
          </w:p>
        </w:tc>
        <w:tc>
          <w:tcPr>
            <w:tcW w:w="3213" w:type="dxa"/>
          </w:tcPr>
          <w:p>
            <w:pPr>
              <w:pStyle w:val="Celda"/>
            </w:pPr>
          </w:p>
        </w:tc>
        <w:tc>
          <w:tcPr>
            <w:tcW w:w="3213" w:type="dxa"/>
          </w:tcPr>
          <w:p>
            <w:pPr>
              <w:pStyle w:val="Celda"/>
            </w:pPr>
            <w:r>
              <w:t xml:space="preserve">A0 · A1 · A2 · A3 (P17).</w:t>
            </w:r>
          </w:p>
        </w:tc>
      </w:tr>
      <w:tr>
        <w:tc>
          <w:tcPr>
            <w:tcW w:w="3213" w:type="dxa"/>
          </w:tcPr>
          <w:p>
            <w:pPr>
              <w:pStyle w:val="Celda"/>
            </w:pPr>
            <w:r>
              <w:t xml:space="preserve">Desviaciones respecto al diseño del piloto</w:t>
            </w:r>
          </w:p>
        </w:tc>
        <w:tc>
          <w:tcPr>
            <w:tcW w:w="3213" w:type="dxa"/>
          </w:tcPr>
          <w:p>
            <w:pPr>
              <w:pStyle w:val="Celda"/>
            </w:pPr>
          </w:p>
        </w:tc>
        <w:tc>
          <w:tcPr>
            <w:tcW w:w="3213" w:type="dxa"/>
          </w:tcPr>
          <w:p>
            <w:pPr>
              <w:pStyle w:val="Celda"/>
            </w:pPr>
            <w:r>
              <w:t xml:space="preserve">Cambios durante el piloto y su efecto en la validez de los resultados.</w:t>
            </w:r>
          </w:p>
        </w:tc>
      </w:tr>
    </w:tbl>
    <w:p>
      <w:pPr>
        <w:pStyle w:val="Espacio"/>
      </w:pPr>
    </w:p>
    <w:p>
      <w:pPr>
        <w:pStyle w:val="Separador"/>
      </w:pPr>
    </w:p>
    <w:p>
      <w:pPr>
        <w:pStyle w:val="Heading1"/>
      </w:pPr>
      <w:r>
        <w:t xml:space="preserve">6. Resultados del piloto frente a la hipótesis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Métrica</w:t>
            </w:r>
          </w:p>
        </w:tc>
        <w:tc>
          <w:tcPr>
            <w:tcW w:w="1205" w:type="dxa"/>
            <w:shd w:val="clear" w:color="auto" w:fill="F2DFCE"/>
          </w:tcPr>
          <w:p>
            <w:pPr>
              <w:pStyle w:val="Celda"/>
            </w:pPr>
            <w:r>
              <w:rPr>
                <w:b/>
              </w:rPr>
              <w:t xml:space="preserve">Línea base (P09)</w:t>
            </w:r>
          </w:p>
        </w:tc>
        <w:tc>
          <w:tcPr>
            <w:tcW w:w="1205" w:type="dxa"/>
            <w:shd w:val="clear" w:color="auto" w:fill="F2DFCE"/>
          </w:tcPr>
          <w:p>
            <w:pPr>
              <w:pStyle w:val="Celda"/>
            </w:pPr>
            <w:r>
              <w:rPr>
                <w:b/>
              </w:rPr>
              <w:t xml:space="preserve">Objetivo</w:t>
            </w:r>
          </w:p>
        </w:tc>
        <w:tc>
          <w:tcPr>
            <w:tcW w:w="1205" w:type="dxa"/>
            <w:shd w:val="clear" w:color="auto" w:fill="F2DFCE"/>
          </w:tcPr>
          <w:p>
            <w:pPr>
              <w:pStyle w:val="Celda"/>
            </w:pPr>
            <w:r>
              <w:rPr>
                <w:b/>
              </w:rPr>
              <w:t xml:space="preserve">Umbral de éxito</w:t>
            </w:r>
          </w:p>
        </w:tc>
        <w:tc>
          <w:tcPr>
            <w:tcW w:w="1205" w:type="dxa"/>
            <w:shd w:val="clear" w:color="auto" w:fill="F2DFCE"/>
          </w:tcPr>
          <w:p>
            <w:pPr>
              <w:pStyle w:val="Celda"/>
            </w:pPr>
            <w:r>
              <w:rPr>
                <w:b/>
              </w:rPr>
              <w:t xml:space="preserve">Resultado del piloto</w:t>
            </w:r>
          </w:p>
        </w:tc>
        <w:tc>
          <w:tcPr>
            <w:tcW w:w="1205" w:type="dxa"/>
            <w:shd w:val="clear" w:color="auto" w:fill="F2DFCE"/>
          </w:tcPr>
          <w:p>
            <w:pPr>
              <w:pStyle w:val="Celda"/>
            </w:pPr>
            <w:r>
              <w:rPr>
                <w:b/>
              </w:rPr>
              <w:t xml:space="preserve">Resultado del grupo de control</w:t>
            </w:r>
          </w:p>
        </w:tc>
        <w:tc>
          <w:tcPr>
            <w:tcW w:w="1205" w:type="dxa"/>
            <w:shd w:val="clear" w:color="auto" w:fill="F2DFCE"/>
          </w:tcPr>
          <w:p>
            <w:pPr>
              <w:pStyle w:val="Celda"/>
            </w:pPr>
            <w:r>
              <w:rPr>
                <w:b/>
              </w:rPr>
              <w:t xml:space="preserve">Diferencia atribuible</w:t>
            </w:r>
          </w:p>
        </w:tc>
        <w:tc>
          <w:tcPr>
            <w:tcW w:w="1205" w:type="dxa"/>
            <w:shd w:val="clear" w:color="auto" w:fill="F2DFCE"/>
          </w:tcPr>
          <w:p>
            <w:pPr>
              <w:pStyle w:val="Celda"/>
            </w:pPr>
            <w:r>
              <w:rPr>
                <w:b/>
              </w:rPr>
              <w:t xml:space="preserve">¿Cumple el umbral? (Sí · No · Parcialmente)</w:t>
            </w:r>
          </w:p>
        </w:tc>
      </w:tr>
      <w:tr>
        <w:tc>
          <w:tcPr>
            <w:tcW w:w="1205" w:type="dxa"/>
          </w:tcPr>
          <w:p>
            <w:pPr>
              <w:pStyle w:val="Celda"/>
            </w:pPr>
            <w:r>
              <w:t xml:space="preserve">Métrica principal:</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Métrica secundaria: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Adopción (P20)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w:t>
            </w:r>
          </w:p>
        </w:tc>
        <w:tc>
          <w:tcPr>
            <w:tcW w:w="1205" w:type="dxa"/>
          </w:tcPr>
          <w:p>
            <w:pPr>
              <w:pStyle w:val="Celda"/>
            </w:pPr>
            <w:r>
              <w:t xml:space="preserve">—</w:t>
            </w:r>
          </w:p>
        </w:tc>
        <w:tc>
          <w:tcPr>
            <w:tcW w:w="1205" w:type="dxa"/>
          </w:tcPr>
          <w:p>
            <w:pPr>
              <w:pStyle w:val="Celda"/>
            </w:pPr>
          </w:p>
        </w:tc>
      </w:tr>
      <w:tr>
        <w:tc>
          <w:tcPr>
            <w:tcW w:w="1205" w:type="dxa"/>
          </w:tcPr>
          <w:p>
            <w:pPr>
              <w:pStyle w:val="Celda"/>
            </w:pPr>
            <w:r>
              <w:t xml:space="preserve">Tasa de anulación humana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w:t>
            </w:r>
          </w:p>
        </w:tc>
        <w:tc>
          <w:tcPr>
            <w:tcW w:w="1205" w:type="dxa"/>
          </w:tcPr>
          <w:p>
            <w:pPr>
              <w:pStyle w:val="Celda"/>
            </w:pPr>
            <w:r>
              <w:t xml:space="preserve">—</w:t>
            </w:r>
          </w:p>
        </w:tc>
        <w:tc>
          <w:tcPr>
            <w:tcW w:w="1205" w:type="dxa"/>
          </w:tcPr>
          <w:p>
            <w:pPr>
              <w:pStyle w:val="Celda"/>
            </w:pPr>
          </w:p>
        </w:tc>
      </w:tr>
    </w:tbl>
    <w:p>
      <w:pPr>
        <w:pStyle w:val="Espacio"/>
      </w:pPr>
    </w:p>
    <w:p>
      <w:pPr>
        <w:pStyle w:val="Separador"/>
      </w:pPr>
    </w:p>
    <w:p>
      <w:pPr>
        <w:pStyle w:val="Heading1"/>
      </w:pPr>
      <w:r>
        <w:t xml:space="preserve">7. Valor observado y proyección</w:t>
      </w:r>
    </w:p>
    <w:p>
      <w:r>
        <w:rPr>
          <w:b/>
        </w:rPr>
        <w:t xml:space="preserve">Tipo:</w:t>
      </w:r>
      <w:r>
        <w:t xml:space="preserve"> Eficiencias · Retorno · Coste recurrente. </w:t>
      </w:r>
      <w:r>
        <w:rPr>
          <w:b/>
        </w:rPr>
        <w:t xml:space="preserve">Estado:</w:t>
      </w:r>
      <w:r>
        <w:t xml:space="preserve"> Validado · Declarado · Estimado.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Concepto</w:t>
            </w:r>
          </w:p>
        </w:tc>
        <w:tc>
          <w:tcPr>
            <w:tcW w:w="1377" w:type="dxa"/>
            <w:shd w:val="clear" w:color="auto" w:fill="F2DFCE"/>
          </w:tcPr>
          <w:p>
            <w:pPr>
              <w:pStyle w:val="Celda"/>
            </w:pPr>
            <w:r>
              <w:rPr>
                <w:b/>
              </w:rPr>
              <w:t xml:space="preserve">Tipo</w:t>
            </w:r>
          </w:p>
        </w:tc>
        <w:tc>
          <w:tcPr>
            <w:tcW w:w="1377" w:type="dxa"/>
            <w:shd w:val="clear" w:color="auto" w:fill="F2DFCE"/>
          </w:tcPr>
          <w:p>
            <w:pPr>
              <w:pStyle w:val="Celda"/>
            </w:pPr>
            <w:r>
              <w:rPr>
                <w:b/>
              </w:rPr>
              <w:t xml:space="preserve">Fórmula (unidades × valor unitario)</w:t>
            </w:r>
          </w:p>
        </w:tc>
        <w:tc>
          <w:tcPr>
            <w:tcW w:w="1377" w:type="dxa"/>
            <w:shd w:val="clear" w:color="auto" w:fill="F2DFCE"/>
          </w:tcPr>
          <w:p>
            <w:pPr>
              <w:pStyle w:val="Celda"/>
            </w:pPr>
            <w:r>
              <w:rPr>
                <w:b/>
              </w:rPr>
              <w:t xml:space="preserve">Importe en el periodo del piloto (€)</w:t>
            </w:r>
          </w:p>
        </w:tc>
        <w:tc>
          <w:tcPr>
            <w:tcW w:w="1377" w:type="dxa"/>
            <w:shd w:val="clear" w:color="auto" w:fill="F2DFCE"/>
          </w:tcPr>
          <w:p>
            <w:pPr>
              <w:pStyle w:val="Celda"/>
            </w:pPr>
            <w:r>
              <w:rPr>
                <w:b/>
              </w:rPr>
              <w:t xml:space="preserve">Estado</w:t>
            </w:r>
          </w:p>
        </w:tc>
        <w:tc>
          <w:tcPr>
            <w:tcW w:w="1377" w:type="dxa"/>
            <w:shd w:val="clear" w:color="auto" w:fill="F2DFCE"/>
          </w:tcPr>
          <w:p>
            <w:pPr>
              <w:pStyle w:val="Celda"/>
            </w:pPr>
            <w:r>
              <w:rPr>
                <w:b/>
              </w:rPr>
              <w:t xml:space="preserve">Proyección anual (€)</w:t>
            </w:r>
          </w:p>
        </w:tc>
        <w:tc>
          <w:tcPr>
            <w:tcW w:w="1377" w:type="dxa"/>
            <w:shd w:val="clear" w:color="auto" w:fill="F2DFCE"/>
          </w:tcPr>
          <w:p>
            <w:pPr>
              <w:pStyle w:val="Celda"/>
            </w:pPr>
            <w:r>
              <w:rPr>
                <w:b/>
              </w:rPr>
              <w:t xml:space="preserve">Estado de la proyección</w:t>
            </w:r>
          </w:p>
        </w:tc>
      </w:tr>
      <w:tr>
        <w:tc>
          <w:tcPr>
            <w:tcW w:w="1377" w:type="dxa"/>
          </w:tcPr>
          <w:p>
            <w:pPr>
              <w:pStyle w:val="Celda"/>
            </w:pPr>
            <w:r>
              <w:t xml:space="preserve">Menor tiempo de tramitación materializado </w:t>
            </w:r>
            <w:r>
              <w:rPr>
                <w:i/>
              </w:rPr>
              <w:t xml:space="preserve">(ejemplo ilustrativo)</w:t>
            </w:r>
          </w:p>
        </w:tc>
        <w:tc>
          <w:tcPr>
            <w:tcW w:w="1377" w:type="dxa"/>
          </w:tcPr>
          <w:p>
            <w:pPr>
              <w:pStyle w:val="Celda"/>
            </w:pPr>
            <w:r>
              <w:t xml:space="preserve">Eficiencias</w:t>
            </w:r>
          </w:p>
        </w:tc>
        <w:tc>
          <w:tcPr>
            <w:tcW w:w="1377" w:type="dxa"/>
          </w:tcPr>
          <w:p>
            <w:pPr>
              <w:pStyle w:val="Celda"/>
            </w:pPr>
            <w:r>
              <w:t xml:space="preserve">2.300 casos × 3,10 € de coste externo evitado por caso</w:t>
            </w:r>
          </w:p>
        </w:tc>
        <w:tc>
          <w:tcPr>
            <w:tcW w:w="1377" w:type="dxa"/>
          </w:tcPr>
          <w:p>
            <w:pPr>
              <w:pStyle w:val="Celda"/>
            </w:pPr>
            <w:r>
              <w:t xml:space="preserve">7.130 (piloto de 3 meses)</w:t>
            </w:r>
          </w:p>
        </w:tc>
        <w:tc>
          <w:tcPr>
            <w:tcW w:w="1377" w:type="dxa"/>
          </w:tcPr>
          <w:p>
            <w:pPr>
              <w:pStyle w:val="Celda"/>
            </w:pPr>
            <w:r>
              <w:t xml:space="preserve">Declarado</w:t>
            </w:r>
          </w:p>
        </w:tc>
        <w:tc>
          <w:tcPr>
            <w:tcW w:w="1377" w:type="dxa"/>
          </w:tcPr>
          <w:p>
            <w:pPr>
              <w:pStyle w:val="Celda"/>
            </w:pPr>
            <w:r>
              <w:t xml:space="preserve">28.520 (× 4 trimestres, mismo volumen)</w:t>
            </w:r>
          </w:p>
        </w:tc>
        <w:tc>
          <w:tcPr>
            <w:tcW w:w="1377" w:type="dxa"/>
          </w:tcPr>
          <w:p>
            <w:pPr>
              <w:pStyle w:val="Celda"/>
            </w:pPr>
            <w:r>
              <w:t xml:space="preserve">Estimado</w:t>
            </w:r>
          </w:p>
        </w:tc>
      </w:tr>
      <w:tr>
        <w:tc>
          <w:tcPr>
            <w:tcW w:w="1377" w:type="dxa"/>
          </w:tcPr>
          <w:p>
            <w:pPr>
              <w:pStyle w:val="Celda"/>
            </w:pPr>
            <w:r>
              <w:t xml:space="preserve">Consumo de modelos y licencias </w:t>
            </w:r>
            <w:r>
              <w:rPr>
                <w:i/>
              </w:rPr>
              <w:t xml:space="preserve">(ejemplo ilustrativo)</w:t>
            </w:r>
          </w:p>
        </w:tc>
        <w:tc>
          <w:tcPr>
            <w:tcW w:w="1377" w:type="dxa"/>
          </w:tcPr>
          <w:p>
            <w:pPr>
              <w:pStyle w:val="Celda"/>
            </w:pPr>
            <w:r>
              <w:t xml:space="preserve">Coste recurrente</w:t>
            </w:r>
          </w:p>
        </w:tc>
        <w:tc>
          <w:tcPr>
            <w:tcW w:w="1377" w:type="dxa"/>
          </w:tcPr>
          <w:p>
            <w:pPr>
              <w:pStyle w:val="Celda"/>
            </w:pPr>
            <w:r>
              <w:t xml:space="preserve">3 meses × 1.900 €</w:t>
            </w:r>
          </w:p>
        </w:tc>
        <w:tc>
          <w:tcPr>
            <w:tcW w:w="1377" w:type="dxa"/>
          </w:tcPr>
          <w:p>
            <w:pPr>
              <w:pStyle w:val="Celda"/>
            </w:pPr>
            <w:r>
              <w:t xml:space="preserve">5.700</w:t>
            </w:r>
          </w:p>
        </w:tc>
        <w:tc>
          <w:tcPr>
            <w:tcW w:w="1377" w:type="dxa"/>
          </w:tcPr>
          <w:p>
            <w:pPr>
              <w:pStyle w:val="Celda"/>
            </w:pPr>
            <w:r>
              <w:t xml:space="preserve">Validado</w:t>
            </w:r>
          </w:p>
        </w:tc>
        <w:tc>
          <w:tcPr>
            <w:tcW w:w="1377" w:type="dxa"/>
          </w:tcPr>
          <w:p>
            <w:pPr>
              <w:pStyle w:val="Celda"/>
            </w:pPr>
            <w:r>
              <w:t xml:space="preserve">22.800</w:t>
            </w:r>
          </w:p>
        </w:tc>
        <w:tc>
          <w:tcPr>
            <w:tcW w:w="1377" w:type="dxa"/>
          </w:tcPr>
          <w:p>
            <w:pPr>
              <w:pStyle w:val="Celda"/>
            </w:pPr>
            <w:r>
              <w:t xml:space="preserve">Estimado</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Magnitud</w:t>
            </w:r>
          </w:p>
        </w:tc>
        <w:tc>
          <w:tcPr>
            <w:tcW w:w="3213" w:type="dxa"/>
            <w:shd w:val="clear" w:color="auto" w:fill="F2DFCE"/>
          </w:tcPr>
          <w:p>
            <w:pPr>
              <w:pStyle w:val="Celda"/>
            </w:pPr>
            <w:r>
              <w:rPr>
                <w:b/>
              </w:rPr>
              <w:t xml:space="preserve">Importe anual proyectado (€)</w:t>
            </w:r>
          </w:p>
        </w:tc>
        <w:tc>
          <w:tcPr>
            <w:tcW w:w="3213" w:type="dxa"/>
            <w:shd w:val="clear" w:color="auto" w:fill="F2DFCE"/>
          </w:tcPr>
          <w:p>
            <w:pPr>
              <w:pStyle w:val="Celda"/>
            </w:pPr>
            <w:r>
              <w:rPr>
                <w:b/>
              </w:rPr>
              <w:t xml:space="preserve">Estado</w:t>
            </w:r>
          </w:p>
        </w:tc>
      </w:tr>
      <w:tr>
        <w:tc>
          <w:tcPr>
            <w:tcW w:w="3213" w:type="dxa"/>
          </w:tcPr>
          <w:p>
            <w:pPr>
              <w:pStyle w:val="Celda"/>
            </w:pPr>
            <w:r>
              <w:t xml:space="preserve">Eficiencias</w:t>
            </w:r>
          </w:p>
        </w:tc>
        <w:tc>
          <w:tcPr>
            <w:tcW w:w="3213" w:type="dxa"/>
          </w:tcPr>
          <w:p>
            <w:pPr>
              <w:pStyle w:val="Celda"/>
            </w:pPr>
          </w:p>
        </w:tc>
        <w:tc>
          <w:tcPr>
            <w:tcW w:w="3213" w:type="dxa"/>
          </w:tcPr>
          <w:p>
            <w:pPr>
              <w:pStyle w:val="Celda"/>
            </w:pPr>
          </w:p>
        </w:tc>
      </w:tr>
      <w:tr>
        <w:tc>
          <w:tcPr>
            <w:tcW w:w="3213" w:type="dxa"/>
          </w:tcPr>
          <w:p>
            <w:pPr>
              <w:pStyle w:val="Celda"/>
            </w:pPr>
            <w:r>
              <w:t xml:space="preserve">Retorno</w:t>
            </w:r>
          </w:p>
        </w:tc>
        <w:tc>
          <w:tcPr>
            <w:tcW w:w="3213" w:type="dxa"/>
          </w:tcPr>
          <w:p>
            <w:pPr>
              <w:pStyle w:val="Celda"/>
            </w:pPr>
          </w:p>
        </w:tc>
        <w:tc>
          <w:tcPr>
            <w:tcW w:w="3213" w:type="dxa"/>
          </w:tcPr>
          <w:p>
            <w:pPr>
              <w:pStyle w:val="Celda"/>
            </w:pPr>
          </w:p>
        </w:tc>
      </w:tr>
      <w:tr>
        <w:tc>
          <w:tcPr>
            <w:tcW w:w="3213" w:type="dxa"/>
          </w:tcPr>
          <w:p>
            <w:pPr>
              <w:pStyle w:val="Celda"/>
            </w:pPr>
            <w:r>
              <w:t xml:space="preserve">Coste recurrente</w:t>
            </w:r>
          </w:p>
        </w:tc>
        <w:tc>
          <w:tcPr>
            <w:tcW w:w="3213" w:type="dxa"/>
          </w:tcPr>
          <w:p>
            <w:pPr>
              <w:pStyle w:val="Celda"/>
            </w:pPr>
          </w:p>
        </w:tc>
        <w:tc>
          <w:tcPr>
            <w:tcW w:w="3213" w:type="dxa"/>
          </w:tcPr>
          <w:p>
            <w:pPr>
              <w:pStyle w:val="Celda"/>
            </w:pPr>
          </w:p>
        </w:tc>
      </w:tr>
      <w:tr>
        <w:tc>
          <w:tcPr>
            <w:tcW w:w="3213" w:type="dxa"/>
          </w:tcPr>
          <w:p>
            <w:pPr>
              <w:pStyle w:val="Celda"/>
            </w:pPr>
            <w:r>
              <w:rPr>
                <w:b/>
              </w:rPr>
              <w:t xml:space="preserve">Valor neto anual = eficiencias + retorno − coste recurrente</w:t>
            </w:r>
          </w:p>
        </w:tc>
        <w:tc>
          <w:tcPr>
            <w:tcW w:w="3213" w:type="dxa"/>
          </w:tcPr>
          <w:p>
            <w:pPr>
              <w:pStyle w:val="Celda"/>
            </w:pPr>
          </w:p>
        </w:tc>
        <w:tc>
          <w:tcPr>
            <w:tcW w:w="3213" w:type="dxa"/>
          </w:tcPr>
          <w:p>
            <w:pPr>
              <w:pStyle w:val="Celda"/>
            </w:pPr>
            <w:r>
              <w:t xml:space="preserve">Estimado</w:t>
            </w:r>
          </w:p>
        </w:tc>
      </w:tr>
      <w:tr>
        <w:tc>
          <w:tcPr>
            <w:tcW w:w="3213" w:type="dxa"/>
          </w:tcPr>
          <w:p>
            <w:pPr>
              <w:pStyle w:val="Celda"/>
            </w:pPr>
            <w:r>
              <w:t xml:space="preserve">Capacidad liberada (horas, no suma)</w:t>
            </w:r>
          </w:p>
        </w:tc>
        <w:tc>
          <w:tcPr>
            <w:tcW w:w="3213" w:type="dxa"/>
          </w:tcPr>
          <w:p>
            <w:pPr>
              <w:pStyle w:val="Celda"/>
            </w:pPr>
          </w:p>
        </w:tc>
        <w:tc>
          <w:tcPr>
            <w:tcW w:w="3213" w:type="dxa"/>
          </w:tcPr>
          <w:p>
            <w:pPr>
              <w:pStyle w:val="Celda"/>
            </w:pPr>
          </w:p>
        </w:tc>
      </w:tr>
      <w:tr>
        <w:tc>
          <w:tcPr>
            <w:tcW w:w="3213" w:type="dxa"/>
          </w:tcPr>
          <w:p>
            <w:pPr>
              <w:pStyle w:val="Celda"/>
            </w:pPr>
            <w:r>
              <w:t xml:space="preserve">Riesgo evitado y cumplimiento (no suman salvo fórmula)</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8. Criterios de parada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Criterio de parada fijado en fase 2</w:t>
            </w:r>
          </w:p>
        </w:tc>
        <w:tc>
          <w:tcPr>
            <w:tcW w:w="2410" w:type="dxa"/>
            <w:shd w:val="clear" w:color="auto" w:fill="F2DFCE"/>
          </w:tcPr>
          <w:p>
            <w:pPr>
              <w:pStyle w:val="Celda"/>
            </w:pPr>
            <w:r>
              <w:rPr>
                <w:b/>
              </w:rPr>
              <w:t xml:space="preserve">Umbral</w:t>
            </w:r>
          </w:p>
        </w:tc>
        <w:tc>
          <w:tcPr>
            <w:tcW w:w="2410" w:type="dxa"/>
            <w:shd w:val="clear" w:color="auto" w:fill="F2DFCE"/>
          </w:tcPr>
          <w:p>
            <w:pPr>
              <w:pStyle w:val="Celda"/>
            </w:pPr>
            <w:r>
              <w:rPr>
                <w:b/>
              </w:rPr>
              <w:t xml:space="preserve">Resultado</w:t>
            </w:r>
          </w:p>
        </w:tc>
        <w:tc>
          <w:tcPr>
            <w:tcW w:w="2410" w:type="dxa"/>
            <w:shd w:val="clear" w:color="auto" w:fill="F2DFCE"/>
          </w:tcPr>
          <w:p>
            <w:pPr>
              <w:pStyle w:val="Celda"/>
            </w:pPr>
            <w:r>
              <w:rPr>
                <w:b/>
              </w:rPr>
              <w:t xml:space="preserve">¿Se ha activado? (Sí · No)</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t xml:space="preserve">Si algún criterio se ha activado, el equipo debe recomendar </w:t>
      </w:r>
      <w:r>
        <w:rPr>
          <w:b/>
        </w:rPr>
        <w:t xml:space="preserve">Parar</w:t>
      </w:r>
      <w:r>
        <w:t xml:space="preserve"> o justificar ante el órgano que autorizó la iniciativa por qué propone otro resultado.</w:t>
      </w:r>
    </w:p>
    <w:p>
      <w:pPr>
        <w:pStyle w:val="Separador"/>
      </w:pPr>
    </w:p>
    <w:p>
      <w:pPr>
        <w:pStyle w:val="Heading1"/>
      </w:pPr>
      <w:r>
        <w:t xml:space="preserve">9. Criterios de G5 según el nivel de ambición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Nivel</w:t>
            </w:r>
          </w:p>
        </w:tc>
        <w:tc>
          <w:tcPr>
            <w:tcW w:w="2410" w:type="dxa"/>
            <w:shd w:val="clear" w:color="auto" w:fill="F2DFCE"/>
          </w:tcPr>
          <w:p>
            <w:pPr>
              <w:pStyle w:val="Celda"/>
            </w:pPr>
            <w:r>
              <w:rPr>
                <w:b/>
              </w:rPr>
              <w:t xml:space="preserve">Qué exige G5 (01 §7.6)</w:t>
            </w:r>
          </w:p>
        </w:tc>
        <w:tc>
          <w:tcPr>
            <w:tcW w:w="2410" w:type="dxa"/>
            <w:shd w:val="clear" w:color="auto" w:fill="F2DFCE"/>
          </w:tcPr>
          <w:p>
            <w:pPr>
              <w:pStyle w:val="Celda"/>
            </w:pPr>
            <w:r>
              <w:rPr>
                <w:b/>
              </w:rPr>
              <w:t xml:space="preserve">Evidencia aportada</w:t>
            </w:r>
          </w:p>
        </w:tc>
        <w:tc>
          <w:tcPr>
            <w:tcW w:w="2410" w:type="dxa"/>
            <w:shd w:val="clear" w:color="auto" w:fill="F2DFCE"/>
          </w:tcPr>
          <w:p>
            <w:pPr>
              <w:pStyle w:val="Celda"/>
            </w:pPr>
            <w:r>
              <w:rPr>
                <w:b/>
              </w:rPr>
              <w:t xml:space="preserve">Estado (Cumple · No cumple · No aplica · Pendiente)</w:t>
            </w:r>
          </w:p>
        </w:tc>
      </w:tr>
      <w:tr>
        <w:tc>
          <w:tcPr>
            <w:tcW w:w="2410" w:type="dxa"/>
          </w:tcPr>
          <w:p>
            <w:pPr>
              <w:pStyle w:val="Celda"/>
            </w:pPr>
            <w:r>
              <w:t xml:space="preserve">Optimizar</w:t>
            </w:r>
          </w:p>
        </w:tc>
        <w:tc>
          <w:tcPr>
            <w:tcW w:w="2410" w:type="dxa"/>
          </w:tcPr>
          <w:p>
            <w:pPr>
              <w:pStyle w:val="Celda"/>
            </w:pPr>
            <w:r>
              <w:t xml:space="preserve">Eficiencia validada frente a la línea base; plan para materializar la capacidad liberada.</w:t>
            </w:r>
          </w:p>
        </w:tc>
        <w:tc>
          <w:tcPr>
            <w:tcW w:w="2410" w:type="dxa"/>
          </w:tcPr>
          <w:p>
            <w:pPr>
              <w:pStyle w:val="Celda"/>
            </w:pPr>
          </w:p>
        </w:tc>
        <w:tc>
          <w:tcPr>
            <w:tcW w:w="2410" w:type="dxa"/>
          </w:tcPr>
          <w:p>
            <w:pPr>
              <w:pStyle w:val="Celda"/>
            </w:pPr>
          </w:p>
        </w:tc>
      </w:tr>
      <w:tr>
        <w:tc>
          <w:tcPr>
            <w:tcW w:w="2410" w:type="dxa"/>
          </w:tcPr>
          <w:p>
            <w:pPr>
              <w:pStyle w:val="Celda"/>
            </w:pPr>
            <w:r>
              <w:t xml:space="preserve">Aumentar</w:t>
            </w:r>
          </w:p>
        </w:tc>
        <w:tc>
          <w:tcPr>
            <w:tcW w:w="2410" w:type="dxa"/>
          </w:tcPr>
          <w:p>
            <w:pPr>
              <w:pStyle w:val="Celda"/>
            </w:pPr>
            <w:r>
              <w:t xml:space="preserve">Adopción real y mejora de rendimiento medidas.</w:t>
            </w:r>
          </w:p>
        </w:tc>
        <w:tc>
          <w:tcPr>
            <w:tcW w:w="2410" w:type="dxa"/>
          </w:tcPr>
          <w:p>
            <w:pPr>
              <w:pStyle w:val="Celda"/>
            </w:pPr>
          </w:p>
        </w:tc>
        <w:tc>
          <w:tcPr>
            <w:tcW w:w="2410" w:type="dxa"/>
          </w:tcPr>
          <w:p>
            <w:pPr>
              <w:pStyle w:val="Celda"/>
            </w:pPr>
          </w:p>
        </w:tc>
      </w:tr>
      <w:tr>
        <w:tc>
          <w:tcPr>
            <w:tcW w:w="2410" w:type="dxa"/>
          </w:tcPr>
          <w:p>
            <w:pPr>
              <w:pStyle w:val="Celda"/>
            </w:pPr>
            <w:r>
              <w:t xml:space="preserve">Transformar</w:t>
            </w:r>
          </w:p>
        </w:tc>
        <w:tc>
          <w:tcPr>
            <w:tcW w:w="2410" w:type="dxa"/>
          </w:tcPr>
          <w:p>
            <w:pPr>
              <w:pStyle w:val="Celda"/>
            </w:pPr>
            <w:r>
              <w:t xml:space="preserve">Evidencia de mercado o de cliente: uso, conversión, ingresos iniciales o cambio operativo verificado.</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10. Conclusión y recomendación del equipo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Conclusión</w:t>
            </w:r>
          </w:p>
        </w:tc>
        <w:tc>
          <w:tcPr>
            <w:tcW w:w="3213" w:type="dxa"/>
          </w:tcPr>
          <w:p>
            <w:pPr>
              <w:pStyle w:val="Celda"/>
            </w:pPr>
          </w:p>
        </w:tc>
        <w:tc>
          <w:tcPr>
            <w:tcW w:w="3213" w:type="dxa"/>
          </w:tcPr>
          <w:p>
            <w:pPr>
              <w:pStyle w:val="Celda"/>
            </w:pPr>
            <w:r>
              <w:t xml:space="preserve">¿Se sostiene la hipótesis en condiciones reales?</w:t>
            </w:r>
          </w:p>
        </w:tc>
      </w:tr>
      <w:tr>
        <w:tc>
          <w:tcPr>
            <w:tcW w:w="3213" w:type="dxa"/>
          </w:tcPr>
          <w:p>
            <w:pPr>
              <w:pStyle w:val="Celda"/>
            </w:pPr>
            <w:r>
              <w:t xml:space="preserve">Recomendación al </w:t>
            </w:r>
            <w:r>
              <w:rPr>
                <w:i/>
              </w:rPr>
              <w:t xml:space="preserve">gate</w:t>
            </w:r>
          </w:p>
        </w:tc>
        <w:tc>
          <w:tcPr>
            <w:tcW w:w="3213" w:type="dxa"/>
          </w:tcPr>
          <w:p>
            <w:pPr>
              <w:pStyle w:val="Celda"/>
            </w:pPr>
          </w:p>
        </w:tc>
        <w:tc>
          <w:tcPr>
            <w:tcW w:w="3213" w:type="dxa"/>
          </w:tcPr>
          <w:p>
            <w:pPr>
              <w:pStyle w:val="Celda"/>
            </w:pPr>
            <w:r>
              <w:t xml:space="preserve">Continuar · Continuar con condiciones · Iterar · Parar. En G5 no cabe Pivotar (01 §7.3). Es una recomendación; decide el órgano competente en P29.</w:t>
            </w:r>
          </w:p>
        </w:tc>
      </w:tr>
      <w:tr>
        <w:tc>
          <w:tcPr>
            <w:tcW w:w="3213" w:type="dxa"/>
          </w:tcPr>
          <w:p>
            <w:pPr>
              <w:pStyle w:val="Celda"/>
            </w:pPr>
            <w:r>
              <w:t xml:space="preserve">Condiciones propuestas</w:t>
            </w:r>
          </w:p>
        </w:tc>
        <w:tc>
          <w:tcPr>
            <w:tcW w:w="3213" w:type="dxa"/>
          </w:tcPr>
          <w:p>
            <w:pPr>
              <w:pStyle w:val="Celda"/>
            </w:pPr>
          </w:p>
        </w:tc>
        <w:tc>
          <w:tcPr>
            <w:tcW w:w="3213" w:type="dxa"/>
          </w:tcPr>
          <w:p>
            <w:pPr>
              <w:pStyle w:val="Celda"/>
            </w:pPr>
            <w:r>
              <w:t xml:space="preserve">Solo sobre aspectos no críticos, con plazo y responsable.</w:t>
            </w:r>
          </w:p>
        </w:tc>
      </w:tr>
    </w:tbl>
    <w:p>
      <w:pPr>
        <w:pStyle w:val="Espacio"/>
      </w:pPr>
    </w:p>
    <w:p>
      <w:pPr>
        <w:pStyle w:val="Separador"/>
      </w:pPr>
    </w:p>
    <w:p>
      <w:pPr>
        <w:pStyle w:val="Heading1"/>
      </w:pPr>
      <w:r>
        <w:t xml:space="preserve">11. Criterios de calidad</w:t>
      </w:r>
    </w:p>
    <w:p>
      <w:r>
        <w:t xml:space="preserve">Criterios formales de G5 en el documento 21; lista LV-G5 en el documento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Los umbrales y criterios de parada son los fijados en la fase 2, con fecha anterior al piloto.</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El piloto se ha realizado en condiciones reales con el método de atribución aprobado.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pruebas de sesgo, robustez, seguridad e inyección de instrucciones se han ejecutado.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Todo importe tiene fórmula, tipo y estado; la proyección anual figura como estimada.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capacidad liberada se informa por separado y no suma.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Las pruebas no superadas sobre controles críticos están resueltas.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 recomendación es coherente con los resultados y con los criterios de parada.</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 (piloto y valor)</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Autor (pruebas)</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Validación de importes</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Responsable de riesgos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Decisor del </w:t>
            </w:r>
            <w:r>
              <w:rPr>
                <w:i/>
              </w:rPr>
              <w:t xml:space="preserve">gate</w:t>
            </w:r>
          </w:p>
        </w:tc>
        <w:tc>
          <w:tcPr>
            <w:tcW w:w="1928" w:type="dxa"/>
          </w:tcPr>
          <w:p>
            <w:pPr>
              <w:pStyle w:val="Celda"/>
            </w:pPr>
            <w:r>
              <w:t xml:space="preserve">Según 01 §7.5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verificador y quien valida los importes no forman parte del equipo que construye.</w:t>
      </w:r>
    </w:p>
    <w:p>
      <w:pPr>
        <w:pStyle w:val="Separador"/>
      </w:pPr>
    </w:p>
    <w:p>
      <w:pPr>
        <w:pStyle w:val="Heading1"/>
      </w:pPr>
      <w:r>
        <w:t xml:space="preserve">13.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P22 · Resultados de validación y del piloto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P22 · Resultados de validación y del piloto</dc:title>
  <dc:creator>Fernando García Varela</dc:creator>
  <dc:language>es</dc:language>
  <dc:description>sha256:52e23be1c1c06a8b7b09e84b9914f4fdff0e3f72467bee3511322b135d0ffb62</dc:description>
  <cp:keywords>SEVEN-G</cp:keywords>
</cp:coreProperties>
</file>