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Configuración de monitorización y alertas</w:t>
      </w:r>
    </w:p>
    <w:p>
      <w:r>
        <w:rPr>
          <w:b/>
        </w:rPr>
        <w:t xml:space="preserve">Define qué se vigila del sistema de IA en producción, con qué umbrales, quién recibe cada alerta y qué acción desencadena.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P25 · Configuración de monitorización y alertas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diseña en la fase 4, se configura y prueba en la fase 5 y se mantiene en la fase 6.</w:t>
            </w:r>
          </w:p>
        </w:tc>
      </w:tr>
      <w:tr>
        <w:tc>
          <w:tcPr>
            <w:tcW w:w="4819" w:type="dxa"/>
          </w:tcPr>
          <w:p>
            <w:pPr>
              <w:pStyle w:val="Celda"/>
            </w:pPr>
            <w:r>
              <w:rPr>
                <w:b/>
              </w:rPr>
              <w:t xml:space="preserve">Quién la rellena</w:t>
            </w:r>
          </w:p>
        </w:tc>
        <w:tc>
          <w:tcPr>
            <w:tcW w:w="4819" w:type="dxa"/>
          </w:tcPr>
          <w:p>
            <w:pPr>
              <w:pStyle w:val="Celda"/>
            </w:pPr>
            <w:r>
              <w:t xml:space="preserve">Responsable de operación de IA, con el responsable técnico y el responsable de producto de IA (métricas de adopción y valor).</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G4 (diseño), G5 (configuración probada) y R6 (vigencia de umbrales).</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Toda iniciativa en producción debe vigilar, como mínimo, rendimiento, disponibilidad, coste y los indicadores de supervisión humana de P17.</w:t>
            </w:r>
          </w:p>
        </w:tc>
      </w:tr>
      <w:tr>
        <w:tc>
          <w:tcPr>
            <w:tcW w:w="4819" w:type="dxa"/>
          </w:tcPr>
          <w:p>
            <w:pPr>
              <w:pStyle w:val="Celda"/>
            </w:pPr>
            <w:r>
              <w:rPr>
                <w:b/>
              </w:rPr>
              <w:t xml:space="preserve">Relación</w:t>
            </w:r>
          </w:p>
        </w:tc>
        <w:tc>
          <w:tcPr>
            <w:tcW w:w="4819" w:type="dxa"/>
          </w:tcPr>
          <w:p>
            <w:pPr>
              <w:pStyle w:val="Celda"/>
            </w:pPr>
            <w:r>
              <w:t xml:space="preserve">P09 Línea base · P16 Linaje (referencia de deriva) · P17 Indicadores de supervisión · P18 Registro de acciones · P19 Disparadores de reversión · P24 Manual de operación · P26 Respuesta a incidentes · P28 Seguimiento de valor · documentos 41 (Catálogo de indicadores) y 52.</w:t>
            </w:r>
          </w:p>
        </w:tc>
      </w:tr>
    </w:tbl>
    <w:p>
      <w:pPr>
        <w:pStyle w:val="Espacio"/>
      </w:pPr>
    </w:p>
    <w:p>
      <w:r>
        <w:t xml:space="preserve">Reglas:</w:t>
      </w:r>
    </w:p>
    <w:p>
      <w:pPr>
        <w:pStyle w:val="Lista"/>
      </w:pPr>
      <w:r>
        <w:t xml:space="preserve">• Cada disparador de reversión de P19 debe tener una alerta en este documento.</w:t>
      </w:r>
    </w:p>
    <w:p>
      <w:pPr>
        <w:pStyle w:val="Lista"/>
      </w:pPr>
      <w:r>
        <w:t xml:space="preserve">• </w:t>
      </w:r>
      <w:r>
        <w:rPr>
          <w:b/>
        </w:rPr>
        <w:t xml:space="preserve">"Sin dato" no es cero:</w:t>
      </w:r>
      <w:r>
        <w:t xml:space="preserve"> la ausencia de una métrica es en sí misma una alerta, nunca un valor normal.</w:t>
      </w:r>
    </w:p>
    <w:p>
      <w:pPr>
        <w:pStyle w:val="Lista"/>
      </w:pPr>
      <w:r>
        <w:t xml:space="preserve">• La severidad de una alerta es una </w:t>
      </w:r>
      <w:r>
        <w:rPr>
          <w:b/>
        </w:rPr>
        <w:t xml:space="preserve">propuesta inicial</w:t>
      </w:r>
      <w:r>
        <w:t xml:space="preserve">; la severidad del incidente se clasifica con los criterios del documento 37 (P26).</w:t>
      </w:r>
    </w:p>
    <w:p>
      <w:pPr>
        <w:pStyle w:val="Lista"/>
      </w:pPr>
      <w:r>
        <w:t xml:space="preserve">• Los cambios de umbral se registran en P27 con su motivo.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Tecnología</w:t>
            </w:r>
          </w:p>
        </w:tc>
        <w:tc>
          <w:tcPr>
            <w:tcW w:w="3213" w:type="dxa"/>
          </w:tcPr>
          <w:p>
            <w:pPr>
              <w:pStyle w:val="Celda"/>
            </w:pPr>
          </w:p>
        </w:tc>
        <w:tc>
          <w:tcPr>
            <w:tcW w:w="3213" w:type="dxa"/>
          </w:tcPr>
          <w:p>
            <w:pPr>
              <w:pStyle w:val="Celda"/>
            </w:pPr>
            <w:r>
              <w:t xml:space="preserve">ML predictivo · IA generativa · Agente · Procesamiento de lenguaje y documentos · Visión · Optimización · IA de terceros embebida · Reglas (no es IA).</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Herramienta de monitorización</w:t>
            </w:r>
          </w:p>
        </w:tc>
        <w:tc>
          <w:tcPr>
            <w:tcW w:w="3213" w:type="dxa"/>
          </w:tcPr>
          <w:p>
            <w:pPr>
              <w:pStyle w:val="Celda"/>
            </w:pPr>
          </w:p>
        </w:tc>
        <w:tc>
          <w:tcPr>
            <w:tcW w:w="3213" w:type="dxa"/>
          </w:tcPr>
          <w:p>
            <w:pPr>
              <w:pStyle w:val="Celda"/>
            </w:pPr>
            <w:r>
              <w:t xml:space="preserve">Nombre de la herramienta interna o del proveedor.</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Catálogo de métricas</w:t>
      </w:r>
    </w:p>
    <w:p>
      <w:r>
        <w:rPr>
          <w:b/>
        </w:rPr>
        <w:t xml:space="preserve">Categoría:</w:t>
      </w:r>
      <w:r>
        <w:t xml:space="preserve"> Rendimiento del modelo · Deriva de datos · Deriva de uso · Calidad de datos de entrada · Sesgo y equidad · Disponibilidad y latencia · Coste y consumo · Seguridad · Comportamiento del agente · Supervisión humana · Adopción · Valor.</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ID</w:t>
            </w:r>
          </w:p>
        </w:tc>
        <w:tc>
          <w:tcPr>
            <w:tcW w:w="964" w:type="dxa"/>
            <w:shd w:val="clear" w:color="auto" w:fill="F2DFCE"/>
          </w:tcPr>
          <w:p>
            <w:pPr>
              <w:pStyle w:val="Celda"/>
            </w:pPr>
            <w:r>
              <w:rPr>
                <w:b/>
              </w:rPr>
              <w:t xml:space="preserve">Métrica</w:t>
            </w:r>
          </w:p>
        </w:tc>
        <w:tc>
          <w:tcPr>
            <w:tcW w:w="964" w:type="dxa"/>
            <w:shd w:val="clear" w:color="auto" w:fill="F2DFCE"/>
          </w:tcPr>
          <w:p>
            <w:pPr>
              <w:pStyle w:val="Celda"/>
            </w:pPr>
            <w:r>
              <w:rPr>
                <w:b/>
              </w:rPr>
              <w:t xml:space="preserve">Categoría</w:t>
            </w:r>
          </w:p>
        </w:tc>
        <w:tc>
          <w:tcPr>
            <w:tcW w:w="964" w:type="dxa"/>
            <w:shd w:val="clear" w:color="auto" w:fill="F2DFCE"/>
          </w:tcPr>
          <w:p>
            <w:pPr>
              <w:pStyle w:val="Celda"/>
            </w:pPr>
            <w:r>
              <w:rPr>
                <w:b/>
              </w:rPr>
              <w:t xml:space="preserve">Definición y fórmula</w:t>
            </w:r>
          </w:p>
        </w:tc>
        <w:tc>
          <w:tcPr>
            <w:tcW w:w="964" w:type="dxa"/>
            <w:shd w:val="clear" w:color="auto" w:fill="F2DFCE"/>
          </w:tcPr>
          <w:p>
            <w:pPr>
              <w:pStyle w:val="Celda"/>
            </w:pPr>
            <w:r>
              <w:rPr>
                <w:b/>
              </w:rPr>
              <w:t xml:space="preserve">Fuente</w:t>
            </w:r>
          </w:p>
        </w:tc>
        <w:tc>
          <w:tcPr>
            <w:tcW w:w="964" w:type="dxa"/>
            <w:shd w:val="clear" w:color="auto" w:fill="F2DFCE"/>
          </w:tcPr>
          <w:p>
            <w:pPr>
              <w:pStyle w:val="Celda"/>
            </w:pPr>
            <w:r>
              <w:rPr>
                <w:b/>
              </w:rPr>
              <w:t xml:space="preserve">Frecuencia de cálculo</w:t>
            </w:r>
          </w:p>
        </w:tc>
        <w:tc>
          <w:tcPr>
            <w:tcW w:w="964" w:type="dxa"/>
            <w:shd w:val="clear" w:color="auto" w:fill="F2DFCE"/>
          </w:tcPr>
          <w:p>
            <w:pPr>
              <w:pStyle w:val="Celda"/>
            </w:pPr>
            <w:r>
              <w:rPr>
                <w:b/>
              </w:rPr>
              <w:t xml:space="preserve">Valor de referencia</w:t>
            </w:r>
          </w:p>
        </w:tc>
        <w:tc>
          <w:tcPr>
            <w:tcW w:w="964" w:type="dxa"/>
            <w:shd w:val="clear" w:color="auto" w:fill="F2DFCE"/>
          </w:tcPr>
          <w:p>
            <w:pPr>
              <w:pStyle w:val="Celda"/>
            </w:pPr>
            <w:r>
              <w:rPr>
                <w:b/>
              </w:rPr>
              <w:t xml:space="preserve">Umbral de aviso</w:t>
            </w:r>
          </w:p>
        </w:tc>
        <w:tc>
          <w:tcPr>
            <w:tcW w:w="964" w:type="dxa"/>
            <w:shd w:val="clear" w:color="auto" w:fill="F2DFCE"/>
          </w:tcPr>
          <w:p>
            <w:pPr>
              <w:pStyle w:val="Celda"/>
            </w:pPr>
            <w:r>
              <w:rPr>
                <w:b/>
              </w:rPr>
              <w:t xml:space="preserve">Umbral crítico</w:t>
            </w:r>
          </w:p>
        </w:tc>
        <w:tc>
          <w:tcPr>
            <w:tcW w:w="964" w:type="dxa"/>
            <w:shd w:val="clear" w:color="auto" w:fill="F2DFCE"/>
          </w:tcPr>
          <w:p>
            <w:pPr>
              <w:pStyle w:val="Celda"/>
            </w:pPr>
            <w:r>
              <w:rPr>
                <w:b/>
              </w:rPr>
              <w:t xml:space="preserve">Responsable</w:t>
            </w:r>
          </w:p>
        </w:tc>
      </w:tr>
      <w:tr>
        <w:tc>
          <w:tcPr>
            <w:tcW w:w="964" w:type="dxa"/>
          </w:tcPr>
          <w:p>
            <w:pPr>
              <w:pStyle w:val="Celda"/>
            </w:pPr>
            <w:r>
              <w:t xml:space="preserve">M-01 </w:t>
            </w:r>
            <w:r>
              <w:rPr>
                <w:i/>
              </w:rPr>
              <w:t xml:space="preserve">(ejemplo ilustrativo)</w:t>
            </w:r>
          </w:p>
        </w:tc>
        <w:tc>
          <w:tcPr>
            <w:tcW w:w="964" w:type="dxa"/>
          </w:tcPr>
          <w:p>
            <w:pPr>
              <w:pStyle w:val="Celda"/>
            </w:pPr>
            <w:r>
              <w:t xml:space="preserve">Tasa de anulación humana</w:t>
            </w:r>
          </w:p>
        </w:tc>
        <w:tc>
          <w:tcPr>
            <w:tcW w:w="964" w:type="dxa"/>
          </w:tcPr>
          <w:p>
            <w:pPr>
              <w:pStyle w:val="Celda"/>
            </w:pPr>
            <w:r>
              <w:t xml:space="preserve">Supervisión humana</w:t>
            </w:r>
          </w:p>
        </w:tc>
        <w:tc>
          <w:tcPr>
            <w:tcW w:w="964" w:type="dxa"/>
          </w:tcPr>
          <w:p>
            <w:pPr>
              <w:pStyle w:val="Celda"/>
            </w:pPr>
            <w:r>
              <w:t xml:space="preserve">Propuestas rechazadas o corregidas ÷ propuestas revisadas, diaria</w:t>
            </w:r>
          </w:p>
        </w:tc>
        <w:tc>
          <w:tcPr>
            <w:tcW w:w="964" w:type="dxa"/>
          </w:tcPr>
          <w:p>
            <w:pPr>
              <w:pStyle w:val="Celda"/>
            </w:pPr>
            <w:r>
              <w:t xml:space="preserve">Registro de validaciones</w:t>
            </w:r>
          </w:p>
        </w:tc>
        <w:tc>
          <w:tcPr>
            <w:tcW w:w="964" w:type="dxa"/>
          </w:tcPr>
          <w:p>
            <w:pPr>
              <w:pStyle w:val="Celda"/>
            </w:pPr>
            <w:r>
              <w:t xml:space="preserve">Diaria</w:t>
            </w:r>
          </w:p>
        </w:tc>
        <w:tc>
          <w:tcPr>
            <w:tcW w:w="964" w:type="dxa"/>
          </w:tcPr>
          <w:p>
            <w:pPr>
              <w:pStyle w:val="Celda"/>
            </w:pPr>
            <w:r>
              <w:t xml:space="preserve">8 % (piloto)</w:t>
            </w:r>
          </w:p>
        </w:tc>
        <w:tc>
          <w:tcPr>
            <w:tcW w:w="964" w:type="dxa"/>
          </w:tcPr>
          <w:p>
            <w:pPr>
              <w:pStyle w:val="Celda"/>
            </w:pPr>
            <w:r>
              <w:t xml:space="preserve">&gt; 15 %</w:t>
            </w:r>
          </w:p>
        </w:tc>
        <w:tc>
          <w:tcPr>
            <w:tcW w:w="964" w:type="dxa"/>
          </w:tcPr>
          <w:p>
            <w:pPr>
              <w:pStyle w:val="Celda"/>
            </w:pPr>
            <w:r>
              <w:t xml:space="preserve">&gt; 25 % dos días seguidos</w:t>
            </w:r>
          </w:p>
        </w:tc>
        <w:tc>
          <w:tcPr>
            <w:tcW w:w="964" w:type="dxa"/>
          </w:tcPr>
          <w:p>
            <w:pPr>
              <w:pStyle w:val="Celda"/>
            </w:pPr>
            <w:r>
              <w:t xml:space="preserve">Responsable de operación de IA</w:t>
            </w:r>
          </w:p>
        </w:tc>
      </w:tr>
      <w:tr>
        <w:tc>
          <w:tcPr>
            <w:tcW w:w="964" w:type="dxa"/>
          </w:tcPr>
          <w:p>
            <w:pPr>
              <w:pStyle w:val="Celda"/>
            </w:pPr>
            <w:r>
              <w:t xml:space="preserve">M-02 </w:t>
            </w:r>
            <w:r>
              <w:rPr>
                <w:i/>
              </w:rPr>
              <w:t xml:space="preserve">(ejemplo ilustrativo)</w:t>
            </w:r>
          </w:p>
        </w:tc>
        <w:tc>
          <w:tcPr>
            <w:tcW w:w="964" w:type="dxa"/>
          </w:tcPr>
          <w:p>
            <w:pPr>
              <w:pStyle w:val="Celda"/>
            </w:pPr>
            <w:r>
              <w:t xml:space="preserve">Coste de consumo de modelos</w:t>
            </w:r>
          </w:p>
        </w:tc>
        <w:tc>
          <w:tcPr>
            <w:tcW w:w="964" w:type="dxa"/>
          </w:tcPr>
          <w:p>
            <w:pPr>
              <w:pStyle w:val="Celda"/>
            </w:pPr>
            <w:r>
              <w:t xml:space="preserve">Coste y consumo</w:t>
            </w:r>
          </w:p>
        </w:tc>
        <w:tc>
          <w:tcPr>
            <w:tcW w:w="964" w:type="dxa"/>
          </w:tcPr>
          <w:p>
            <w:pPr>
              <w:pStyle w:val="Celda"/>
            </w:pPr>
            <w:r>
              <w:t xml:space="preserve">Suma diaria facturada por el proveedor</w:t>
            </w:r>
          </w:p>
        </w:tc>
        <w:tc>
          <w:tcPr>
            <w:tcW w:w="964" w:type="dxa"/>
          </w:tcPr>
          <w:p>
            <w:pPr>
              <w:pStyle w:val="Celda"/>
            </w:pPr>
            <w:r>
              <w:t xml:space="preserve">Consola del proveedor</w:t>
            </w:r>
          </w:p>
        </w:tc>
        <w:tc>
          <w:tcPr>
            <w:tcW w:w="964" w:type="dxa"/>
          </w:tcPr>
          <w:p>
            <w:pPr>
              <w:pStyle w:val="Celda"/>
            </w:pPr>
            <w:r>
              <w:t xml:space="preserve">Diaria</w:t>
            </w:r>
          </w:p>
        </w:tc>
        <w:tc>
          <w:tcPr>
            <w:tcW w:w="964" w:type="dxa"/>
          </w:tcPr>
          <w:p>
            <w:pPr>
              <w:pStyle w:val="Celda"/>
            </w:pPr>
            <w:r>
              <w:t xml:space="preserve">65 €/día</w:t>
            </w:r>
          </w:p>
        </w:tc>
        <w:tc>
          <w:tcPr>
            <w:tcW w:w="964" w:type="dxa"/>
          </w:tcPr>
          <w:p>
            <w:pPr>
              <w:pStyle w:val="Celda"/>
            </w:pPr>
            <w:r>
              <w:t xml:space="preserve">&gt; 90 €/día</w:t>
            </w:r>
          </w:p>
        </w:tc>
        <w:tc>
          <w:tcPr>
            <w:tcW w:w="964" w:type="dxa"/>
          </w:tcPr>
          <w:p>
            <w:pPr>
              <w:pStyle w:val="Celda"/>
            </w:pPr>
            <w:r>
              <w:t xml:space="preserve">&gt; 150 €/día</w:t>
            </w:r>
          </w:p>
        </w:tc>
        <w:tc>
          <w:tcPr>
            <w:tcW w:w="964" w:type="dxa"/>
          </w:tcPr>
          <w:p>
            <w:pPr>
              <w:pStyle w:val="Celda"/>
            </w:pPr>
            <w:r>
              <w:t xml:space="preserve">Responsable de producto de IA</w:t>
            </w:r>
          </w:p>
        </w:tc>
      </w:tr>
      <w:tr>
        <w:tc>
          <w:tcPr>
            <w:tcW w:w="964" w:type="dxa"/>
          </w:tcPr>
          <w:p>
            <w:pPr>
              <w:pStyle w:val="Celda"/>
            </w:pPr>
            <w:r>
              <w:t xml:space="preserve">M-03 </w:t>
            </w:r>
            <w:r>
              <w:rPr>
                <w:i/>
              </w:rPr>
              <w:t xml:space="preserve">(ejemplo ilustrativo)</w:t>
            </w:r>
          </w:p>
        </w:tc>
        <w:tc>
          <w:tcPr>
            <w:tcW w:w="964" w:type="dxa"/>
          </w:tcPr>
          <w:p>
            <w:pPr>
              <w:pStyle w:val="Celda"/>
            </w:pPr>
            <w:r>
              <w:t xml:space="preserve">Acciones bloqueadas por límites</w:t>
            </w:r>
          </w:p>
        </w:tc>
        <w:tc>
          <w:tcPr>
            <w:tcW w:w="964" w:type="dxa"/>
          </w:tcPr>
          <w:p>
            <w:pPr>
              <w:pStyle w:val="Celda"/>
            </w:pPr>
            <w:r>
              <w:t xml:space="preserve">Comportamiento del agente</w:t>
            </w:r>
          </w:p>
        </w:tc>
        <w:tc>
          <w:tcPr>
            <w:tcW w:w="964" w:type="dxa"/>
          </w:tcPr>
          <w:p>
            <w:pPr>
              <w:pStyle w:val="Celda"/>
            </w:pPr>
            <w:r>
              <w:t xml:space="preserve">Nº de acciones bloqueadas por límites o control de intención</w:t>
            </w:r>
          </w:p>
        </w:tc>
        <w:tc>
          <w:tcPr>
            <w:tcW w:w="964" w:type="dxa"/>
          </w:tcPr>
          <w:p>
            <w:pPr>
              <w:pStyle w:val="Celda"/>
            </w:pPr>
            <w:r>
              <w:t xml:space="preserve">Registro de acciones (P18)</w:t>
            </w:r>
          </w:p>
        </w:tc>
        <w:tc>
          <w:tcPr>
            <w:tcW w:w="964" w:type="dxa"/>
          </w:tcPr>
          <w:p>
            <w:pPr>
              <w:pStyle w:val="Celda"/>
            </w:pPr>
            <w:r>
              <w:t xml:space="preserve">Continua</w:t>
            </w:r>
          </w:p>
        </w:tc>
        <w:tc>
          <w:tcPr>
            <w:tcW w:w="964" w:type="dxa"/>
          </w:tcPr>
          <w:p>
            <w:pPr>
              <w:pStyle w:val="Celda"/>
            </w:pPr>
            <w:r>
              <w:t xml:space="preserve">0–3/día</w:t>
            </w:r>
          </w:p>
        </w:tc>
        <w:tc>
          <w:tcPr>
            <w:tcW w:w="964" w:type="dxa"/>
          </w:tcPr>
          <w:p>
            <w:pPr>
              <w:pStyle w:val="Celda"/>
            </w:pPr>
            <w:r>
              <w:t xml:space="preserve">&gt; 10/día</w:t>
            </w:r>
          </w:p>
        </w:tc>
        <w:tc>
          <w:tcPr>
            <w:tcW w:w="964" w:type="dxa"/>
          </w:tcPr>
          <w:p>
            <w:pPr>
              <w:pStyle w:val="Celda"/>
            </w:pPr>
            <w:r>
              <w:t xml:space="preserve">Cualquier acción ejecutada fuera de límites</w:t>
            </w:r>
          </w:p>
        </w:tc>
        <w:tc>
          <w:tcPr>
            <w:tcW w:w="964" w:type="dxa"/>
          </w:tcPr>
          <w:p>
            <w:pPr>
              <w:pStyle w:val="Celda"/>
            </w:pPr>
            <w:r>
              <w:t xml:space="preserve">Seguridad de la información</w:t>
            </w:r>
          </w:p>
        </w:tc>
      </w:tr>
      <w:tr>
        <w:tc>
          <w:tcPr>
            <w:tcW w:w="964" w:type="dxa"/>
          </w:tcPr>
          <w:p>
            <w:pPr>
              <w:pStyle w:val="Celda"/>
            </w:pPr>
            <w:r>
              <w:t xml:space="preserve">M-04 </w:t>
            </w:r>
            <w:r>
              <w:rPr>
                <w:i/>
              </w:rPr>
              <w:t xml:space="preserve">(ejemplo ilustrativo)</w:t>
            </w:r>
          </w:p>
        </w:tc>
        <w:tc>
          <w:tcPr>
            <w:tcW w:w="964" w:type="dxa"/>
          </w:tcPr>
          <w:p>
            <w:pPr>
              <w:pStyle w:val="Celda"/>
            </w:pPr>
            <w:r>
              <w:t xml:space="preserve">Actualidad de los datos de entrada</w:t>
            </w:r>
          </w:p>
        </w:tc>
        <w:tc>
          <w:tcPr>
            <w:tcW w:w="964" w:type="dxa"/>
          </w:tcPr>
          <w:p>
            <w:pPr>
              <w:pStyle w:val="Celda"/>
            </w:pPr>
            <w:r>
              <w:t xml:space="preserve">Calidad de datos de entrada</w:t>
            </w:r>
          </w:p>
        </w:tc>
        <w:tc>
          <w:tcPr>
            <w:tcW w:w="964" w:type="dxa"/>
          </w:tcPr>
          <w:p>
            <w:pPr>
              <w:pStyle w:val="Celda"/>
            </w:pPr>
            <w:r>
              <w:t xml:space="preserve">Horas desde la última carga correcta</w:t>
            </w:r>
          </w:p>
        </w:tc>
        <w:tc>
          <w:tcPr>
            <w:tcW w:w="964" w:type="dxa"/>
          </w:tcPr>
          <w:p>
            <w:pPr>
              <w:pStyle w:val="Celda"/>
            </w:pPr>
            <w:r>
              <w:t xml:space="preserve">Proceso de carga</w:t>
            </w:r>
          </w:p>
        </w:tc>
        <w:tc>
          <w:tcPr>
            <w:tcW w:w="964" w:type="dxa"/>
          </w:tcPr>
          <w:p>
            <w:pPr>
              <w:pStyle w:val="Celda"/>
            </w:pPr>
            <w:r>
              <w:t xml:space="preserve">Horaria</w:t>
            </w:r>
          </w:p>
        </w:tc>
        <w:tc>
          <w:tcPr>
            <w:tcW w:w="964" w:type="dxa"/>
          </w:tcPr>
          <w:p>
            <w:pPr>
              <w:pStyle w:val="Celda"/>
            </w:pPr>
            <w:r>
              <w:t xml:space="preserve">&lt; 2 h</w:t>
            </w:r>
          </w:p>
        </w:tc>
        <w:tc>
          <w:tcPr>
            <w:tcW w:w="964" w:type="dxa"/>
          </w:tcPr>
          <w:p>
            <w:pPr>
              <w:pStyle w:val="Celda"/>
            </w:pPr>
            <w:r>
              <w:t xml:space="preserve">&gt; 4 h</w:t>
            </w:r>
          </w:p>
        </w:tc>
        <w:tc>
          <w:tcPr>
            <w:tcW w:w="964" w:type="dxa"/>
          </w:tcPr>
          <w:p>
            <w:pPr>
              <w:pStyle w:val="Celda"/>
            </w:pPr>
            <w:r>
              <w:t xml:space="preserve">&gt; 12 h o sin dato</w:t>
            </w:r>
          </w:p>
        </w:tc>
        <w:tc>
          <w:tcPr>
            <w:tcW w:w="964" w:type="dxa"/>
          </w:tcPr>
          <w:p>
            <w:pPr>
              <w:pStyle w:val="Celda"/>
            </w:pPr>
            <w:r>
              <w:t xml:space="preserve">Guardia técnica</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4. Métricas mínimas por tipo de sistema</w:t>
      </w:r>
    </w:p>
    <w:p>
      <w:r>
        <w:t xml:space="preserve">Marque las que aplican y enlace el ID del bloque 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Métrica</w:t>
            </w:r>
          </w:p>
        </w:tc>
        <w:tc>
          <w:tcPr>
            <w:tcW w:w="1928" w:type="dxa"/>
            <w:shd w:val="clear" w:color="auto" w:fill="F2DFCE"/>
          </w:tcPr>
          <w:p>
            <w:pPr>
              <w:pStyle w:val="Celda"/>
            </w:pPr>
            <w:r>
              <w:rPr>
                <w:b/>
              </w:rPr>
              <w:t xml:space="preserve">ML predictivo</w:t>
            </w:r>
          </w:p>
        </w:tc>
        <w:tc>
          <w:tcPr>
            <w:tcW w:w="1928" w:type="dxa"/>
            <w:shd w:val="clear" w:color="auto" w:fill="F2DFCE"/>
          </w:tcPr>
          <w:p>
            <w:pPr>
              <w:pStyle w:val="Celda"/>
            </w:pPr>
            <w:r>
              <w:rPr>
                <w:b/>
              </w:rPr>
              <w:t xml:space="preserve">IA generativa</w:t>
            </w:r>
          </w:p>
        </w:tc>
        <w:tc>
          <w:tcPr>
            <w:tcW w:w="1928" w:type="dxa"/>
            <w:shd w:val="clear" w:color="auto" w:fill="F2DFCE"/>
          </w:tcPr>
          <w:p>
            <w:pPr>
              <w:pStyle w:val="Celda"/>
            </w:pPr>
            <w:r>
              <w:rPr>
                <w:b/>
              </w:rPr>
              <w:t xml:space="preserve">Agente</w:t>
            </w:r>
          </w:p>
        </w:tc>
        <w:tc>
          <w:tcPr>
            <w:tcW w:w="1928" w:type="dxa"/>
            <w:shd w:val="clear" w:color="auto" w:fill="F2DFCE"/>
          </w:tcPr>
          <w:p>
            <w:pPr>
              <w:pStyle w:val="Celda"/>
            </w:pPr>
            <w:r>
              <w:rPr>
                <w:b/>
              </w:rPr>
              <w:t xml:space="preserve">ID en bloque 3</w:t>
            </w:r>
          </w:p>
        </w:tc>
      </w:tr>
      <w:tr>
        <w:tc>
          <w:tcPr>
            <w:tcW w:w="1928" w:type="dxa"/>
          </w:tcPr>
          <w:p>
            <w:pPr>
              <w:pStyle w:val="Celda"/>
            </w:pPr>
            <w:r>
              <w:t xml:space="preserve">Rendimiento frente a referencia (con resultado real cuando esté disponible)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Deriva de las variables de entrada</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Deriva de uso: distribución de temas o intenciones y consultas fuera del alcance validado</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Diferencias de rendimiento entre grupos </w:t>
            </w:r>
            <w:r>
              <w:rPr>
                <w:b/>
              </w:rPr>
              <w:t xml:space="preserve">(Enterprise)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Respuestas desiguales en pares contrafactuales (obligatoria si el sistema decide, recomienda o se comunica con personas, o tiene exposición directa)</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Respuestas no fundamentadas o marcadas como incorrectas por usuarios</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Detección de intentos de inyección de instrucciones</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Fuga de datos confidenciales o personales detectada</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Acciones ejecutadas, bloqueadas y validadas por personas</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Activaciones del interruptor de parada</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Tasa de anulación humana y tiempo de validación</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Disponibilidad, latencia y errores</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Coste de consumo y de infraestructura</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Días en modo degradado por coste y calidad durante el modo</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Uso efectivo (adopción)</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bl>
    <w:p>
      <w:pPr>
        <w:pStyle w:val="Espacio"/>
      </w:pPr>
    </w:p>
    <w:p>
      <w:r>
        <w:t xml:space="preserve">Referencias para IA generativa y agentes (documento 52 §4.2.6, §4.2.7 y §10.3):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Referencia de uso</w:t>
            </w:r>
          </w:p>
        </w:tc>
        <w:tc>
          <w:tcPr>
            <w:tcW w:w="3213" w:type="dxa"/>
          </w:tcPr>
          <w:p>
            <w:pPr>
              <w:pStyle w:val="Celda"/>
            </w:pPr>
          </w:p>
        </w:tc>
        <w:tc>
          <w:tcPr>
            <w:tcW w:w="3213" w:type="dxa"/>
          </w:tcPr>
          <w:p>
            <w:pPr>
              <w:pStyle w:val="Celda"/>
            </w:pPr>
            <w:r>
              <w:t xml:space="preserve">Temas, intenciones y alcance validados en G5, con su distribución de referencia (P16).</w:t>
            </w:r>
          </w:p>
        </w:tc>
      </w:tr>
      <w:tr>
        <w:tc>
          <w:tcPr>
            <w:tcW w:w="3213" w:type="dxa"/>
          </w:tcPr>
          <w:p>
            <w:pPr>
              <w:pStyle w:val="Celda"/>
            </w:pPr>
            <w:r>
              <w:t xml:space="preserve">Clasificación de las consultas</w:t>
            </w:r>
          </w:p>
        </w:tc>
        <w:tc>
          <w:tcPr>
            <w:tcW w:w="3213" w:type="dxa"/>
          </w:tcPr>
          <w:p>
            <w:pPr>
              <w:pStyle w:val="Celda"/>
            </w:pPr>
          </w:p>
        </w:tc>
        <w:tc>
          <w:tcPr>
            <w:tcW w:w="3213" w:type="dxa"/>
          </w:tcPr>
          <w:p>
            <w:pPr>
              <w:pStyle w:val="Celda"/>
            </w:pPr>
            <w:r>
              <w:t xml:space="preserve">Reglas, clasificador o muestreo humano; tamaño de la muestra y frecuencia.</w:t>
            </w:r>
          </w:p>
        </w:tc>
      </w:tr>
      <w:tr>
        <w:tc>
          <w:tcPr>
            <w:tcW w:w="3213" w:type="dxa"/>
          </w:tcPr>
          <w:p>
            <w:pPr>
              <w:pStyle w:val="Celda"/>
            </w:pPr>
            <w:r>
              <w:t xml:space="preserve">Pares contrafactuales</w:t>
            </w:r>
          </w:p>
        </w:tc>
        <w:tc>
          <w:tcPr>
            <w:tcW w:w="3213" w:type="dxa"/>
          </w:tcPr>
          <w:p>
            <w:pPr>
              <w:pStyle w:val="Celda"/>
            </w:pPr>
          </w:p>
        </w:tc>
        <w:tc>
          <w:tcPr>
            <w:tcW w:w="3213" w:type="dxa"/>
          </w:tcPr>
          <w:p>
            <w:pPr>
              <w:pStyle w:val="Celda"/>
            </w:pPr>
            <w:r>
              <w:t xml:space="preserve">Atributos protegidos o indicios que se prueban (según la evaluación de impacto), número de pares y qué se considera diferencia material (decisión, importe, tono, rechazo, completitud). Umbral en P17.</w:t>
            </w:r>
          </w:p>
        </w:tc>
      </w:tr>
      <w:tr>
        <w:tc>
          <w:tcPr>
            <w:tcW w:w="3213" w:type="dxa"/>
          </w:tcPr>
          <w:p>
            <w:pPr>
              <w:pStyle w:val="Celda"/>
            </w:pPr>
            <w:r>
              <w:t xml:space="preserve">Calidad mínima en modo degradado</w:t>
            </w:r>
          </w:p>
        </w:tc>
        <w:tc>
          <w:tcPr>
            <w:tcW w:w="3213" w:type="dxa"/>
          </w:tcPr>
          <w:p>
            <w:pPr>
              <w:pStyle w:val="Celda"/>
            </w:pPr>
          </w:p>
        </w:tc>
        <w:tc>
          <w:tcPr>
            <w:tcW w:w="3213" w:type="dxa"/>
          </w:tcPr>
          <w:p>
            <w:pPr>
              <w:pStyle w:val="Celda"/>
            </w:pPr>
            <w:r>
              <w:t xml:space="preserve">Valor mínimo de la métrica de calidad por debajo del cual se pasa al siguiente nivel de la cascada; muestreo al menos doble durante el modo.</w:t>
            </w:r>
          </w:p>
        </w:tc>
      </w:tr>
    </w:tbl>
    <w:p>
      <w:pPr>
        <w:pStyle w:val="Espacio"/>
      </w:pPr>
    </w:p>
    <w:p>
      <w:pPr>
        <w:pStyle w:val="Separador"/>
      </w:pPr>
    </w:p>
    <w:p>
      <w:pPr>
        <w:pStyle w:val="Heading1"/>
      </w:pPr>
      <w:r>
        <w:t xml:space="preserve">5. Reglas de alerta</w:t>
      </w:r>
    </w:p>
    <w:p>
      <w:r>
        <w:rPr>
          <w:b/>
        </w:rPr>
        <w:t xml:space="preserve">Severidad inicial propuesta:</w:t>
      </w:r>
      <w:r>
        <w:t xml:space="preserve"> S1 Crítica · S2 Alta · S3 Media · S4 Baja (se confirma con el documento 37). </w:t>
      </w:r>
      <w:r>
        <w:rPr>
          <w:b/>
        </w:rPr>
        <w:t xml:space="preserve">Acción asociada:</w:t>
      </w:r>
      <w:r>
        <w:t xml:space="preserve"> Revisar · Aplicar procedimiento de P24 · Abrir incidente (P26) · Activar disparador de reversión (P19) · Interruptor de parada.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 alerta</w:t>
            </w:r>
          </w:p>
        </w:tc>
        <w:tc>
          <w:tcPr>
            <w:tcW w:w="1205" w:type="dxa"/>
            <w:shd w:val="clear" w:color="auto" w:fill="F2DFCE"/>
          </w:tcPr>
          <w:p>
            <w:pPr>
              <w:pStyle w:val="Celda"/>
            </w:pPr>
            <w:r>
              <w:rPr>
                <w:b/>
              </w:rPr>
              <w:t xml:space="preserve">Condición (métrica y umbral)</w:t>
            </w:r>
          </w:p>
        </w:tc>
        <w:tc>
          <w:tcPr>
            <w:tcW w:w="1205" w:type="dxa"/>
            <w:shd w:val="clear" w:color="auto" w:fill="F2DFCE"/>
          </w:tcPr>
          <w:p>
            <w:pPr>
              <w:pStyle w:val="Celda"/>
            </w:pPr>
            <w:r>
              <w:rPr>
                <w:b/>
              </w:rPr>
              <w:t xml:space="preserve">Severidad inicial</w:t>
            </w:r>
          </w:p>
        </w:tc>
        <w:tc>
          <w:tcPr>
            <w:tcW w:w="1205" w:type="dxa"/>
            <w:shd w:val="clear" w:color="auto" w:fill="F2DFCE"/>
          </w:tcPr>
          <w:p>
            <w:pPr>
              <w:pStyle w:val="Celda"/>
            </w:pPr>
            <w:r>
              <w:rPr>
                <w:b/>
              </w:rPr>
              <w:t xml:space="preserve">Destinatario</w:t>
            </w:r>
          </w:p>
        </w:tc>
        <w:tc>
          <w:tcPr>
            <w:tcW w:w="1205" w:type="dxa"/>
            <w:shd w:val="clear" w:color="auto" w:fill="F2DFCE"/>
          </w:tcPr>
          <w:p>
            <w:pPr>
              <w:pStyle w:val="Celda"/>
            </w:pPr>
            <w:r>
              <w:rPr>
                <w:b/>
              </w:rPr>
              <w:t xml:space="preserve">Canal</w:t>
            </w:r>
          </w:p>
        </w:tc>
        <w:tc>
          <w:tcPr>
            <w:tcW w:w="1205" w:type="dxa"/>
            <w:shd w:val="clear" w:color="auto" w:fill="F2DFCE"/>
          </w:tcPr>
          <w:p>
            <w:pPr>
              <w:pStyle w:val="Celda"/>
            </w:pPr>
            <w:r>
              <w:rPr>
                <w:b/>
              </w:rPr>
              <w:t xml:space="preserve">Tiempo máximo de reconocimiento</w:t>
            </w:r>
          </w:p>
        </w:tc>
        <w:tc>
          <w:tcPr>
            <w:tcW w:w="1205" w:type="dxa"/>
            <w:shd w:val="clear" w:color="auto" w:fill="F2DFCE"/>
          </w:tcPr>
          <w:p>
            <w:pPr>
              <w:pStyle w:val="Celda"/>
            </w:pPr>
            <w:r>
              <w:rPr>
                <w:b/>
              </w:rPr>
              <w:t xml:space="preserve">Acción asociada</w:t>
            </w:r>
          </w:p>
        </w:tc>
        <w:tc>
          <w:tcPr>
            <w:tcW w:w="1205" w:type="dxa"/>
            <w:shd w:val="clear" w:color="auto" w:fill="F2DFCE"/>
          </w:tcPr>
          <w:p>
            <w:pPr>
              <w:pStyle w:val="Celda"/>
            </w:pPr>
            <w:r>
              <w:rPr>
                <w:b/>
              </w:rPr>
              <w:t xml:space="preserve">Disparador de P19</w:t>
            </w:r>
          </w:p>
        </w:tc>
      </w:tr>
      <w:tr>
        <w:tc>
          <w:tcPr>
            <w:tcW w:w="1205" w:type="dxa"/>
          </w:tcPr>
          <w:p>
            <w:pPr>
              <w:pStyle w:val="Celda"/>
            </w:pPr>
            <w:r>
              <w:t xml:space="preserve">AL-01 </w:t>
            </w:r>
            <w:r>
              <w:rPr>
                <w:i/>
              </w:rPr>
              <w:t xml:space="preserve">(ejemplo ilustrativo)</w:t>
            </w:r>
          </w:p>
        </w:tc>
        <w:tc>
          <w:tcPr>
            <w:tcW w:w="1205" w:type="dxa"/>
          </w:tcPr>
          <w:p>
            <w:pPr>
              <w:pStyle w:val="Celda"/>
            </w:pPr>
            <w:r>
              <w:t xml:space="preserve">M-01 &gt; 25 % dos días seguidos</w:t>
            </w:r>
          </w:p>
        </w:tc>
        <w:tc>
          <w:tcPr>
            <w:tcW w:w="1205" w:type="dxa"/>
          </w:tcPr>
          <w:p>
            <w:pPr>
              <w:pStyle w:val="Celda"/>
            </w:pPr>
            <w:r>
              <w:t xml:space="preserve">S2 Alta</w:t>
            </w:r>
          </w:p>
        </w:tc>
        <w:tc>
          <w:tcPr>
            <w:tcW w:w="1205" w:type="dxa"/>
          </w:tcPr>
          <w:p>
            <w:pPr>
              <w:pStyle w:val="Celda"/>
            </w:pPr>
            <w:r>
              <w:t xml:space="preserve">Responsable de operación de IA</w:t>
            </w:r>
          </w:p>
        </w:tc>
        <w:tc>
          <w:tcPr>
            <w:tcW w:w="1205" w:type="dxa"/>
          </w:tcPr>
          <w:p>
            <w:pPr>
              <w:pStyle w:val="Celda"/>
            </w:pPr>
            <w:r>
              <w:t xml:space="preserve">Herramienta de guardia</w:t>
            </w:r>
          </w:p>
        </w:tc>
        <w:tc>
          <w:tcPr>
            <w:tcW w:w="1205" w:type="dxa"/>
          </w:tcPr>
          <w:p>
            <w:pPr>
              <w:pStyle w:val="Celda"/>
            </w:pPr>
            <w:r>
              <w:t xml:space="preserve">2 horas laborables</w:t>
            </w:r>
          </w:p>
        </w:tc>
        <w:tc>
          <w:tcPr>
            <w:tcW w:w="1205" w:type="dxa"/>
          </w:tcPr>
          <w:p>
            <w:pPr>
              <w:pStyle w:val="Celda"/>
            </w:pPr>
            <w:r>
              <w:t xml:space="preserve">Activar disparador de reversión</w:t>
            </w:r>
          </w:p>
        </w:tc>
        <w:tc>
          <w:tcPr>
            <w:tcW w:w="1205" w:type="dxa"/>
          </w:tcPr>
          <w:p>
            <w:pPr>
              <w:pStyle w:val="Celda"/>
            </w:pPr>
            <w:r>
              <w:t xml:space="preserve">D-01</w:t>
            </w:r>
          </w:p>
        </w:tc>
      </w:tr>
      <w:tr>
        <w:tc>
          <w:tcPr>
            <w:tcW w:w="1205" w:type="dxa"/>
          </w:tcPr>
          <w:p>
            <w:pPr>
              <w:pStyle w:val="Celda"/>
            </w:pPr>
            <w:r>
              <w:t xml:space="preserve">AL-02 </w:t>
            </w:r>
            <w:r>
              <w:rPr>
                <w:i/>
              </w:rPr>
              <w:t xml:space="preserve">(ejemplo ilustrativo)</w:t>
            </w:r>
          </w:p>
        </w:tc>
        <w:tc>
          <w:tcPr>
            <w:tcW w:w="1205" w:type="dxa"/>
          </w:tcPr>
          <w:p>
            <w:pPr>
              <w:pStyle w:val="Celda"/>
            </w:pPr>
            <w:r>
              <w:t xml:space="preserve">M-03: acción ejecutada fuera de límites</w:t>
            </w:r>
          </w:p>
        </w:tc>
        <w:tc>
          <w:tcPr>
            <w:tcW w:w="1205" w:type="dxa"/>
          </w:tcPr>
          <w:p>
            <w:pPr>
              <w:pStyle w:val="Celda"/>
            </w:pPr>
            <w:r>
              <w:t xml:space="preserve">S1 Crítica</w:t>
            </w:r>
          </w:p>
        </w:tc>
        <w:tc>
          <w:tcPr>
            <w:tcW w:w="1205" w:type="dxa"/>
          </w:tcPr>
          <w:p>
            <w:pPr>
              <w:pStyle w:val="Celda"/>
            </w:pPr>
            <w:r>
              <w:t xml:space="preserve">Guardia técnica y seguridad</w:t>
            </w:r>
          </w:p>
        </w:tc>
        <w:tc>
          <w:tcPr>
            <w:tcW w:w="1205" w:type="dxa"/>
          </w:tcPr>
          <w:p>
            <w:pPr>
              <w:pStyle w:val="Celda"/>
            </w:pPr>
            <w:r>
              <w:t xml:space="preserve">Aviso inmediato</w:t>
            </w:r>
          </w:p>
        </w:tc>
        <w:tc>
          <w:tcPr>
            <w:tcW w:w="1205" w:type="dxa"/>
          </w:tcPr>
          <w:p>
            <w:pPr>
              <w:pStyle w:val="Celda"/>
            </w:pPr>
            <w:r>
              <w:t xml:space="preserve">15 minutos</w:t>
            </w:r>
          </w:p>
        </w:tc>
        <w:tc>
          <w:tcPr>
            <w:tcW w:w="1205" w:type="dxa"/>
          </w:tcPr>
          <w:p>
            <w:pPr>
              <w:pStyle w:val="Celda"/>
            </w:pPr>
            <w:r>
              <w:t xml:space="preserve">Interruptor de parada y abrir incidente</w:t>
            </w:r>
          </w:p>
        </w:tc>
        <w:tc>
          <w:tcPr>
            <w:tcW w:w="1205" w:type="dxa"/>
          </w:tcPr>
          <w:p>
            <w:pPr>
              <w:pStyle w:val="Celda"/>
            </w:pPr>
            <w:r>
              <w:t xml:space="preserve">D-02</w:t>
            </w:r>
          </w:p>
        </w:tc>
      </w:tr>
      <w:tr>
        <w:tc>
          <w:tcPr>
            <w:tcW w:w="1205" w:type="dxa"/>
          </w:tcPr>
          <w:p>
            <w:pPr>
              <w:pStyle w:val="Celda"/>
            </w:pPr>
            <w:r>
              <w:t xml:space="preserve">AL-03 </w:t>
            </w:r>
            <w:r>
              <w:rPr>
                <w:i/>
              </w:rPr>
              <w:t xml:space="preserve">(ejemplo ilustrativo)</w:t>
            </w:r>
          </w:p>
        </w:tc>
        <w:tc>
          <w:tcPr>
            <w:tcW w:w="1205" w:type="dxa"/>
          </w:tcPr>
          <w:p>
            <w:pPr>
              <w:pStyle w:val="Celda"/>
            </w:pPr>
            <w:r>
              <w:t xml:space="preserve">Cualquier métrica crítica sin dato durante más de un ciclo</w:t>
            </w:r>
          </w:p>
        </w:tc>
        <w:tc>
          <w:tcPr>
            <w:tcW w:w="1205" w:type="dxa"/>
          </w:tcPr>
          <w:p>
            <w:pPr>
              <w:pStyle w:val="Celda"/>
            </w:pPr>
            <w:r>
              <w:t xml:space="preserve">S3 Media</w:t>
            </w:r>
          </w:p>
        </w:tc>
        <w:tc>
          <w:tcPr>
            <w:tcW w:w="1205" w:type="dxa"/>
          </w:tcPr>
          <w:p>
            <w:pPr>
              <w:pStyle w:val="Celda"/>
            </w:pPr>
            <w:r>
              <w:t xml:space="preserve">Guardia técnica</w:t>
            </w:r>
          </w:p>
        </w:tc>
        <w:tc>
          <w:tcPr>
            <w:tcW w:w="1205" w:type="dxa"/>
          </w:tcPr>
          <w:p>
            <w:pPr>
              <w:pStyle w:val="Celda"/>
            </w:pPr>
            <w:r>
              <w:t xml:space="preserve">Herramienta de guardia</w:t>
            </w:r>
          </w:p>
        </w:tc>
        <w:tc>
          <w:tcPr>
            <w:tcW w:w="1205" w:type="dxa"/>
          </w:tcPr>
          <w:p>
            <w:pPr>
              <w:pStyle w:val="Celda"/>
            </w:pPr>
            <w:r>
              <w:t xml:space="preserve">4 horas laborables</w:t>
            </w:r>
          </w:p>
        </w:tc>
        <w:tc>
          <w:tcPr>
            <w:tcW w:w="1205" w:type="dxa"/>
          </w:tcPr>
          <w:p>
            <w:pPr>
              <w:pStyle w:val="Celda"/>
            </w:pPr>
            <w:r>
              <w:t xml:space="preserve">Aplicar procedimiento de P24</w:t>
            </w:r>
          </w:p>
        </w:tc>
        <w:tc>
          <w:tcPr>
            <w:tcW w:w="1205" w:type="dxa"/>
          </w:tcPr>
          <w:p>
            <w:pPr>
              <w:pStyle w:val="Celda"/>
            </w:pPr>
            <w:r>
              <w:t xml:space="preserve">—</w:t>
            </w:r>
          </w:p>
        </w:tc>
      </w:tr>
      <w:tr>
        <w:tc>
          <w:tcPr>
            <w:tcW w:w="1205" w:type="dxa"/>
          </w:tcPr>
          <w:p>
            <w:pPr>
              <w:pStyle w:val="Celda"/>
            </w:pPr>
            <w:r>
              <w:t xml:space="preserve">AL-04 </w:t>
            </w:r>
            <w:r>
              <w:rPr>
                <w:i/>
              </w:rPr>
              <w:t xml:space="preserve">(ejemplo ilustrativo)</w:t>
            </w:r>
          </w:p>
        </w:tc>
        <w:tc>
          <w:tcPr>
            <w:tcW w:w="1205" w:type="dxa"/>
          </w:tcPr>
          <w:p>
            <w:pPr>
              <w:pStyle w:val="Celda"/>
            </w:pPr>
            <w:r>
              <w:t xml:space="preserve">Coste acumulado del mes ≥ 100 % del presupuesto</w:t>
            </w:r>
          </w:p>
        </w:tc>
        <w:tc>
          <w:tcPr>
            <w:tcW w:w="1205" w:type="dxa"/>
          </w:tcPr>
          <w:p>
            <w:pPr>
              <w:pStyle w:val="Celda"/>
            </w:pPr>
            <w:r>
              <w:t xml:space="preserve">S4 Baja</w:t>
            </w:r>
          </w:p>
        </w:tc>
        <w:tc>
          <w:tcPr>
            <w:tcW w:w="1205" w:type="dxa"/>
          </w:tcPr>
          <w:p>
            <w:pPr>
              <w:pStyle w:val="Celda"/>
            </w:pPr>
            <w:r>
              <w:t xml:space="preserve">Responsable de operación de IA</w:t>
            </w:r>
          </w:p>
        </w:tc>
        <w:tc>
          <w:tcPr>
            <w:tcW w:w="1205" w:type="dxa"/>
          </w:tcPr>
          <w:p>
            <w:pPr>
              <w:pStyle w:val="Celda"/>
            </w:pPr>
            <w:r>
              <w:t xml:space="preserve">Herramienta de guardia</w:t>
            </w:r>
          </w:p>
        </w:tc>
        <w:tc>
          <w:tcPr>
            <w:tcW w:w="1205" w:type="dxa"/>
          </w:tcPr>
          <w:p>
            <w:pPr>
              <w:pStyle w:val="Celda"/>
            </w:pPr>
            <w:r>
              <w:t xml:space="preserve">4 horas laborables</w:t>
            </w:r>
          </w:p>
        </w:tc>
        <w:tc>
          <w:tcPr>
            <w:tcW w:w="1205" w:type="dxa"/>
          </w:tcPr>
          <w:p>
            <w:pPr>
              <w:pStyle w:val="Celda"/>
            </w:pPr>
            <w:r>
              <w:t xml:space="preserve">Aplicar procedimiento de P24 (cascada de degradación por coste, nivel N2)</w:t>
            </w:r>
          </w:p>
        </w:tc>
        <w:tc>
          <w:tcPr>
            <w:tcW w:w="1205" w:type="dxa"/>
          </w:tcPr>
          <w:p>
            <w:pPr>
              <w:pStyle w:val="Celda"/>
            </w:pPr>
            <w:r>
              <w:t xml:space="preserve">D-04</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6. Paneles y destinatarios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Panel o informe</w:t>
            </w:r>
          </w:p>
        </w:tc>
        <w:tc>
          <w:tcPr>
            <w:tcW w:w="2410" w:type="dxa"/>
            <w:shd w:val="clear" w:color="auto" w:fill="F2DFCE"/>
          </w:tcPr>
          <w:p>
            <w:pPr>
              <w:pStyle w:val="Celda"/>
            </w:pPr>
            <w:r>
              <w:rPr>
                <w:b/>
              </w:rPr>
              <w:t xml:space="preserve">Destinatarios</w:t>
            </w:r>
          </w:p>
        </w:tc>
        <w:tc>
          <w:tcPr>
            <w:tcW w:w="2410" w:type="dxa"/>
            <w:shd w:val="clear" w:color="auto" w:fill="F2DFCE"/>
          </w:tcPr>
          <w:p>
            <w:pPr>
              <w:pStyle w:val="Celda"/>
            </w:pPr>
            <w:r>
              <w:rPr>
                <w:b/>
              </w:rPr>
              <w:t xml:space="preserve">Contenido</w:t>
            </w:r>
          </w:p>
        </w:tc>
        <w:tc>
          <w:tcPr>
            <w:tcW w:w="2410" w:type="dxa"/>
            <w:shd w:val="clear" w:color="auto" w:fill="F2DFCE"/>
          </w:tcPr>
          <w:p>
            <w:pPr>
              <w:pStyle w:val="Celda"/>
            </w:pPr>
            <w:r>
              <w:rPr>
                <w:b/>
              </w:rPr>
              <w:t xml:space="preserve">Frecuencia</w:t>
            </w:r>
          </w:p>
        </w:tc>
      </w:tr>
      <w:tr>
        <w:tc>
          <w:tcPr>
            <w:tcW w:w="2410" w:type="dxa"/>
          </w:tcPr>
          <w:p>
            <w:pPr>
              <w:pStyle w:val="Celda"/>
            </w:pPr>
            <w:r>
              <w:t xml:space="preserve">Panel operativo</w:t>
            </w:r>
          </w:p>
        </w:tc>
        <w:tc>
          <w:tcPr>
            <w:tcW w:w="2410" w:type="dxa"/>
          </w:tcPr>
          <w:p>
            <w:pPr>
              <w:pStyle w:val="Celda"/>
            </w:pPr>
            <w:r>
              <w:t xml:space="preserve">Responsable de operación y guardia</w:t>
            </w:r>
          </w:p>
        </w:tc>
        <w:tc>
          <w:tcPr>
            <w:tcW w:w="2410" w:type="dxa"/>
          </w:tcPr>
          <w:p>
            <w:pPr>
              <w:pStyle w:val="Celda"/>
            </w:pPr>
            <w:r>
              <w:t xml:space="preserve">Todas las métricas del bloque 3 en tiempo casi real</w:t>
            </w:r>
          </w:p>
        </w:tc>
        <w:tc>
          <w:tcPr>
            <w:tcW w:w="2410" w:type="dxa"/>
          </w:tcPr>
          <w:p>
            <w:pPr>
              <w:pStyle w:val="Celda"/>
            </w:pPr>
            <w:r>
              <w:t xml:space="preserve">Continua</w:t>
            </w:r>
          </w:p>
        </w:tc>
      </w:tr>
      <w:tr>
        <w:tc>
          <w:tcPr>
            <w:tcW w:w="2410" w:type="dxa"/>
          </w:tcPr>
          <w:p>
            <w:pPr>
              <w:pStyle w:val="Celda"/>
            </w:pPr>
            <w:r>
              <w:t xml:space="preserve">Informe de supervisión</w:t>
            </w:r>
          </w:p>
        </w:tc>
        <w:tc>
          <w:tcPr>
            <w:tcW w:w="2410" w:type="dxa"/>
          </w:tcPr>
          <w:p>
            <w:pPr>
              <w:pStyle w:val="Celda"/>
            </w:pPr>
            <w:r>
              <w:t xml:space="preserve">Responsable de producto y supervisores</w:t>
            </w:r>
          </w:p>
        </w:tc>
        <w:tc>
          <w:tcPr>
            <w:tcW w:w="2410" w:type="dxa"/>
          </w:tcPr>
          <w:p>
            <w:pPr>
              <w:pStyle w:val="Celda"/>
            </w:pPr>
            <w:r>
              <w:t xml:space="preserve">Indicadores de supervisión humana y reclamaciones</w:t>
            </w:r>
          </w:p>
        </w:tc>
        <w:tc>
          <w:tcPr>
            <w:tcW w:w="2410" w:type="dxa"/>
          </w:tcPr>
          <w:p>
            <w:pPr>
              <w:pStyle w:val="Celda"/>
            </w:pPr>
            <w:r>
              <w:t xml:space="preserve">Semanal</w:t>
            </w:r>
          </w:p>
        </w:tc>
      </w:tr>
      <w:tr>
        <w:tc>
          <w:tcPr>
            <w:tcW w:w="2410" w:type="dxa"/>
          </w:tcPr>
          <w:p>
            <w:pPr>
              <w:pStyle w:val="Celda"/>
            </w:pPr>
            <w:r>
              <w:t xml:space="preserve">Informe para R6</w:t>
            </w:r>
          </w:p>
        </w:tc>
        <w:tc>
          <w:tcPr>
            <w:tcW w:w="2410" w:type="dxa"/>
          </w:tcPr>
          <w:p>
            <w:pPr>
              <w:pStyle w:val="Celda"/>
            </w:pPr>
            <w:r>
              <w:t xml:space="preserve">Decisor de R6</w:t>
            </w:r>
          </w:p>
        </w:tc>
        <w:tc>
          <w:tcPr>
            <w:tcW w:w="2410" w:type="dxa"/>
          </w:tcPr>
          <w:p>
            <w:pPr>
              <w:pStyle w:val="Celda"/>
            </w:pPr>
            <w:r>
              <w:t xml:space="preserve">Tendencias, alertas, incidentes y valor</w:t>
            </w:r>
          </w:p>
        </w:tc>
        <w:tc>
          <w:tcPr>
            <w:tcW w:w="2410" w:type="dxa"/>
          </w:tcPr>
          <w:p>
            <w:pPr>
              <w:pStyle w:val="Celda"/>
            </w:pPr>
            <w:r>
              <w:t xml:space="preserve">Según intensidad</w:t>
            </w:r>
          </w:p>
        </w:tc>
      </w:tr>
      <w:tr>
        <w:tc>
          <w:tcPr>
            <w:tcW w:w="2410" w:type="dxa"/>
          </w:tcPr>
          <w:p>
            <w:pPr>
              <w:pStyle w:val="Celda"/>
            </w:pPr>
            <w:r>
              <w:t xml:space="preserve">Datos para el panel del consejo </w:t>
            </w:r>
            <w:r>
              <w:rPr>
                <w:b/>
              </w:rPr>
              <w:t xml:space="preserve">(Enterprise)</w:t>
            </w:r>
          </w:p>
        </w:tc>
        <w:tc>
          <w:tcPr>
            <w:tcW w:w="2410" w:type="dxa"/>
          </w:tcPr>
          <w:p>
            <w:pPr>
              <w:pStyle w:val="Celda"/>
            </w:pPr>
            <w:r>
              <w:t xml:space="preserve">Oficina de IA</w:t>
            </w:r>
          </w:p>
        </w:tc>
        <w:tc>
          <w:tcPr>
            <w:tcW w:w="2410" w:type="dxa"/>
          </w:tcPr>
          <w:p>
            <w:pPr>
              <w:pStyle w:val="Celda"/>
            </w:pPr>
            <w:r>
              <w:t xml:space="preserve">Indicadores agregados en el formato del panel (T17)</w:t>
            </w:r>
          </w:p>
        </w:tc>
        <w:tc>
          <w:tcPr>
            <w:tcW w:w="2410" w:type="dxa"/>
          </w:tcPr>
          <w:p>
            <w:pPr>
              <w:pStyle w:val="Celda"/>
            </w:pPr>
            <w:r>
              <w:t xml:space="preserve">Trimestral</w:t>
            </w:r>
          </w:p>
        </w:tc>
      </w:tr>
    </w:tbl>
    <w:p>
      <w:pPr>
        <w:pStyle w:val="Espacio"/>
      </w:pPr>
    </w:p>
    <w:p>
      <w:pPr>
        <w:pStyle w:val="Separador"/>
      </w:pPr>
    </w:p>
    <w:p>
      <w:pPr>
        <w:pStyle w:val="Heading1"/>
      </w:pPr>
      <w:r>
        <w:t xml:space="preserve">7. Prueba de la configuración</w:t>
      </w:r>
    </w:p>
    <w:p>
      <w:r>
        <w:t xml:space="preserve">Cada alerta con acción de reversión, interruptor o incidente se prueba antes de G5.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ID alerta</w:t>
            </w:r>
          </w:p>
        </w:tc>
        <w:tc>
          <w:tcPr>
            <w:tcW w:w="1606" w:type="dxa"/>
            <w:shd w:val="clear" w:color="auto" w:fill="F2DFCE"/>
          </w:tcPr>
          <w:p>
            <w:pPr>
              <w:pStyle w:val="Celda"/>
            </w:pPr>
            <w:r>
              <w:rPr>
                <w:b/>
              </w:rPr>
              <w:t xml:space="preserve">Fecha de la prueba</w:t>
            </w:r>
          </w:p>
        </w:tc>
        <w:tc>
          <w:tcPr>
            <w:tcW w:w="1606" w:type="dxa"/>
            <w:shd w:val="clear" w:color="auto" w:fill="F2DFCE"/>
          </w:tcPr>
          <w:p>
            <w:pPr>
              <w:pStyle w:val="Celda"/>
            </w:pPr>
            <w:r>
              <w:rPr>
                <w:b/>
              </w:rPr>
              <w:t xml:space="preserve">Método (Simulación de la condición · Inyección de datos de prueba · Otro)</w:t>
            </w:r>
          </w:p>
        </w:tc>
        <w:tc>
          <w:tcPr>
            <w:tcW w:w="1606" w:type="dxa"/>
            <w:shd w:val="clear" w:color="auto" w:fill="F2DFCE"/>
          </w:tcPr>
          <w:p>
            <w:pPr>
              <w:pStyle w:val="Celda"/>
            </w:pPr>
            <w:r>
              <w:rPr>
                <w:b/>
              </w:rPr>
              <w:t xml:space="preserve">¿Llegó al destinatario en plazo? (Sí · No)</w:t>
            </w:r>
          </w:p>
        </w:tc>
        <w:tc>
          <w:tcPr>
            <w:tcW w:w="1606" w:type="dxa"/>
            <w:shd w:val="clear" w:color="auto" w:fill="F2DFCE"/>
          </w:tcPr>
          <w:p>
            <w:pPr>
              <w:pStyle w:val="Celda"/>
            </w:pPr>
            <w:r>
              <w:rPr>
                <w:b/>
              </w:rPr>
              <w:t xml:space="preserve">Resultado (Superada · No superada)</w:t>
            </w:r>
          </w:p>
        </w:tc>
        <w:tc>
          <w:tcPr>
            <w:tcW w:w="1606" w:type="dxa"/>
            <w:shd w:val="clear" w:color="auto" w:fill="F2DFCE"/>
          </w:tcPr>
          <w:p>
            <w:pPr>
              <w:pStyle w:val="Celda"/>
            </w:pPr>
            <w:r>
              <w:rPr>
                <w:b/>
              </w:rPr>
              <w:t xml:space="preserve">Observaciones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8. Revisión de umbrales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Frecuencia de revisión</w:t>
            </w:r>
          </w:p>
        </w:tc>
        <w:tc>
          <w:tcPr>
            <w:tcW w:w="3213" w:type="dxa"/>
          </w:tcPr>
          <w:p>
            <w:pPr>
              <w:pStyle w:val="Celda"/>
            </w:pPr>
          </w:p>
        </w:tc>
        <w:tc>
          <w:tcPr>
            <w:tcW w:w="3213" w:type="dxa"/>
          </w:tcPr>
          <w:p>
            <w:pPr>
              <w:pStyle w:val="Celda"/>
            </w:pPr>
            <w:r>
              <w:t xml:space="preserve">Como mínimo en cada R6.</w:t>
            </w:r>
          </w:p>
        </w:tc>
      </w:tr>
      <w:tr>
        <w:tc>
          <w:tcPr>
            <w:tcW w:w="3213" w:type="dxa"/>
          </w:tcPr>
          <w:p>
            <w:pPr>
              <w:pStyle w:val="Celda"/>
            </w:pPr>
            <w:r>
              <w:t xml:space="preserve">Quién propone cambios</w:t>
            </w:r>
          </w:p>
        </w:tc>
        <w:tc>
          <w:tcPr>
            <w:tcW w:w="3213" w:type="dxa"/>
          </w:tcPr>
          <w:p>
            <w:pPr>
              <w:pStyle w:val="Celda"/>
            </w:pPr>
          </w:p>
        </w:tc>
        <w:tc>
          <w:tcPr>
            <w:tcW w:w="3213" w:type="dxa"/>
          </w:tcPr>
          <w:p>
            <w:pPr>
              <w:pStyle w:val="Celda"/>
            </w:pPr>
            <w:r>
              <w:t xml:space="preserve">Responsable de operación de IA.</w:t>
            </w:r>
          </w:p>
        </w:tc>
      </w:tr>
      <w:tr>
        <w:tc>
          <w:tcPr>
            <w:tcW w:w="3213" w:type="dxa"/>
          </w:tcPr>
          <w:p>
            <w:pPr>
              <w:pStyle w:val="Celda"/>
            </w:pPr>
            <w:r>
              <w:t xml:space="preserve">Quién aprueba cambios</w:t>
            </w:r>
          </w:p>
        </w:tc>
        <w:tc>
          <w:tcPr>
            <w:tcW w:w="3213" w:type="dxa"/>
          </w:tcPr>
          <w:p>
            <w:pPr>
              <w:pStyle w:val="Celda"/>
            </w:pPr>
          </w:p>
        </w:tc>
        <w:tc>
          <w:tcPr>
            <w:tcW w:w="3213" w:type="dxa"/>
          </w:tcPr>
          <w:p>
            <w:pPr>
              <w:pStyle w:val="Celda"/>
            </w:pPr>
            <w:r>
              <w:t xml:space="preserve">Responsable técnico con conformidad de riesgos para umbrales críticos.</w:t>
            </w:r>
          </w:p>
        </w:tc>
      </w:tr>
      <w:tr>
        <w:tc>
          <w:tcPr>
            <w:tcW w:w="3213" w:type="dxa"/>
          </w:tcPr>
          <w:p>
            <w:pPr>
              <w:pStyle w:val="Celda"/>
            </w:pPr>
            <w:r>
              <w:t xml:space="preserve">Registro de cambios de umbral</w:t>
            </w:r>
          </w:p>
        </w:tc>
        <w:tc>
          <w:tcPr>
            <w:tcW w:w="3213" w:type="dxa"/>
          </w:tcPr>
          <w:p>
            <w:pPr>
              <w:pStyle w:val="Celda"/>
            </w:pPr>
          </w:p>
        </w:tc>
        <w:tc>
          <w:tcPr>
            <w:tcW w:w="3213" w:type="dxa"/>
          </w:tcPr>
          <w:p>
            <w:pPr>
              <w:pStyle w:val="Celda"/>
            </w:pPr>
            <w:r>
              <w:t xml:space="preserve">P27, con motivo y valor anterior.</w:t>
            </w:r>
          </w:p>
        </w:tc>
      </w:tr>
      <w:tr>
        <w:tc>
          <w:tcPr>
            <w:tcW w:w="3213" w:type="dxa"/>
          </w:tcPr>
          <w:p>
            <w:pPr>
              <w:pStyle w:val="Celda"/>
            </w:pPr>
            <w:r>
              <w:t xml:space="preserve">Recalibración tras cambios relevantes </w:t>
            </w:r>
            <w:r>
              <w:rPr>
                <w:b/>
              </w:rPr>
              <w:t xml:space="preserve">(Enterprise)</w:t>
            </w:r>
          </w:p>
        </w:tc>
        <w:tc>
          <w:tcPr>
            <w:tcW w:w="3213" w:type="dxa"/>
          </w:tcPr>
          <w:p>
            <w:pPr>
              <w:pStyle w:val="Celda"/>
            </w:pPr>
          </w:p>
        </w:tc>
        <w:tc>
          <w:tcPr>
            <w:tcW w:w="3213" w:type="dxa"/>
          </w:tcPr>
          <w:p>
            <w:pPr>
              <w:pStyle w:val="Celda"/>
            </w:pPr>
            <w:r>
              <w:t xml:space="preserve">Nueva versión de modelo o población implica revisar valores de referencia.</w:t>
            </w:r>
          </w:p>
        </w:tc>
      </w:tr>
    </w:tbl>
    <w:p>
      <w:pPr>
        <w:pStyle w:val="Espacio"/>
      </w:pPr>
    </w:p>
    <w:p>
      <w:pPr>
        <w:pStyle w:val="Separador"/>
      </w:pPr>
    </w:p>
    <w:p>
      <w:pPr>
        <w:pStyle w:val="Heading1"/>
      </w:pPr>
      <w:r>
        <w:t xml:space="preserve">9. Criterios de calidad</w:t>
      </w:r>
    </w:p>
    <w:p>
      <w:r>
        <w:t xml:space="preserve">Criterios formales de G4, G5 y R6 en el documento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Cada métrica tiene definición, fuente, referencia, umbrales y responsable.</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Están cubiertas las métricas mínimas del tipo de sistema.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Todo disparador de P19 y todo indicador de supervisión de P17 tiene alerta.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 ausencia de datos genera alerta.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alertas críticas se han probado y llegan al destinatario en plazo.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cambios de umbral quedan registrados con motivo.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En IA generativa y agentes están fijadas la referencia de uso, los pares contrafactuales cuando aplican y la calidad mínima en modo degradado.</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 sobre umbrales críticos</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 ni opera el sistema.</w:t>
      </w:r>
    </w:p>
    <w:p>
      <w:pPr>
        <w:pStyle w:val="Separador"/>
      </w:pPr>
    </w:p>
    <w:p>
      <w:pPr>
        <w:pStyle w:val="Heading1"/>
      </w:pPr>
      <w:r>
        <w:t xml:space="preserve">11.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Deriva de uso, respuestas desiguales en pares contrafactuales y días en modo degradado por coste en las métricas mínimas; referencias para IA generativa y agentes; alerta de ejemplo AL-04; criterio de calidad 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P25 · Configuración de monitorización y alertas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P25 · Configuración de monitorización y alertas</dc:title>
  <dc:creator>Fernando García Varela</dc:creator>
  <dc:language>es</dc:language>
  <dc:description>sha256:988c5c8845e087fe10c7a004146ba771043b97ec1d9ed7a091616de626a396c3</dc:description>
  <cp:keywords>SEVEN-G</cp:keywords>
</cp:coreProperties>
</file>