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Informe trimestral de segunda línea</w:t>
      </w:r>
    </w:p>
    <w:p>
      <w:r>
        <w:rPr>
          <w:b/>
        </w:rPr>
        <w:t xml:space="preserve">Informa cada trimestre a la comisión delegada, o al comité que la sustituya, de los riesgos de la cartera, los incidentes, las no conformidades, las excepciones, la conciliación del inventario y los cambios regulatorios, con las decisiones que se le piden.</w:t>
      </w:r>
    </w:p>
    <w:tbl>
      <w:tblPr>
        <w:tblStyle w:val="TablaSG"/>
        <w:tblW w:w="5000" w:type="pct"/>
        <w:tblLayout w:type="autofit"/>
        <w:tblLook w:val="04A0" w:firstRow="1" w:lastRow="0" w:firstColumn="0" w:lastColumn="0" w:noHBand="1" w:noVBand="1"/>
      </w:tblPr>
      <w:tblGrid>
        <w:gridCol w:w="4819"/>
        <w:gridCol w:w="4819"/>
      </w:tblGrid>
      <w:tr>
        <w:tc>
          <w:tcPr>
            <w:tcW w:w="4819" w:type="dxa"/>
          </w:tcPr>
          <w:p>
            <w:pPr>
              <w:pStyle w:val="Celda"/>
            </w:pPr>
            <w:r>
              <w:t xml:space="preserve">Documento</w:t>
            </w:r>
          </w:p>
        </w:tc>
        <w:tc>
          <w:tcPr>
            <w:tcW w:w="4819" w:type="dxa"/>
          </w:tcPr>
          <w:p>
            <w:pPr>
              <w:pStyle w:val="Celda"/>
            </w:pPr>
            <w:r>
              <w:t xml:space="preserve">Plantilla P42 · Informe trimestral de segunda línea</w:t>
            </w:r>
          </w:p>
        </w:tc>
      </w:tr>
      <w:tr>
        <w:tc>
          <w:tcPr>
            <w:tcW w:w="4819" w:type="dxa"/>
          </w:tcPr>
          <w:p>
            <w:pPr>
              <w:pStyle w:val="Celda"/>
            </w:pPr>
            <w:r>
              <w:t xml:space="preserve">Versión</w:t>
            </w:r>
          </w:p>
        </w:tc>
        <w:tc>
          <w:tcPr>
            <w:tcW w:w="4819" w:type="dxa"/>
          </w:tcPr>
          <w:p>
            <w:pPr>
              <w:pStyle w:val="Celda"/>
            </w:pPr>
            <w:r>
              <w:t xml:space="preserve">0.1 (borrador de trabajo)</w:t>
            </w:r>
          </w:p>
        </w:tc>
      </w:tr>
      <w:tr>
        <w:tc>
          <w:tcPr>
            <w:tcW w:w="4819" w:type="dxa"/>
          </w:tcPr>
          <w:p>
            <w:pPr>
              <w:pStyle w:val="Celda"/>
            </w:pPr>
            <w:r>
              <w:t xml:space="preserve">Fecha</w:t>
            </w:r>
          </w:p>
        </w:tc>
        <w:tc>
          <w:tcPr>
            <w:tcW w:w="4819" w:type="dxa"/>
          </w:tcPr>
          <w:p>
            <w:pPr>
              <w:pStyle w:val="Celda"/>
            </w:pPr>
            <w:r>
              <w:t xml:space="preserve">19-09-2026</w:t>
            </w:r>
          </w:p>
        </w:tc>
      </w:tr>
      <w:tr>
        <w:tc>
          <w:tcPr>
            <w:tcW w:w="4819" w:type="dxa"/>
          </w:tcPr>
          <w:p>
            <w:pPr>
              <w:pStyle w:val="Celda"/>
            </w:pPr>
            <w:r>
              <w:t xml:space="preserve">Autor</w:t>
            </w:r>
          </w:p>
        </w:tc>
        <w:tc>
          <w:tcPr>
            <w:tcW w:w="4819" w:type="dxa"/>
          </w:tcPr>
          <w:p>
            <w:pPr>
              <w:pStyle w:val="Celda"/>
            </w:pPr>
            <w:r>
              <w:t xml:space="preserve">Fernando García Varela</w:t>
            </w:r>
          </w:p>
        </w:tc>
      </w:tr>
      <w:tr>
        <w:tc>
          <w:tcPr>
            <w:tcW w:w="4819" w:type="dxa"/>
          </w:tcPr>
          <w:p>
            <w:pPr>
              <w:pStyle w:val="Celda"/>
            </w:pPr>
            <w:r>
              <w:t xml:space="preserve">Estado</w:t>
            </w:r>
          </w:p>
        </w:tc>
        <w:tc>
          <w:tcPr>
            <w:tcW w:w="4819" w:type="dxa"/>
          </w:tcPr>
          <w:p>
            <w:pPr>
              <w:pStyle w:val="Celda"/>
            </w:pPr>
            <w:r>
              <w:t xml:space="preserve">Borrador para revisión.</w:t>
            </w:r>
          </w:p>
        </w:tc>
      </w:tr>
    </w:tbl>
    <w:p>
      <w:pPr>
        <w:pStyle w:val="Espacio"/>
      </w:pPr>
    </w:p>
    <w:p>
      <w:pPr>
        <w:pStyle w:val="Separador"/>
      </w:pPr>
    </w:p>
    <w:p>
      <w:pPr>
        <w:pStyle w:val="Cita"/>
      </w:pPr>
      <w:r>
        <w:rPr>
          <w:b/>
        </w:rPr>
        <w:t xml:space="preserve">Aviso legal y exención de responsabilidad.</w:t>
      </w:r>
      <w:r>
        <w:t xml:space="preserve"> SEVEN-G es un marco metodológico de referencia que se ofrece «tal cual» y con fines exclusivamente informativos. No constituye asesoramiento jurídico, regulatorio, financiero ni profesional, ni garantiza el cumplimiento de ninguna norma. Las referencias a regulación general (como el Reglamento Europeo de IA, el RGPD, DORA o NIS2), a normas técnicas y a regulación específica de cada sector o jurisdicción pueden ser incompletas, no aplicar a un caso concreto o quedar desactualizadas por cambios normativos, interpretaciones o criterios de las autoridades posteriores a su fecha de consulta. </w:t>
      </w:r>
      <w:r>
        <w:rPr>
          <w:b/>
        </w:rPr>
        <w:t xml:space="preserve">Cada organización que use SEVEN-G es la única responsable de identificar la normativa que le aplica, verificar su vigencia y certificar su propio cumplimiento regulatorio</w:t>
      </w:r>
      <w:r>
        <w:t xml:space="preserve">, con el asesoramiento cualificado que corresponda. Esta metodología es una ayuda genérica y gratuita, compartida con la comunidad para que nadie tenga que empezar desde cero; cada persona u organización puede y debe adaptarla a su propio uso. No debe entenderse que sus partes jurídicamente sensibles hayan sido revisadas por una asesoría jurídica: esas revisiones, para cada empresa o sector, son responsabilidad última de la empresa, el consultor o la organización que la use. Aunque se procura mantenerla al día, alguna norma puede haber cambiado sin que se recoja aquí. En la máxima medida permitida por la ley, el autor no asume responsabilidad alguna por los efectos de su aplicación en ninguna organización ni por su aplicabilidad completa. La metodología no otorga certificación de ningún tipo. El autor no asume responsabilidad alguna por el uso que se haga de este contenido ni por las decisiones que se adopten con él. Los datos, cifras, compañías y casos de los ejemplos son ficticios o ilustrativos.</w:t>
      </w:r>
    </w:p>
    <w:p>
      <w:pPr>
        <w:pStyle w:val="Cita"/>
      </w:pPr>
      <w:r>
        <w:rPr>
          <w:b/>
        </w:rPr>
        <w:t xml:space="preserve">Por qué importa.</w:t>
      </w:r>
      <w:r>
        <w:t xml:space="preserve"> La comisión delegada supervisa la eficacia del control sobre la IA, pero solo puede hacerlo con una visión de conjunto que ninguna iniciativa ofrece por separado: riesgos que se concentran en un proveedor o un modelo, incidentes que se repiten, no conformidades vencidas, excepciones que se eternizan, sistemas que aparecen fuera del inventario o normas que cambian. Este informe es la pieza de la segunda línea en C4 (30 §6.3) y convierte esa visión en decisiones concretas para la comisión.</w:t>
      </w:r>
    </w:p>
    <w:p>
      <w:pPr>
        <w:pStyle w:val="Heading1"/>
      </w:pPr>
      <w:r>
        <w:t xml:space="preserve">1. Instrucciones de uso</w:t>
      </w:r>
    </w:p>
    <w:tbl>
      <w:tblPr>
        <w:tblStyle w:val="TablaSG"/>
        <w:tblW w:w="5000" w:type="pct"/>
        <w:tblLayout w:type="autofit"/>
        <w:tblLook w:val="04A0" w:firstRow="1" w:lastRow="0" w:firstColumn="0" w:lastColumn="0" w:noHBand="1" w:noVBand="1"/>
      </w:tblPr>
      <w:tblGrid>
        <w:gridCol w:w="4819"/>
        <w:gridCol w:w="4819"/>
      </w:tblGrid>
      <w:tr>
        <w:trPr>
          <w:tblHeader/>
        </w:trPr>
        <w:tc>
          <w:tcPr>
            <w:tcW w:w="4819" w:type="dxa"/>
            <w:shd w:val="clear" w:color="auto" w:fill="F2DFCE"/>
          </w:tcPr>
          <w:p>
            <w:pPr>
              <w:pStyle w:val="Celda"/>
            </w:pPr>
            <w:r>
              <w:rPr>
                <w:b/>
              </w:rPr>
              <w:t xml:space="preserve">Aspecto</w:t>
            </w:r>
          </w:p>
        </w:tc>
        <w:tc>
          <w:tcPr>
            <w:tcW w:w="4819" w:type="dxa"/>
            <w:shd w:val="clear" w:color="auto" w:fill="F2DFCE"/>
          </w:tcPr>
          <w:p>
            <w:pPr>
              <w:pStyle w:val="Celda"/>
            </w:pPr>
            <w:r>
              <w:rPr>
                <w:b/>
              </w:rPr>
              <w:t xml:space="preserve">Indicación</w:t>
            </w:r>
          </w:p>
        </w:tc>
      </w:tr>
      <w:tr>
        <w:tc>
          <w:tcPr>
            <w:tcW w:w="4819" w:type="dxa"/>
          </w:tcPr>
          <w:p>
            <w:pPr>
              <w:pStyle w:val="Celda"/>
            </w:pPr>
            <w:r>
              <w:rPr>
                <w:b/>
              </w:rPr>
              <w:t xml:space="preserve">Cuándo se usa</w:t>
            </w:r>
          </w:p>
        </w:tc>
        <w:tc>
          <w:tcPr>
            <w:tcW w:w="4819" w:type="dxa"/>
          </w:tcPr>
          <w:p>
            <w:pPr>
              <w:pStyle w:val="Celda"/>
            </w:pPr>
            <w:r>
              <w:t xml:space="preserve">Una vez por trimestre, antes de la sesión de la comisión delegada (C4), con la misma fecha de corte que el paquete del consejo (60 §7.2). Se adelanta un informe parcial si hay un incidente S1 o una no conformidad crítica.</w:t>
            </w:r>
          </w:p>
        </w:tc>
      </w:tr>
      <w:tr>
        <w:tc>
          <w:tcPr>
            <w:tcW w:w="4819" w:type="dxa"/>
          </w:tcPr>
          <w:p>
            <w:pPr>
              <w:pStyle w:val="Celda"/>
            </w:pPr>
            <w:r>
              <w:rPr>
                <w:b/>
              </w:rPr>
              <w:t xml:space="preserve">Quién la rellena</w:t>
            </w:r>
          </w:p>
        </w:tc>
        <w:tc>
          <w:tcPr>
            <w:tcW w:w="4819" w:type="dxa"/>
          </w:tcPr>
          <w:p>
            <w:pPr>
              <w:pStyle w:val="Celda"/>
            </w:pPr>
            <w:r>
              <w:t xml:space="preserve">El coordinador de segunda línea para la IA (responde y realiza, 30 §6.3), con los responsables de riesgos de IA, seguridad, protección de datos y cumplimiento; la oficina de IA aporta los datos de T01, T02, T06, T08, T09 y T21.</w:t>
            </w:r>
          </w:p>
        </w:tc>
      </w:tr>
      <w:tr>
        <w:tc>
          <w:tcPr>
            <w:tcW w:w="4819" w:type="dxa"/>
          </w:tcPr>
          <w:p>
            <w:pPr>
              <w:pStyle w:val="Celda"/>
            </w:pPr>
            <w:r>
              <w:rPr>
                <w:b/>
              </w:rPr>
              <w:t xml:space="preserve">Quién la verifica</w:t>
            </w:r>
          </w:p>
        </w:tc>
        <w:tc>
          <w:tcPr>
            <w:tcW w:w="4819" w:type="dxa"/>
          </w:tcPr>
          <w:p>
            <w:pPr>
              <w:pStyle w:val="Celda"/>
            </w:pPr>
            <w:r>
              <w:t xml:space="preserve">La tercera línea es consultada (30 §6.3); el comité de IA la conoce antes de su envío y puede añadir su posición, sin modificar el contenido.</w:t>
            </w:r>
          </w:p>
        </w:tc>
      </w:tr>
      <w:tr>
        <w:tc>
          <w:tcPr>
            <w:tcW w:w="4819" w:type="dxa"/>
          </w:tcPr>
          <w:p>
            <w:pPr>
              <w:pStyle w:val="Celda"/>
            </w:pPr>
            <w:r>
              <w:rPr>
                <w:b/>
              </w:rPr>
              <w:t xml:space="preserve">Quién decide o aprueba</w:t>
            </w:r>
          </w:p>
        </w:tc>
        <w:tc>
          <w:tcPr>
            <w:tcW w:w="4819" w:type="dxa"/>
          </w:tcPr>
          <w:p>
            <w:pPr>
              <w:pStyle w:val="Celda"/>
            </w:pPr>
            <w:r>
              <w:t xml:space="preserve">La comisión delegada supervisa y decide sobre las propuestas de la sección 11.</w:t>
            </w:r>
          </w:p>
        </w:tc>
      </w:tr>
      <w:tr>
        <w:tc>
          <w:tcPr>
            <w:tcW w:w="4819" w:type="dxa"/>
          </w:tcPr>
          <w:p>
            <w:pPr>
              <w:pStyle w:val="Celda"/>
            </w:pPr>
            <w:r>
              <w:rPr>
                <w:b/>
              </w:rPr>
              <w:t xml:space="preserve">Etapa del ciclo corporativo</w:t>
            </w:r>
          </w:p>
        </w:tc>
        <w:tc>
          <w:tcPr>
            <w:tcW w:w="4819" w:type="dxa"/>
          </w:tcPr>
          <w:p>
            <w:pPr>
              <w:pStyle w:val="Celda"/>
            </w:pPr>
            <w:r>
              <w:t xml:space="preserve">C4 · Supervisión (trimestral). El cuarto trimestre alimenta C5.</w:t>
            </w:r>
          </w:p>
        </w:tc>
      </w:tr>
      <w:tr>
        <w:tc>
          <w:tcPr>
            <w:tcW w:w="4819" w:type="dxa"/>
          </w:tcPr>
          <w:p>
            <w:pPr>
              <w:pStyle w:val="Celda"/>
            </w:pPr>
            <w:r>
              <w:rPr>
                <w:b/>
              </w:rPr>
              <w:t xml:space="preserve">Herramienta</w:t>
            </w:r>
          </w:p>
        </w:tc>
        <w:tc>
          <w:tcPr>
            <w:tcW w:w="4819" w:type="dxa"/>
          </w:tcPr>
          <w:p>
            <w:pPr>
              <w:pStyle w:val="Celda"/>
            </w:pPr>
            <w:r>
              <w:t xml:space="preserve">T06 (riesgos), T08 (incidentes y no conformidades), T02 (inventario), T09 (proveedores), T21 (uso corporativo), T01 (excepciones y condiciones) y T18 (decisiones).</w:t>
            </w:r>
          </w:p>
        </w:tc>
      </w:tr>
      <w:tr>
        <w:tc>
          <w:tcPr>
            <w:tcW w:w="4819" w:type="dxa"/>
          </w:tcPr>
          <w:p>
            <w:pPr>
              <w:pStyle w:val="Celda"/>
            </w:pPr>
            <w:r>
              <w:rPr>
                <w:b/>
              </w:rPr>
              <w:t xml:space="preserve">Documento de referencia</w:t>
            </w:r>
          </w:p>
        </w:tc>
        <w:tc>
          <w:tcPr>
            <w:tcW w:w="4819" w:type="dxa"/>
          </w:tcPr>
          <w:p>
            <w:pPr>
              <w:pStyle w:val="Celda"/>
            </w:pPr>
            <w:r>
              <w:t xml:space="preserve">30 §3.2 y §6.3; 32 §9; 33 §10–12; 34 §10.3; 37 §9; 60 §4.5–4.6.</w:t>
            </w:r>
          </w:p>
        </w:tc>
      </w:tr>
    </w:tbl>
    <w:p>
      <w:pPr>
        <w:pStyle w:val="Espacio"/>
      </w:pPr>
    </w:p>
    <w:p>
      <w:r>
        <w:t xml:space="preserve">Reglas de cumplimentación:</w:t>
      </w:r>
    </w:p>
    <w:p>
      <w:pPr>
        <w:pStyle w:val="Lista"/>
      </w:pPr>
      <w:r>
        <w:t xml:space="preserve">• Lenguaje de negocio: qué puede pasar, a quién afecta, qué se hace y qué decisión se pide; no listados técnicos sin priorizar (33 §12).</w:t>
      </w:r>
    </w:p>
    <w:p>
      <w:pPr>
        <w:pStyle w:val="Lista"/>
      </w:pPr>
      <w:r>
        <w:t xml:space="preserve">• Escalas de la especificación común §5.1 (riesgo), §5.5 (severidad S1–S4) y 01 §12 (no conformidades menor, mayor y crítica).</w:t>
      </w:r>
    </w:p>
    <w:p>
      <w:pPr>
        <w:pStyle w:val="Lista"/>
      </w:pPr>
      <w:r>
        <w:t xml:space="preserve">• Se distinguen siempre </w:t>
      </w:r>
      <w:r>
        <w:rPr>
          <w:b/>
        </w:rPr>
        <w:t xml:space="preserve">hechos confirmados</w:t>
      </w:r>
      <w:r>
        <w:t xml:space="preserve"> de </w:t>
      </w:r>
      <w:r>
        <w:rPr>
          <w:b/>
        </w:rPr>
        <w:t xml:space="preserve">valoraciones en curso</w:t>
      </w:r>
      <w:r>
        <w:t xml:space="preserve"> (37 §9).</w:t>
      </w:r>
    </w:p>
    <w:p>
      <w:pPr>
        <w:pStyle w:val="Lista"/>
      </w:pPr>
      <w:r>
        <w:t xml:space="preserve">• Los cambios regulatorios llevan fecha de consulta; el informe no constituye asesoramiento jurídico.</w:t>
      </w:r>
    </w:p>
    <w:p>
      <w:pPr>
        <w:pStyle w:val="Separador"/>
      </w:pPr>
    </w:p>
    <w:p>
      <w:pPr>
        <w:pStyle w:val="Heading1"/>
      </w:pPr>
      <w:r>
        <w:t xml:space="preserve">2. Identificación</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Campo</w:t>
            </w:r>
          </w:p>
        </w:tc>
        <w:tc>
          <w:tcPr>
            <w:tcW w:w="3213" w:type="dxa"/>
            <w:shd w:val="clear" w:color="auto" w:fill="F2DFCE"/>
          </w:tcPr>
          <w:p>
            <w:pPr>
              <w:pStyle w:val="Celda"/>
            </w:pPr>
            <w:r>
              <w:rPr>
                <w:b/>
              </w:rPr>
              <w:t xml:space="preserve">Contenido</w:t>
            </w:r>
          </w:p>
        </w:tc>
        <w:tc>
          <w:tcPr>
            <w:tcW w:w="3213" w:type="dxa"/>
            <w:shd w:val="clear" w:color="auto" w:fill="F2DFCE"/>
          </w:tcPr>
          <w:p>
            <w:pPr>
              <w:pStyle w:val="Celda"/>
            </w:pPr>
            <w:r>
              <w:rPr>
                <w:b/>
              </w:rPr>
              <w:t xml:space="preserve">Guía</w:t>
            </w:r>
          </w:p>
        </w:tc>
      </w:tr>
      <w:tr>
        <w:tc>
          <w:tcPr>
            <w:tcW w:w="3213" w:type="dxa"/>
          </w:tcPr>
          <w:p>
            <w:pPr>
              <w:pStyle w:val="Celda"/>
            </w:pPr>
            <w:r>
              <w:t xml:space="preserve">Periodo</w:t>
            </w:r>
          </w:p>
        </w:tc>
        <w:tc>
          <w:tcPr>
            <w:tcW w:w="3213" w:type="dxa"/>
          </w:tcPr>
          <w:p>
            <w:pPr>
              <w:pStyle w:val="Celda"/>
            </w:pPr>
          </w:p>
        </w:tc>
        <w:tc>
          <w:tcPr>
            <w:tcW w:w="3213" w:type="dxa"/>
          </w:tcPr>
          <w:p>
            <w:pPr>
              <w:pStyle w:val="Celda"/>
            </w:pPr>
            <w:r>
              <w:t xml:space="preserve">AAAA-Tn.</w:t>
            </w:r>
          </w:p>
        </w:tc>
      </w:tr>
      <w:tr>
        <w:tc>
          <w:tcPr>
            <w:tcW w:w="3213" w:type="dxa"/>
          </w:tcPr>
          <w:p>
            <w:pPr>
              <w:pStyle w:val="Celda"/>
            </w:pPr>
            <w:r>
              <w:t xml:space="preserve">Fecha de corte de los datos</w:t>
            </w:r>
          </w:p>
        </w:tc>
        <w:tc>
          <w:tcPr>
            <w:tcW w:w="3213" w:type="dxa"/>
          </w:tcPr>
          <w:p>
            <w:pPr>
              <w:pStyle w:val="Celda"/>
            </w:pPr>
          </w:p>
        </w:tc>
        <w:tc>
          <w:tcPr>
            <w:tcW w:w="3213" w:type="dxa"/>
          </w:tcPr>
          <w:p>
            <w:pPr>
              <w:pStyle w:val="Celda"/>
            </w:pPr>
          </w:p>
        </w:tc>
      </w:tr>
      <w:tr>
        <w:tc>
          <w:tcPr>
            <w:tcW w:w="3213" w:type="dxa"/>
          </w:tcPr>
          <w:p>
            <w:pPr>
              <w:pStyle w:val="Celda"/>
            </w:pPr>
            <w:r>
              <w:t xml:space="preserve">Destinatario</w:t>
            </w:r>
          </w:p>
        </w:tc>
        <w:tc>
          <w:tcPr>
            <w:tcW w:w="3213" w:type="dxa"/>
          </w:tcPr>
          <w:p>
            <w:pPr>
              <w:pStyle w:val="Celda"/>
            </w:pPr>
          </w:p>
        </w:tc>
        <w:tc>
          <w:tcPr>
            <w:tcW w:w="3213" w:type="dxa"/>
          </w:tcPr>
          <w:p>
            <w:pPr>
              <w:pStyle w:val="Celda"/>
            </w:pPr>
            <w:r>
              <w:t xml:space="preserve">[Comisión de Auditoría / Riesgos / Tecnología] o consejo si no existe comisión.</w:t>
            </w:r>
          </w:p>
        </w:tc>
      </w:tr>
      <w:tr>
        <w:tc>
          <w:tcPr>
            <w:tcW w:w="3213" w:type="dxa"/>
          </w:tcPr>
          <w:p>
            <w:pPr>
              <w:pStyle w:val="Celda"/>
            </w:pPr>
            <w:r>
              <w:t xml:space="preserve">Sesión en que se presenta</w:t>
            </w:r>
          </w:p>
        </w:tc>
        <w:tc>
          <w:tcPr>
            <w:tcW w:w="3213" w:type="dxa"/>
          </w:tcPr>
          <w:p>
            <w:pPr>
              <w:pStyle w:val="Celda"/>
            </w:pPr>
          </w:p>
        </w:tc>
        <w:tc>
          <w:tcPr>
            <w:tcW w:w="3213" w:type="dxa"/>
          </w:tcPr>
          <w:p>
            <w:pPr>
              <w:pStyle w:val="Celda"/>
            </w:pPr>
            <w:r>
              <w:t xml:space="preserve">Referencia del acta (P39).</w:t>
            </w:r>
          </w:p>
        </w:tc>
      </w:tr>
      <w:tr>
        <w:tc>
          <w:tcPr>
            <w:tcW w:w="3213" w:type="dxa"/>
          </w:tcPr>
          <w:p>
            <w:pPr>
              <w:pStyle w:val="Celda"/>
            </w:pPr>
            <w:r>
              <w:t xml:space="preserve">Elaborado por</w:t>
            </w:r>
          </w:p>
        </w:tc>
        <w:tc>
          <w:tcPr>
            <w:tcW w:w="3213" w:type="dxa"/>
          </w:tcPr>
          <w:p>
            <w:pPr>
              <w:pStyle w:val="Celda"/>
            </w:pPr>
          </w:p>
        </w:tc>
        <w:tc>
          <w:tcPr>
            <w:tcW w:w="3213" w:type="dxa"/>
          </w:tcPr>
          <w:p>
            <w:pPr>
              <w:pStyle w:val="Celda"/>
            </w:pPr>
            <w:r>
              <w:t xml:space="preserve">Coordinador de segunda línea para la IA.</w:t>
            </w:r>
          </w:p>
        </w:tc>
      </w:tr>
      <w:tr>
        <w:tc>
          <w:tcPr>
            <w:tcW w:w="3213" w:type="dxa"/>
          </w:tcPr>
          <w:p>
            <w:pPr>
              <w:pStyle w:val="Celda"/>
            </w:pPr>
            <w:r>
              <w:t xml:space="preserve">Versión</w:t>
            </w:r>
          </w:p>
        </w:tc>
        <w:tc>
          <w:tcPr>
            <w:tcW w:w="3213" w:type="dxa"/>
          </w:tcPr>
          <w:p>
            <w:pPr>
              <w:pStyle w:val="Celda"/>
            </w:pPr>
          </w:p>
        </w:tc>
        <w:tc>
          <w:tcPr>
            <w:tcW w:w="3213" w:type="dxa"/>
          </w:tcPr>
          <w:p>
            <w:pPr>
              <w:pStyle w:val="Celda"/>
            </w:pPr>
          </w:p>
        </w:tc>
      </w:tr>
    </w:tbl>
    <w:p>
      <w:pPr>
        <w:pStyle w:val="Espacio"/>
      </w:pPr>
    </w:p>
    <w:p>
      <w:pPr>
        <w:pStyle w:val="Separador"/>
      </w:pPr>
    </w:p>
    <w:p>
      <w:pPr>
        <w:pStyle w:val="Heading1"/>
      </w:pPr>
      <w:r>
        <w:t xml:space="preserve">3. Mensaje principal y decisiones solicitadas</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Campo</w:t>
            </w:r>
          </w:p>
        </w:tc>
        <w:tc>
          <w:tcPr>
            <w:tcW w:w="3213" w:type="dxa"/>
            <w:shd w:val="clear" w:color="auto" w:fill="F2DFCE"/>
          </w:tcPr>
          <w:p>
            <w:pPr>
              <w:pStyle w:val="Celda"/>
            </w:pPr>
            <w:r>
              <w:rPr>
                <w:b/>
              </w:rPr>
              <w:t xml:space="preserve">Contenido</w:t>
            </w:r>
          </w:p>
        </w:tc>
        <w:tc>
          <w:tcPr>
            <w:tcW w:w="3213" w:type="dxa"/>
            <w:shd w:val="clear" w:color="auto" w:fill="F2DFCE"/>
          </w:tcPr>
          <w:p>
            <w:pPr>
              <w:pStyle w:val="Celda"/>
            </w:pPr>
            <w:r>
              <w:rPr>
                <w:b/>
              </w:rPr>
              <w:t xml:space="preserve">Guía</w:t>
            </w:r>
          </w:p>
        </w:tc>
      </w:tr>
      <w:tr>
        <w:tc>
          <w:tcPr>
            <w:tcW w:w="3213" w:type="dxa"/>
          </w:tcPr>
          <w:p>
            <w:pPr>
              <w:pStyle w:val="Celda"/>
            </w:pPr>
            <w:r>
              <w:t xml:space="preserve">Mensaje principal</w:t>
            </w:r>
          </w:p>
        </w:tc>
        <w:tc>
          <w:tcPr>
            <w:tcW w:w="3213" w:type="dxa"/>
          </w:tcPr>
          <w:p>
            <w:pPr>
              <w:pStyle w:val="Celda"/>
            </w:pPr>
          </w:p>
        </w:tc>
        <w:tc>
          <w:tcPr>
            <w:tcW w:w="3213" w:type="dxa"/>
          </w:tcPr>
          <w:p>
            <w:pPr>
              <w:pStyle w:val="Celda"/>
            </w:pPr>
            <w:r>
              <w:t xml:space="preserve">Tres líneas con el formato de respuesta: «Sí» · «Sí, con una condición: …» · «Todavía no, porque falta …» · «No, porque …». Responde a «¿está la IA dentro del apetito de riesgo?».</w:t>
            </w:r>
          </w:p>
        </w:tc>
      </w:tr>
      <w:tr>
        <w:tc>
          <w:tcPr>
            <w:tcW w:w="3213" w:type="dxa"/>
          </w:tcPr>
          <w:p>
            <w:pPr>
              <w:pStyle w:val="Celda"/>
            </w:pPr>
            <w:r>
              <w:t xml:space="preserve">Cambios desde el trimestre anterior</w:t>
            </w:r>
          </w:p>
        </w:tc>
        <w:tc>
          <w:tcPr>
            <w:tcW w:w="3213" w:type="dxa"/>
          </w:tcPr>
          <w:p>
            <w:pPr>
              <w:pStyle w:val="Celda"/>
            </w:pPr>
          </w:p>
        </w:tc>
        <w:tc>
          <w:tcPr>
            <w:tcW w:w="3213" w:type="dxa"/>
          </w:tcPr>
          <w:p>
            <w:pPr>
              <w:pStyle w:val="Celda"/>
            </w:pPr>
          </w:p>
        </w:tc>
      </w:tr>
      <w:tr>
        <w:tc>
          <w:tcPr>
            <w:tcW w:w="3213" w:type="dxa"/>
          </w:tcPr>
          <w:p>
            <w:pPr>
              <w:pStyle w:val="Celda"/>
            </w:pPr>
            <w:r>
              <w:t xml:space="preserve">Decisiones solicitadas</w:t>
            </w:r>
          </w:p>
        </w:tc>
        <w:tc>
          <w:tcPr>
            <w:tcW w:w="3213" w:type="dxa"/>
          </w:tcPr>
          <w:p>
            <w:pPr>
              <w:pStyle w:val="Celda"/>
            </w:pPr>
          </w:p>
        </w:tc>
        <w:tc>
          <w:tcPr>
            <w:tcW w:w="3213" w:type="dxa"/>
          </w:tcPr>
          <w:p>
            <w:pPr>
              <w:pStyle w:val="Celda"/>
            </w:pPr>
            <w:r>
              <w:t xml:space="preserve">Lista con código DEC y una línea; si no hay, se dice expresamente.</w:t>
            </w:r>
          </w:p>
        </w:tc>
      </w:tr>
      <w:tr>
        <w:tc>
          <w:tcPr>
            <w:tcW w:w="3213" w:type="dxa"/>
          </w:tcPr>
          <w:p>
            <w:pPr>
              <w:pStyle w:val="Celda"/>
            </w:pPr>
            <w:r>
              <w:rPr>
                <w:i/>
              </w:rPr>
              <w:t xml:space="preserve">(ejemplo ilustrativo)</w:t>
            </w:r>
            <w:r>
              <w:t xml:space="preserve"> Mensaje principal</w:t>
            </w:r>
          </w:p>
        </w:tc>
        <w:tc>
          <w:tcPr>
            <w:tcW w:w="3213" w:type="dxa"/>
          </w:tcPr>
          <w:p>
            <w:pPr>
              <w:pStyle w:val="Celda"/>
            </w:pPr>
            <w:r>
              <w:t xml:space="preserve">Sí, con una condición: que se apruebe el plan de salida del proveedor principal de modelos, del que depende el 62 % del valor validado.</w:t>
            </w:r>
          </w:p>
        </w:tc>
        <w:tc>
          <w:tcPr>
            <w:tcW w:w="3213" w:type="dxa"/>
          </w:tcPr>
          <w:p>
            <w:pPr>
              <w:pStyle w:val="Celda"/>
            </w:pPr>
          </w:p>
        </w:tc>
      </w:tr>
    </w:tbl>
    <w:p>
      <w:pPr>
        <w:pStyle w:val="Espacio"/>
      </w:pPr>
    </w:p>
    <w:p>
      <w:pPr>
        <w:pStyle w:val="Separador"/>
      </w:pPr>
    </w:p>
    <w:p>
      <w:pPr>
        <w:pStyle w:val="Heading1"/>
      </w:pPr>
      <w:r>
        <w:t xml:space="preserve">4. Riesgos de la cartera</w:t>
      </w:r>
    </w:p>
    <w:p>
      <w:pPr>
        <w:pStyle w:val="Heading2"/>
      </w:pPr>
      <w:r>
        <w:t xml:space="preserve">4.1 Riesgos residuales Críticos y Altos</w:t>
      </w:r>
    </w:p>
    <w:tbl>
      <w:tblPr>
        <w:tblStyle w:val="TablaSG"/>
        <w:tblW w:w="5000" w:type="pct"/>
        <w:tblLayout w:type="autofit"/>
        <w:tblLook w:val="04A0" w:firstRow="1" w:lastRow="0" w:firstColumn="0" w:lastColumn="0" w:noHBand="1" w:noVBand="1"/>
      </w:tblPr>
      <w:tblGrid>
        <w:gridCol w:w="1205"/>
        <w:gridCol w:w="1205"/>
        <w:gridCol w:w="1205"/>
        <w:gridCol w:w="1205"/>
        <w:gridCol w:w="1205"/>
        <w:gridCol w:w="1205"/>
        <w:gridCol w:w="1205"/>
        <w:gridCol w:w="1205"/>
      </w:tblGrid>
      <w:tr>
        <w:trPr>
          <w:tblHeader/>
        </w:trPr>
        <w:tc>
          <w:tcPr>
            <w:tcW w:w="1205" w:type="dxa"/>
            <w:shd w:val="clear" w:color="auto" w:fill="F2DFCE"/>
          </w:tcPr>
          <w:p>
            <w:pPr>
              <w:pStyle w:val="Celda"/>
            </w:pPr>
            <w:r>
              <w:rPr>
                <w:b/>
              </w:rPr>
              <w:t xml:space="preserve">Riesgo (iniciativa · Rnn)</w:t>
            </w:r>
          </w:p>
        </w:tc>
        <w:tc>
          <w:tcPr>
            <w:tcW w:w="1205" w:type="dxa"/>
            <w:shd w:val="clear" w:color="auto" w:fill="F2DFCE"/>
          </w:tcPr>
          <w:p>
            <w:pPr>
              <w:pStyle w:val="Celda"/>
            </w:pPr>
            <w:r>
              <w:rPr>
                <w:b/>
              </w:rPr>
              <w:t xml:space="preserve">Riesgo tipo</w:t>
            </w:r>
          </w:p>
        </w:tc>
        <w:tc>
          <w:tcPr>
            <w:tcW w:w="1205" w:type="dxa"/>
            <w:shd w:val="clear" w:color="auto" w:fill="F2DFCE"/>
          </w:tcPr>
          <w:p>
            <w:pPr>
              <w:pStyle w:val="Celda"/>
            </w:pPr>
            <w:r>
              <w:rPr>
                <w:b/>
              </w:rPr>
              <w:t xml:space="preserve">Nivel inherente</w:t>
            </w:r>
          </w:p>
        </w:tc>
        <w:tc>
          <w:tcPr>
            <w:tcW w:w="1205" w:type="dxa"/>
            <w:shd w:val="clear" w:color="auto" w:fill="F2DFCE"/>
          </w:tcPr>
          <w:p>
            <w:pPr>
              <w:pStyle w:val="Celda"/>
            </w:pPr>
            <w:r>
              <w:rPr>
                <w:b/>
              </w:rPr>
              <w:t xml:space="preserve">Nivel residual</w:t>
            </w:r>
          </w:p>
        </w:tc>
        <w:tc>
          <w:tcPr>
            <w:tcW w:w="1205" w:type="dxa"/>
            <w:shd w:val="clear" w:color="auto" w:fill="F2DFCE"/>
          </w:tcPr>
          <w:p>
            <w:pPr>
              <w:pStyle w:val="Celda"/>
            </w:pPr>
            <w:r>
              <w:rPr>
                <w:b/>
              </w:rPr>
              <w:t xml:space="preserve">Responsable</w:t>
            </w:r>
          </w:p>
        </w:tc>
        <w:tc>
          <w:tcPr>
            <w:tcW w:w="1205" w:type="dxa"/>
            <w:shd w:val="clear" w:color="auto" w:fill="F2DFCE"/>
          </w:tcPr>
          <w:p>
            <w:pPr>
              <w:pStyle w:val="Celda"/>
            </w:pPr>
            <w:r>
              <w:rPr>
                <w:b/>
              </w:rPr>
              <w:t xml:space="preserve">Controles y eficacia</w:t>
            </w:r>
          </w:p>
        </w:tc>
        <w:tc>
          <w:tcPr>
            <w:tcW w:w="1205" w:type="dxa"/>
            <w:shd w:val="clear" w:color="auto" w:fill="F2DFCE"/>
          </w:tcPr>
          <w:p>
            <w:pPr>
              <w:pStyle w:val="Celda"/>
            </w:pPr>
            <w:r>
              <w:rPr>
                <w:b/>
              </w:rPr>
              <w:t xml:space="preserve">Aceptado por y vigencia</w:t>
            </w:r>
          </w:p>
        </w:tc>
        <w:tc>
          <w:tcPr>
            <w:tcW w:w="1205" w:type="dxa"/>
            <w:shd w:val="clear" w:color="auto" w:fill="F2DFCE"/>
          </w:tcPr>
          <w:p>
            <w:pPr>
              <w:pStyle w:val="Celda"/>
            </w:pPr>
            <w:r>
              <w:rPr>
                <w:b/>
              </w:rPr>
              <w:t xml:space="preserve">Próxima revisión</w:t>
            </w:r>
          </w:p>
        </w:tc>
      </w:tr>
      <w:tr>
        <w:tc>
          <w:tcPr>
            <w:tcW w:w="1205" w:type="dxa"/>
          </w:tcPr>
          <w:p>
            <w:pPr>
              <w:pStyle w:val="Celda"/>
            </w:pPr>
            <w:r>
              <w:t xml:space="preserve">IA-AAAA-NNN · R01</w:t>
            </w:r>
          </w:p>
        </w:tc>
        <w:tc>
          <w:tcPr>
            <w:tcW w:w="1205" w:type="dxa"/>
          </w:tcPr>
          <w:p>
            <w:pPr>
              <w:pStyle w:val="Celda"/>
            </w:pPr>
            <w:r>
              <w:t xml:space="preserve">RT-XXX-NN</w:t>
            </w:r>
          </w:p>
        </w:tc>
        <w:tc>
          <w:tcPr>
            <w:tcW w:w="1205" w:type="dxa"/>
          </w:tcPr>
          <w:p>
            <w:pPr>
              <w:pStyle w:val="Celda"/>
            </w:pPr>
          </w:p>
        </w:tc>
        <w:tc>
          <w:tcPr>
            <w:tcW w:w="1205" w:type="dxa"/>
          </w:tcPr>
          <w:p>
            <w:pPr>
              <w:pStyle w:val="Celda"/>
            </w:pPr>
            <w:r>
              <w:t xml:space="preserve">Alto · Crítico</w:t>
            </w: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bl>
    <w:p>
      <w:pPr>
        <w:pStyle w:val="Espacio"/>
      </w:pPr>
    </w:p>
    <w:p>
      <w:pPr>
        <w:pStyle w:val="Heading2"/>
      </w:pPr>
      <w:r>
        <w:t xml:space="preserve">4.2 Concentración</w:t>
      </w:r>
    </w:p>
    <w:p>
      <w:r>
        <w:t xml:space="preserve">Factores de 33 §10.1 y 14 §9; umbrales aprobados en C2.</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Factor</w:t>
            </w:r>
          </w:p>
        </w:tc>
        <w:tc>
          <w:tcPr>
            <w:tcW w:w="1928" w:type="dxa"/>
            <w:shd w:val="clear" w:color="auto" w:fill="F2DFCE"/>
          </w:tcPr>
          <w:p>
            <w:pPr>
              <w:pStyle w:val="Celda"/>
            </w:pPr>
            <w:r>
              <w:rPr>
                <w:b/>
              </w:rPr>
              <w:t xml:space="preserve">Situación del trimestre</w:t>
            </w:r>
          </w:p>
        </w:tc>
        <w:tc>
          <w:tcPr>
            <w:tcW w:w="1928" w:type="dxa"/>
            <w:shd w:val="clear" w:color="auto" w:fill="F2DFCE"/>
          </w:tcPr>
          <w:p>
            <w:pPr>
              <w:pStyle w:val="Celda"/>
            </w:pPr>
            <w:r>
              <w:rPr>
                <w:b/>
              </w:rPr>
              <w:t xml:space="preserve">Umbral de C2</w:t>
            </w:r>
          </w:p>
        </w:tc>
        <w:tc>
          <w:tcPr>
            <w:tcW w:w="1928" w:type="dxa"/>
            <w:shd w:val="clear" w:color="auto" w:fill="F2DFCE"/>
          </w:tcPr>
          <w:p>
            <w:pPr>
              <w:pStyle w:val="Celda"/>
            </w:pPr>
            <w:r>
              <w:rPr>
                <w:b/>
              </w:rPr>
              <w:t xml:space="preserve">¿Alerta? (Sí · No)</w:t>
            </w:r>
          </w:p>
        </w:tc>
        <w:tc>
          <w:tcPr>
            <w:tcW w:w="1928" w:type="dxa"/>
            <w:shd w:val="clear" w:color="auto" w:fill="F2DFCE"/>
          </w:tcPr>
          <w:p>
            <w:pPr>
              <w:pStyle w:val="Celda"/>
            </w:pPr>
            <w:r>
              <w:rPr>
                <w:b/>
              </w:rPr>
              <w:t xml:space="preserve">Medida propuesta</w:t>
            </w:r>
          </w:p>
        </w:tc>
      </w:tr>
      <w:tr>
        <w:tc>
          <w:tcPr>
            <w:tcW w:w="1928" w:type="dxa"/>
          </w:tcPr>
          <w:p>
            <w:pPr>
              <w:pStyle w:val="Celda"/>
            </w:pPr>
            <w:r>
              <w:t xml:space="preserve">Proveedor de modelos</w:t>
            </w:r>
          </w:p>
        </w:tc>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Plataforma y nube</w:t>
            </w:r>
          </w:p>
        </w:tc>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Función crítica</w:t>
            </w:r>
          </w:p>
        </w:tc>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Datos</w:t>
            </w:r>
          </w:p>
        </w:tc>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Personas</w:t>
            </w:r>
          </w:p>
        </w:tc>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Esfera y ambición</w:t>
            </w:r>
          </w:p>
        </w:tc>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p>
        </w:tc>
      </w:tr>
    </w:tbl>
    <w:p>
      <w:pPr>
        <w:pStyle w:val="Espacio"/>
      </w:pPr>
    </w:p>
    <w:p>
      <w:pPr>
        <w:pStyle w:val="Heading2"/>
      </w:pPr>
      <w:r>
        <w:t xml:space="preserve">4.3 Correlación: escenarios de cartera</w:t>
      </w:r>
    </w:p>
    <w:p>
      <w:r>
        <w:t xml:space="preserve">Valorados con la matriz de 33 §4: suma de impactos económicos de los sistemas afectados y peor impacto en los demás ejes (33 §10.2).</w:t>
      </w:r>
    </w:p>
    <w:tbl>
      <w:tblPr>
        <w:tblStyle w:val="TablaSG"/>
        <w:tblW w:w="5000" w:type="pct"/>
        <w:tblLayout w:type="autofit"/>
        <w:tblLook w:val="04A0" w:firstRow="1" w:lastRow="0" w:firstColumn="0" w:lastColumn="0" w:noHBand="1" w:noVBand="1"/>
      </w:tblPr>
      <w:tblGrid>
        <w:gridCol w:w="1606"/>
        <w:gridCol w:w="1606"/>
        <w:gridCol w:w="1606"/>
        <w:gridCol w:w="1606"/>
        <w:gridCol w:w="1606"/>
        <w:gridCol w:w="1606"/>
      </w:tblGrid>
      <w:tr>
        <w:trPr>
          <w:tblHeader/>
        </w:trPr>
        <w:tc>
          <w:tcPr>
            <w:tcW w:w="1606" w:type="dxa"/>
            <w:shd w:val="clear" w:color="auto" w:fill="F2DFCE"/>
          </w:tcPr>
          <w:p>
            <w:pPr>
              <w:pStyle w:val="Celda"/>
            </w:pPr>
            <w:r>
              <w:rPr>
                <w:b/>
              </w:rPr>
              <w:t xml:space="preserve">Escenario</w:t>
            </w:r>
          </w:p>
        </w:tc>
        <w:tc>
          <w:tcPr>
            <w:tcW w:w="1606" w:type="dxa"/>
            <w:shd w:val="clear" w:color="auto" w:fill="F2DFCE"/>
          </w:tcPr>
          <w:p>
            <w:pPr>
              <w:pStyle w:val="Celda"/>
            </w:pPr>
            <w:r>
              <w:rPr>
                <w:b/>
              </w:rPr>
              <w:t xml:space="preserve">Sistemas afectados</w:t>
            </w:r>
          </w:p>
        </w:tc>
        <w:tc>
          <w:tcPr>
            <w:tcW w:w="1606" w:type="dxa"/>
            <w:shd w:val="clear" w:color="auto" w:fill="F2DFCE"/>
          </w:tcPr>
          <w:p>
            <w:pPr>
              <w:pStyle w:val="Celda"/>
            </w:pPr>
            <w:r>
              <w:rPr>
                <w:b/>
              </w:rPr>
              <w:t xml:space="preserve">Impacto económico agregado</w:t>
            </w:r>
          </w:p>
        </w:tc>
        <w:tc>
          <w:tcPr>
            <w:tcW w:w="1606" w:type="dxa"/>
            <w:shd w:val="clear" w:color="auto" w:fill="F2DFCE"/>
          </w:tcPr>
          <w:p>
            <w:pPr>
              <w:pStyle w:val="Celda"/>
            </w:pPr>
            <w:r>
              <w:rPr>
                <w:b/>
              </w:rPr>
              <w:t xml:space="preserve">Peor impacto no económico</w:t>
            </w:r>
          </w:p>
        </w:tc>
        <w:tc>
          <w:tcPr>
            <w:tcW w:w="1606" w:type="dxa"/>
            <w:shd w:val="clear" w:color="auto" w:fill="F2DFCE"/>
          </w:tcPr>
          <w:p>
            <w:pPr>
              <w:pStyle w:val="Celda"/>
            </w:pPr>
            <w:r>
              <w:rPr>
                <w:b/>
              </w:rPr>
              <w:t xml:space="preserve">Nivel</w:t>
            </w:r>
          </w:p>
        </w:tc>
        <w:tc>
          <w:tcPr>
            <w:tcW w:w="1606" w:type="dxa"/>
            <w:shd w:val="clear" w:color="auto" w:fill="F2DFCE"/>
          </w:tcPr>
          <w:p>
            <w:pPr>
              <w:pStyle w:val="Celda"/>
            </w:pPr>
            <w:r>
              <w:rPr>
                <w:b/>
              </w:rPr>
              <w:t xml:space="preserve">Cambio frente al trimestre anterior</w:t>
            </w:r>
          </w:p>
        </w:tc>
      </w:tr>
      <w:tr>
        <w:tc>
          <w:tcPr>
            <w:tcW w:w="1606" w:type="dxa"/>
          </w:tcPr>
          <w:p>
            <w:pPr>
              <w:pStyle w:val="Celda"/>
            </w:pPr>
            <w:r>
              <w:t xml:space="preserve">Indisponibilidad del principal proveedor de modelos</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r>
        <w:tc>
          <w:tcPr>
            <w:tcW w:w="1606" w:type="dxa"/>
          </w:tcPr>
          <w:p>
            <w:pPr>
              <w:pStyle w:val="Celda"/>
            </w:pPr>
            <w:r>
              <w:t xml:space="preserve">Cambio de comportamiento de un modelo base común</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r>
        <w:tc>
          <w:tcPr>
            <w:tcW w:w="1606" w:type="dxa"/>
          </w:tcPr>
          <w:p>
            <w:pPr>
              <w:pStyle w:val="Celda"/>
            </w:pPr>
            <w:r>
              <w:t xml:space="preserve">Vulnerabilidad en un componente común de agentes</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r>
        <w:tc>
          <w:tcPr>
            <w:tcW w:w="1606" w:type="dxa"/>
          </w:tcPr>
          <w:p>
            <w:pPr>
              <w:pStyle w:val="Celda"/>
            </w:pPr>
            <w:r>
              <w:t xml:space="preserve">Reclasificación regulatoria de un tipo de uso</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r>
        <w:tc>
          <w:tcPr>
            <w:tcW w:w="1606" w:type="dxa"/>
          </w:tcPr>
          <w:p>
            <w:pPr>
              <w:pStyle w:val="Celda"/>
            </w:pPr>
            <w:r>
              <w:t xml:space="preserve">Brecha en una base de conocimiento compartida</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bl>
    <w:p>
      <w:pPr>
        <w:pStyle w:val="Espacio"/>
      </w:pPr>
    </w:p>
    <w:p>
      <w:pPr>
        <w:pStyle w:val="Heading2"/>
      </w:pPr>
      <w:r>
        <w:t xml:space="preserve">4.4 Indicadores de riesgo clave</w:t>
      </w:r>
    </w:p>
    <w:p>
      <w:r>
        <w:t xml:space="preserve">Umbrales aprobados en C2 (33 §11.2).</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Indicador</w:t>
            </w:r>
          </w:p>
        </w:tc>
        <w:tc>
          <w:tcPr>
            <w:tcW w:w="1928" w:type="dxa"/>
            <w:shd w:val="clear" w:color="auto" w:fill="F2DFCE"/>
          </w:tcPr>
          <w:p>
            <w:pPr>
              <w:pStyle w:val="Celda"/>
            </w:pPr>
            <w:r>
              <w:rPr>
                <w:b/>
              </w:rPr>
              <w:t xml:space="preserve">Umbral</w:t>
            </w:r>
          </w:p>
        </w:tc>
        <w:tc>
          <w:tcPr>
            <w:tcW w:w="1928" w:type="dxa"/>
            <w:shd w:val="clear" w:color="auto" w:fill="F2DFCE"/>
          </w:tcPr>
          <w:p>
            <w:pPr>
              <w:pStyle w:val="Celda"/>
            </w:pPr>
            <w:r>
              <w:rPr>
                <w:b/>
              </w:rPr>
              <w:t xml:space="preserve">Valor</w:t>
            </w:r>
          </w:p>
        </w:tc>
        <w:tc>
          <w:tcPr>
            <w:tcW w:w="1928" w:type="dxa"/>
            <w:shd w:val="clear" w:color="auto" w:fill="F2DFCE"/>
          </w:tcPr>
          <w:p>
            <w:pPr>
              <w:pStyle w:val="Celda"/>
            </w:pPr>
            <w:r>
              <w:rPr>
                <w:b/>
              </w:rPr>
              <w:t xml:space="preserve">Trimestre anterior</w:t>
            </w:r>
          </w:p>
        </w:tc>
        <w:tc>
          <w:tcPr>
            <w:tcW w:w="1928" w:type="dxa"/>
            <w:shd w:val="clear" w:color="auto" w:fill="F2DFCE"/>
          </w:tcPr>
          <w:p>
            <w:pPr>
              <w:pStyle w:val="Celda"/>
            </w:pPr>
            <w:r>
              <w:rPr>
                <w:b/>
              </w:rPr>
              <w:t xml:space="preserve">Estado (Dentro · Fuera)</w:t>
            </w:r>
          </w:p>
        </w:tc>
      </w:tr>
      <w:tr>
        <w:tc>
          <w:tcPr>
            <w:tcW w:w="1928" w:type="dxa"/>
          </w:tcPr>
          <w:p>
            <w:pPr>
              <w:pStyle w:val="Celda"/>
            </w:pPr>
            <w:r>
              <w:t xml:space="preserve">Residuales Críticos sin aprobación del consejo</w:t>
            </w:r>
          </w:p>
        </w:tc>
        <w:tc>
          <w:tcPr>
            <w:tcW w:w="1928" w:type="dxa"/>
          </w:tcPr>
          <w:p>
            <w:pPr>
              <w:pStyle w:val="Celda"/>
            </w:pPr>
            <w:r>
              <w:t xml:space="preserve">0</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Residuales Altos aceptados</w:t>
            </w:r>
          </w:p>
        </w:tc>
        <w:tc>
          <w:tcPr>
            <w:tcW w:w="1928" w:type="dxa"/>
          </w:tcPr>
          <w:p>
            <w:pPr>
              <w:pStyle w:val="Celda"/>
            </w:pPr>
            <w:r>
              <w:t xml:space="preserve">Sin crecimiento dos trimestres seguidos</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Aceptaciones caducadas</w:t>
            </w:r>
          </w:p>
        </w:tc>
        <w:tc>
          <w:tcPr>
            <w:tcW w:w="1928" w:type="dxa"/>
          </w:tcPr>
          <w:p>
            <w:pPr>
              <w:pStyle w:val="Celda"/>
            </w:pPr>
            <w:r>
              <w:t xml:space="preserve">0</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Controles no probados (Alto o Crítico)</w:t>
            </w:r>
          </w:p>
        </w:tc>
        <w:tc>
          <w:tcPr>
            <w:tcW w:w="1928" w:type="dxa"/>
          </w:tcPr>
          <w:p>
            <w:pPr>
              <w:pStyle w:val="Celda"/>
            </w:pPr>
            <w:r>
              <w:t xml:space="preserve">&lt; 10 %</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Acciones de tratamiento vencidas</w:t>
            </w:r>
          </w:p>
        </w:tc>
        <w:tc>
          <w:tcPr>
            <w:tcW w:w="1928" w:type="dxa"/>
          </w:tcPr>
          <w:p>
            <w:pPr>
              <w:pStyle w:val="Celda"/>
            </w:pPr>
            <w:r>
              <w:t xml:space="preserve">0 con más de 30 días</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Riesgos materializados sin riesgo previo</w:t>
            </w:r>
          </w:p>
        </w:tc>
        <w:tc>
          <w:tcPr>
            <w:tcW w:w="1928" w:type="dxa"/>
          </w:tcPr>
          <w:p>
            <w:pPr>
              <w:pStyle w:val="Celda"/>
            </w:pPr>
            <w:r>
              <w:t xml:space="preserve">Tendencia a la baja</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Deriva fuera de umbral sin acción</w:t>
            </w:r>
          </w:p>
        </w:tc>
        <w:tc>
          <w:tcPr>
            <w:tcW w:w="1928" w:type="dxa"/>
          </w:tcPr>
          <w:p>
            <w:pPr>
              <w:pStyle w:val="Celda"/>
            </w:pPr>
            <w:r>
              <w:t xml:space="preserve">0</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Éxito de inyección en la última campaña</w:t>
            </w:r>
          </w:p>
        </w:tc>
        <w:tc>
          <w:tcPr>
            <w:tcW w:w="1928" w:type="dxa"/>
          </w:tcPr>
          <w:p>
            <w:pPr>
              <w:pStyle w:val="Celda"/>
            </w:pPr>
            <w:r>
              <w:t xml:space="preserve">Tendencia a la baja; 0 en acciones sensibles</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Agentes con permisos excesivos</w:t>
            </w:r>
          </w:p>
        </w:tc>
        <w:tc>
          <w:tcPr>
            <w:tcW w:w="1928" w:type="dxa"/>
          </w:tcPr>
          <w:p>
            <w:pPr>
              <w:pStyle w:val="Celda"/>
            </w:pPr>
            <w:r>
              <w:t xml:space="preserve">0</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Concentración de proveedor</w:t>
            </w:r>
          </w:p>
        </w:tc>
        <w:tc>
          <w:tcPr>
            <w:tcW w:w="1928" w:type="dxa"/>
          </w:tcPr>
          <w:p>
            <w:pPr>
              <w:pStyle w:val="Celda"/>
            </w:pPr>
            <w:r>
              <w:t xml:space="preserve">Según límite de C2</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Clasificación regulatoria vencida</w:t>
            </w:r>
          </w:p>
        </w:tc>
        <w:tc>
          <w:tcPr>
            <w:tcW w:w="1928" w:type="dxa"/>
          </w:tcPr>
          <w:p>
            <w:pPr>
              <w:pStyle w:val="Celda"/>
            </w:pPr>
            <w:r>
              <w:t xml:space="preserve">0</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Uso no autorizado no regularizado</w:t>
            </w:r>
          </w:p>
        </w:tc>
        <w:tc>
          <w:tcPr>
            <w:tcW w:w="1928" w:type="dxa"/>
          </w:tcPr>
          <w:p>
            <w:pPr>
              <w:pStyle w:val="Celda"/>
            </w:pPr>
            <w:r>
              <w:t xml:space="preserve">Tendencia a la baja</w:t>
            </w:r>
          </w:p>
        </w:tc>
        <w:tc>
          <w:tcPr>
            <w:tcW w:w="1928" w:type="dxa"/>
          </w:tcPr>
          <w:p>
            <w:pPr>
              <w:pStyle w:val="Celda"/>
            </w:pPr>
          </w:p>
        </w:tc>
        <w:tc>
          <w:tcPr>
            <w:tcW w:w="1928" w:type="dxa"/>
          </w:tcPr>
          <w:p>
            <w:pPr>
              <w:pStyle w:val="Celda"/>
            </w:pPr>
          </w:p>
        </w:tc>
        <w:tc>
          <w:tcPr>
            <w:tcW w:w="1928" w:type="dxa"/>
          </w:tcPr>
          <w:p>
            <w:pPr>
              <w:pStyle w:val="Celda"/>
            </w:pPr>
          </w:p>
        </w:tc>
      </w:tr>
    </w:tbl>
    <w:p>
      <w:pPr>
        <w:pStyle w:val="Espacio"/>
      </w:pPr>
    </w:p>
    <w:tbl>
      <w:tblPr>
        <w:tblStyle w:val="TablaSG"/>
        <w:tblW w:w="5000" w:type="pct"/>
        <w:tblLayout w:type="autofit"/>
        <w:tblLook w:val="04A0" w:firstRow="1" w:lastRow="0" w:firstColumn="0" w:lastColumn="0" w:noHBand="1" w:noVBand="1"/>
      </w:tblPr>
      <w:tblGrid>
        <w:gridCol w:w="4819"/>
        <w:gridCol w:w="4819"/>
      </w:tblGrid>
      <w:tr>
        <w:trPr>
          <w:tblHeader/>
        </w:trPr>
        <w:tc>
          <w:tcPr>
            <w:tcW w:w="4819" w:type="dxa"/>
            <w:shd w:val="clear" w:color="auto" w:fill="F2DFCE"/>
          </w:tcPr>
          <w:p>
            <w:pPr>
              <w:pStyle w:val="Celda"/>
            </w:pPr>
            <w:r>
              <w:rPr>
                <w:b/>
              </w:rPr>
              <w:t xml:space="preserve">Campo</w:t>
            </w:r>
          </w:p>
        </w:tc>
        <w:tc>
          <w:tcPr>
            <w:tcW w:w="4819" w:type="dxa"/>
            <w:shd w:val="clear" w:color="auto" w:fill="F2DFCE"/>
          </w:tcPr>
          <w:p>
            <w:pPr>
              <w:pStyle w:val="Celda"/>
            </w:pPr>
            <w:r>
              <w:rPr>
                <w:b/>
              </w:rPr>
              <w:t xml:space="preserve">Contenido</w:t>
            </w:r>
          </w:p>
        </w:tc>
      </w:tr>
      <w:tr>
        <w:tc>
          <w:tcPr>
            <w:tcW w:w="4819" w:type="dxa"/>
          </w:tcPr>
          <w:p>
            <w:pPr>
              <w:pStyle w:val="Celda"/>
            </w:pPr>
            <w:r>
              <w:t xml:space="preserve">Cumplimiento del apetito de riesgo</w:t>
            </w:r>
          </w:p>
        </w:tc>
        <w:tc>
          <w:tcPr>
            <w:tcW w:w="4819" w:type="dxa"/>
          </w:tcPr>
          <w:p>
            <w:pPr>
              <w:pStyle w:val="Celda"/>
            </w:pPr>
            <w:r>
              <w:t xml:space="preserve">Dentro · Fuera, con los límites superados.</w:t>
            </w:r>
          </w:p>
        </w:tc>
      </w:tr>
      <w:tr>
        <w:tc>
          <w:tcPr>
            <w:tcW w:w="4819" w:type="dxa"/>
          </w:tcPr>
          <w:p>
            <w:pPr>
              <w:pStyle w:val="Celda"/>
            </w:pPr>
            <w:r>
              <w:t xml:space="preserve">Exposición a IA ofensiva (documento 35)</w:t>
            </w:r>
          </w:p>
        </w:tc>
        <w:tc>
          <w:tcPr>
            <w:tcW w:w="4819" w:type="dxa"/>
          </w:tcPr>
          <w:p>
            <w:pPr>
              <w:pStyle w:val="Celda"/>
            </w:pPr>
            <w:r>
              <w:t xml:space="preserve">Indicadores principales y hechos del trimestre.</w:t>
            </w:r>
          </w:p>
        </w:tc>
      </w:tr>
    </w:tbl>
    <w:p>
      <w:pPr>
        <w:pStyle w:val="Espacio"/>
      </w:pPr>
    </w:p>
    <w:p>
      <w:pPr>
        <w:pStyle w:val="Separador"/>
      </w:pPr>
    </w:p>
    <w:p>
      <w:pPr>
        <w:pStyle w:val="Heading1"/>
      </w:pPr>
      <w:r>
        <w:t xml:space="preserve">5. Incidentes</w:t>
      </w:r>
    </w:p>
    <w:p>
      <w:r>
        <w:t xml:space="preserve">Contenido trimestral de 37 §9 y 60 §4.6.</w:t>
      </w:r>
    </w:p>
    <w:tbl>
      <w:tblPr>
        <w:tblStyle w:val="TablaSG"/>
        <w:tblW w:w="5000" w:type="pct"/>
        <w:tblLayout w:type="autofit"/>
        <w:tblLook w:val="04A0" w:firstRow="1" w:lastRow="0" w:firstColumn="0" w:lastColumn="0" w:noHBand="1" w:noVBand="1"/>
      </w:tblPr>
      <w:tblGrid>
        <w:gridCol w:w="1205"/>
        <w:gridCol w:w="1205"/>
        <w:gridCol w:w="1205"/>
        <w:gridCol w:w="1205"/>
        <w:gridCol w:w="1205"/>
        <w:gridCol w:w="1205"/>
        <w:gridCol w:w="1205"/>
        <w:gridCol w:w="1205"/>
      </w:tblGrid>
      <w:tr>
        <w:trPr>
          <w:tblHeader/>
        </w:trPr>
        <w:tc>
          <w:tcPr>
            <w:tcW w:w="1205" w:type="dxa"/>
            <w:shd w:val="clear" w:color="auto" w:fill="F2DFCE"/>
          </w:tcPr>
          <w:p>
            <w:pPr>
              <w:pStyle w:val="Celda"/>
            </w:pPr>
            <w:r>
              <w:rPr>
                <w:b/>
              </w:rPr>
              <w:t xml:space="preserve">Código</w:t>
            </w:r>
          </w:p>
        </w:tc>
        <w:tc>
          <w:tcPr>
            <w:tcW w:w="1205" w:type="dxa"/>
            <w:shd w:val="clear" w:color="auto" w:fill="F2DFCE"/>
          </w:tcPr>
          <w:p>
            <w:pPr>
              <w:pStyle w:val="Celda"/>
            </w:pPr>
            <w:r>
              <w:rPr>
                <w:b/>
              </w:rPr>
              <w:t xml:space="preserve">Sistema e iniciativa</w:t>
            </w:r>
          </w:p>
        </w:tc>
        <w:tc>
          <w:tcPr>
            <w:tcW w:w="1205" w:type="dxa"/>
            <w:shd w:val="clear" w:color="auto" w:fill="F2DFCE"/>
          </w:tcPr>
          <w:p>
            <w:pPr>
              <w:pStyle w:val="Celda"/>
            </w:pPr>
            <w:r>
              <w:rPr>
                <w:b/>
              </w:rPr>
              <w:t xml:space="preserve">Severidad</w:t>
            </w:r>
          </w:p>
        </w:tc>
        <w:tc>
          <w:tcPr>
            <w:tcW w:w="1205" w:type="dxa"/>
            <w:shd w:val="clear" w:color="auto" w:fill="F2DFCE"/>
          </w:tcPr>
          <w:p>
            <w:pPr>
              <w:pStyle w:val="Celda"/>
            </w:pPr>
            <w:r>
              <w:rPr>
                <w:b/>
              </w:rPr>
              <w:t xml:space="preserve">Tipo</w:t>
            </w:r>
          </w:p>
        </w:tc>
        <w:tc>
          <w:tcPr>
            <w:tcW w:w="1205" w:type="dxa"/>
            <w:shd w:val="clear" w:color="auto" w:fill="F2DFCE"/>
          </w:tcPr>
          <w:p>
            <w:pPr>
              <w:pStyle w:val="Celda"/>
            </w:pPr>
            <w:r>
              <w:rPr>
                <w:b/>
              </w:rPr>
              <w:t xml:space="preserve">Fecha</w:t>
            </w:r>
          </w:p>
        </w:tc>
        <w:tc>
          <w:tcPr>
            <w:tcW w:w="1205" w:type="dxa"/>
            <w:shd w:val="clear" w:color="auto" w:fill="F2DFCE"/>
          </w:tcPr>
          <w:p>
            <w:pPr>
              <w:pStyle w:val="Celda"/>
            </w:pPr>
            <w:r>
              <w:rPr>
                <w:b/>
              </w:rPr>
              <w:t xml:space="preserve">Estado</w:t>
            </w:r>
          </w:p>
        </w:tc>
        <w:tc>
          <w:tcPr>
            <w:tcW w:w="1205" w:type="dxa"/>
            <w:shd w:val="clear" w:color="auto" w:fill="F2DFCE"/>
          </w:tcPr>
          <w:p>
            <w:pPr>
              <w:pStyle w:val="Celda"/>
            </w:pPr>
            <w:r>
              <w:rPr>
                <w:b/>
              </w:rPr>
              <w:t xml:space="preserve">Notificaciones (régimen, plazo cumplido)</w:t>
            </w:r>
          </w:p>
        </w:tc>
        <w:tc>
          <w:tcPr>
            <w:tcW w:w="1205" w:type="dxa"/>
            <w:shd w:val="clear" w:color="auto" w:fill="F2DFCE"/>
          </w:tcPr>
          <w:p>
            <w:pPr>
              <w:pStyle w:val="Celda"/>
            </w:pPr>
            <w:r>
              <w:rPr>
                <w:b/>
              </w:rPr>
              <w:t xml:space="preserve">Lecciones y acciones</w:t>
            </w:r>
          </w:p>
        </w:tc>
      </w:tr>
      <w:tr>
        <w:tc>
          <w:tcPr>
            <w:tcW w:w="1205" w:type="dxa"/>
          </w:tcPr>
          <w:p>
            <w:pPr>
              <w:pStyle w:val="Celda"/>
            </w:pPr>
            <w:r>
              <w:t xml:space="preserve">INC-AAAA-NNN</w:t>
            </w:r>
          </w:p>
        </w:tc>
        <w:tc>
          <w:tcPr>
            <w:tcW w:w="1205" w:type="dxa"/>
          </w:tcPr>
          <w:p>
            <w:pPr>
              <w:pStyle w:val="Celda"/>
            </w:pPr>
          </w:p>
        </w:tc>
        <w:tc>
          <w:tcPr>
            <w:tcW w:w="1205" w:type="dxa"/>
          </w:tcPr>
          <w:p>
            <w:pPr>
              <w:pStyle w:val="Celda"/>
            </w:pPr>
            <w:r>
              <w:t xml:space="preserve">S1 · S2</w:t>
            </w: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bl>
    <w:p>
      <w:pPr>
        <w:pStyle w:val="Espacio"/>
      </w:pPr>
    </w:p>
    <w:tbl>
      <w:tblPr>
        <w:tblStyle w:val="TablaSG"/>
        <w:tblW w:w="5000" w:type="pct"/>
        <w:tblLayout w:type="autofit"/>
        <w:tblLook w:val="04A0" w:firstRow="1" w:lastRow="0" w:firstColumn="0" w:lastColumn="0" w:noHBand="1" w:noVBand="1"/>
      </w:tblPr>
      <w:tblGrid>
        <w:gridCol w:w="2410"/>
        <w:gridCol w:w="2410"/>
        <w:gridCol w:w="2410"/>
        <w:gridCol w:w="2410"/>
      </w:tblGrid>
      <w:tr>
        <w:trPr>
          <w:tblHeader/>
        </w:trPr>
        <w:tc>
          <w:tcPr>
            <w:tcW w:w="2410" w:type="dxa"/>
            <w:shd w:val="clear" w:color="auto" w:fill="F2DFCE"/>
          </w:tcPr>
          <w:p>
            <w:pPr>
              <w:pStyle w:val="Celda"/>
            </w:pPr>
            <w:r>
              <w:rPr>
                <w:b/>
              </w:rPr>
              <w:t xml:space="preserve">Agregado S3 y S4</w:t>
            </w:r>
          </w:p>
        </w:tc>
        <w:tc>
          <w:tcPr>
            <w:tcW w:w="2410" w:type="dxa"/>
            <w:shd w:val="clear" w:color="auto" w:fill="F2DFCE"/>
          </w:tcPr>
          <w:p>
            <w:pPr>
              <w:pStyle w:val="Celda"/>
            </w:pPr>
            <w:r>
              <w:rPr>
                <w:b/>
              </w:rPr>
              <w:t xml:space="preserve">Número</w:t>
            </w:r>
          </w:p>
        </w:tc>
        <w:tc>
          <w:tcPr>
            <w:tcW w:w="2410" w:type="dxa"/>
            <w:shd w:val="clear" w:color="auto" w:fill="F2DFCE"/>
          </w:tcPr>
          <w:p>
            <w:pPr>
              <w:pStyle w:val="Celda"/>
            </w:pPr>
            <w:r>
              <w:rPr>
                <w:b/>
              </w:rPr>
              <w:t xml:space="preserve">Tipología principal</w:t>
            </w:r>
          </w:p>
        </w:tc>
        <w:tc>
          <w:tcPr>
            <w:tcW w:w="2410" w:type="dxa"/>
            <w:shd w:val="clear" w:color="auto" w:fill="F2DFCE"/>
          </w:tcPr>
          <w:p>
            <w:pPr>
              <w:pStyle w:val="Celda"/>
            </w:pPr>
            <w:r>
              <w:rPr>
                <w:b/>
              </w:rPr>
              <w:t xml:space="preserve">Tiempo mediano de contención</w:t>
            </w:r>
          </w:p>
        </w:tc>
      </w:tr>
      <w:tr>
        <w:tc>
          <w:tcPr>
            <w:tcW w:w="2410" w:type="dxa"/>
          </w:tcPr>
          <w:p>
            <w:pPr>
              <w:pStyle w:val="Celda"/>
            </w:pPr>
          </w:p>
        </w:tc>
        <w:tc>
          <w:tcPr>
            <w:tcW w:w="2410" w:type="dxa"/>
          </w:tcPr>
          <w:p>
            <w:pPr>
              <w:pStyle w:val="Celda"/>
            </w:pPr>
          </w:p>
        </w:tc>
        <w:tc>
          <w:tcPr>
            <w:tcW w:w="2410" w:type="dxa"/>
          </w:tcPr>
          <w:p>
            <w:pPr>
              <w:pStyle w:val="Celda"/>
            </w:pPr>
          </w:p>
        </w:tc>
        <w:tc>
          <w:tcPr>
            <w:tcW w:w="2410" w:type="dxa"/>
          </w:tcPr>
          <w:p>
            <w:pPr>
              <w:pStyle w:val="Celda"/>
            </w:pPr>
          </w:p>
        </w:tc>
      </w:tr>
    </w:tbl>
    <w:p>
      <w:pPr>
        <w:pStyle w:val="Espacio"/>
      </w:pPr>
    </w:p>
    <w:tbl>
      <w:tblPr>
        <w:tblStyle w:val="TablaSG"/>
        <w:tblW w:w="5000" w:type="pct"/>
        <w:tblLayout w:type="autofit"/>
        <w:tblLook w:val="04A0" w:firstRow="1" w:lastRow="0" w:firstColumn="0" w:lastColumn="0" w:noHBand="1" w:noVBand="1"/>
      </w:tblPr>
      <w:tblGrid>
        <w:gridCol w:w="4819"/>
        <w:gridCol w:w="4819"/>
      </w:tblGrid>
      <w:tr>
        <w:trPr>
          <w:tblHeader/>
        </w:trPr>
        <w:tc>
          <w:tcPr>
            <w:tcW w:w="4819" w:type="dxa"/>
            <w:shd w:val="clear" w:color="auto" w:fill="F2DFCE"/>
          </w:tcPr>
          <w:p>
            <w:pPr>
              <w:pStyle w:val="Celda"/>
            </w:pPr>
            <w:r>
              <w:rPr>
                <w:b/>
              </w:rPr>
              <w:t xml:space="preserve">Campo</w:t>
            </w:r>
          </w:p>
        </w:tc>
        <w:tc>
          <w:tcPr>
            <w:tcW w:w="4819" w:type="dxa"/>
            <w:shd w:val="clear" w:color="auto" w:fill="F2DFCE"/>
          </w:tcPr>
          <w:p>
            <w:pPr>
              <w:pStyle w:val="Celda"/>
            </w:pPr>
            <w:r>
              <w:rPr>
                <w:b/>
              </w:rPr>
              <w:t xml:space="preserve">Contenido</w:t>
            </w:r>
          </w:p>
        </w:tc>
      </w:tr>
      <w:tr>
        <w:tc>
          <w:tcPr>
            <w:tcW w:w="4819" w:type="dxa"/>
          </w:tcPr>
          <w:p>
            <w:pPr>
              <w:pStyle w:val="Celda"/>
            </w:pPr>
            <w:r>
              <w:t xml:space="preserve">Notificaciones regulatorias del trimestre y cumplimiento de plazos</w:t>
            </w:r>
          </w:p>
        </w:tc>
        <w:tc>
          <w:tcPr>
            <w:tcW w:w="4819" w:type="dxa"/>
          </w:tcPr>
          <w:p>
            <w:pPr>
              <w:pStyle w:val="Celda"/>
            </w:pPr>
          </w:p>
        </w:tc>
      </w:tr>
      <w:tr>
        <w:tc>
          <w:tcPr>
            <w:tcW w:w="4819" w:type="dxa"/>
          </w:tcPr>
          <w:p>
            <w:pPr>
              <w:pStyle w:val="Celda"/>
            </w:pPr>
            <w:r>
              <w:t xml:space="preserve">Incidentes de proveedores</w:t>
            </w:r>
          </w:p>
        </w:tc>
        <w:tc>
          <w:tcPr>
            <w:tcW w:w="4819" w:type="dxa"/>
          </w:tcPr>
          <w:p>
            <w:pPr>
              <w:pStyle w:val="Celda"/>
            </w:pPr>
          </w:p>
        </w:tc>
      </w:tr>
      <w:tr>
        <w:tc>
          <w:tcPr>
            <w:tcW w:w="4819" w:type="dxa"/>
          </w:tcPr>
          <w:p>
            <w:pPr>
              <w:pStyle w:val="Celda"/>
            </w:pPr>
            <w:r>
              <w:t xml:space="preserve">Lecciones sistémicas</w:t>
            </w:r>
          </w:p>
        </w:tc>
        <w:tc>
          <w:tcPr>
            <w:tcW w:w="4819" w:type="dxa"/>
          </w:tcPr>
          <w:p>
            <w:pPr>
              <w:pStyle w:val="Celda"/>
            </w:pPr>
          </w:p>
        </w:tc>
      </w:tr>
    </w:tbl>
    <w:p>
      <w:pPr>
        <w:pStyle w:val="Espacio"/>
      </w:pPr>
    </w:p>
    <w:p>
      <w:pPr>
        <w:pStyle w:val="Separador"/>
      </w:pPr>
    </w:p>
    <w:p>
      <w:pPr>
        <w:pStyle w:val="Heading1"/>
      </w:pPr>
      <w:r>
        <w:t xml:space="preserve">6. No conformidades</w:t>
      </w:r>
    </w:p>
    <w:tbl>
      <w:tblPr>
        <w:tblStyle w:val="TablaSG"/>
        <w:tblW w:w="5000" w:type="pct"/>
        <w:tblLayout w:type="autofit"/>
        <w:tblLook w:val="04A0" w:firstRow="1" w:lastRow="0" w:firstColumn="0" w:lastColumn="0" w:noHBand="1" w:noVBand="1"/>
      </w:tblPr>
      <w:tblGrid>
        <w:gridCol w:w="1205"/>
        <w:gridCol w:w="1205"/>
        <w:gridCol w:w="1205"/>
        <w:gridCol w:w="1205"/>
        <w:gridCol w:w="1205"/>
        <w:gridCol w:w="1205"/>
        <w:gridCol w:w="1205"/>
        <w:gridCol w:w="1205"/>
      </w:tblGrid>
      <w:tr>
        <w:trPr>
          <w:tblHeader/>
        </w:trPr>
        <w:tc>
          <w:tcPr>
            <w:tcW w:w="1205" w:type="dxa"/>
            <w:shd w:val="clear" w:color="auto" w:fill="F2DFCE"/>
          </w:tcPr>
          <w:p>
            <w:pPr>
              <w:pStyle w:val="Celda"/>
            </w:pPr>
            <w:r>
              <w:rPr>
                <w:b/>
              </w:rPr>
              <w:t xml:space="preserve">Código</w:t>
            </w:r>
          </w:p>
        </w:tc>
        <w:tc>
          <w:tcPr>
            <w:tcW w:w="1205" w:type="dxa"/>
            <w:shd w:val="clear" w:color="auto" w:fill="F2DFCE"/>
          </w:tcPr>
          <w:p>
            <w:pPr>
              <w:pStyle w:val="Celda"/>
            </w:pPr>
            <w:r>
              <w:rPr>
                <w:b/>
              </w:rPr>
              <w:t xml:space="preserve">Requisito incumplido</w:t>
            </w:r>
          </w:p>
        </w:tc>
        <w:tc>
          <w:tcPr>
            <w:tcW w:w="1205" w:type="dxa"/>
            <w:shd w:val="clear" w:color="auto" w:fill="F2DFCE"/>
          </w:tcPr>
          <w:p>
            <w:pPr>
              <w:pStyle w:val="Celda"/>
            </w:pPr>
            <w:r>
              <w:rPr>
                <w:b/>
              </w:rPr>
              <w:t xml:space="preserve">Tipo</w:t>
            </w:r>
          </w:p>
        </w:tc>
        <w:tc>
          <w:tcPr>
            <w:tcW w:w="1205" w:type="dxa"/>
            <w:shd w:val="clear" w:color="auto" w:fill="F2DFCE"/>
          </w:tcPr>
          <w:p>
            <w:pPr>
              <w:pStyle w:val="Celda"/>
            </w:pPr>
            <w:r>
              <w:rPr>
                <w:b/>
              </w:rPr>
              <w:t xml:space="preserve">Alcance</w:t>
            </w:r>
          </w:p>
        </w:tc>
        <w:tc>
          <w:tcPr>
            <w:tcW w:w="1205" w:type="dxa"/>
            <w:shd w:val="clear" w:color="auto" w:fill="F2DFCE"/>
          </w:tcPr>
          <w:p>
            <w:pPr>
              <w:pStyle w:val="Celda"/>
            </w:pPr>
            <w:r>
              <w:rPr>
                <w:b/>
              </w:rPr>
              <w:t xml:space="preserve">Estado</w:t>
            </w:r>
          </w:p>
        </w:tc>
        <w:tc>
          <w:tcPr>
            <w:tcW w:w="1205" w:type="dxa"/>
            <w:shd w:val="clear" w:color="auto" w:fill="F2DFCE"/>
          </w:tcPr>
          <w:p>
            <w:pPr>
              <w:pStyle w:val="Celda"/>
            </w:pPr>
            <w:r>
              <w:rPr>
                <w:b/>
              </w:rPr>
              <w:t xml:space="preserve">Plazo</w:t>
            </w:r>
          </w:p>
        </w:tc>
        <w:tc>
          <w:tcPr>
            <w:tcW w:w="1205" w:type="dxa"/>
            <w:shd w:val="clear" w:color="auto" w:fill="F2DFCE"/>
          </w:tcPr>
          <w:p>
            <w:pPr>
              <w:pStyle w:val="Celda"/>
            </w:pPr>
            <w:r>
              <w:rPr>
                <w:b/>
              </w:rPr>
              <w:t xml:space="preserve">¿Vencida?</w:t>
            </w:r>
          </w:p>
        </w:tc>
        <w:tc>
          <w:tcPr>
            <w:tcW w:w="1205" w:type="dxa"/>
            <w:shd w:val="clear" w:color="auto" w:fill="F2DFCE"/>
          </w:tcPr>
          <w:p>
            <w:pPr>
              <w:pStyle w:val="Celda"/>
            </w:pPr>
            <w:r>
              <w:rPr>
                <w:b/>
              </w:rPr>
              <w:t xml:space="preserve">Acción correctiva</w:t>
            </w:r>
          </w:p>
        </w:tc>
      </w:tr>
      <w:tr>
        <w:tc>
          <w:tcPr>
            <w:tcW w:w="1205" w:type="dxa"/>
          </w:tcPr>
          <w:p>
            <w:pPr>
              <w:pStyle w:val="Celda"/>
            </w:pPr>
            <w:r>
              <w:t xml:space="preserve">NC-AAAA-NNN</w:t>
            </w:r>
          </w:p>
        </w:tc>
        <w:tc>
          <w:tcPr>
            <w:tcW w:w="1205" w:type="dxa"/>
          </w:tcPr>
          <w:p>
            <w:pPr>
              <w:pStyle w:val="Celda"/>
            </w:pPr>
          </w:p>
        </w:tc>
        <w:tc>
          <w:tcPr>
            <w:tcW w:w="1205" w:type="dxa"/>
          </w:tcPr>
          <w:p>
            <w:pPr>
              <w:pStyle w:val="Celda"/>
            </w:pPr>
            <w:r>
              <w:t xml:space="preserve">Crítica · Mayor</w:t>
            </w: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r>
              <w:t xml:space="preserve">Sí · No</w:t>
            </w:r>
          </w:p>
        </w:tc>
        <w:tc>
          <w:tcPr>
            <w:tcW w:w="1205" w:type="dxa"/>
          </w:tcPr>
          <w:p>
            <w:pPr>
              <w:pStyle w:val="Celda"/>
            </w:pPr>
          </w:p>
        </w:tc>
      </w:tr>
    </w:tbl>
    <w:p>
      <w:pPr>
        <w:pStyle w:val="Espacio"/>
      </w:pPr>
    </w:p>
    <w:p>
      <w:r>
        <w:t xml:space="preserve">Críticas: siempre individualmente. Mayores: individualmente si están abiertas fuera de plazo; agregadas en el resto. Menores: solo el número.</w:t>
      </w:r>
    </w:p>
    <w:tbl>
      <w:tblPr>
        <w:tblStyle w:val="TablaSG"/>
        <w:tblW w:w="5000" w:type="pct"/>
        <w:tblLayout w:type="autofit"/>
        <w:tblLook w:val="04A0" w:firstRow="1" w:lastRow="0" w:firstColumn="0" w:lastColumn="0" w:noHBand="1" w:noVBand="1"/>
      </w:tblPr>
      <w:tblGrid>
        <w:gridCol w:w="2410"/>
        <w:gridCol w:w="2410"/>
        <w:gridCol w:w="2410"/>
        <w:gridCol w:w="2410"/>
      </w:tblGrid>
      <w:tr>
        <w:trPr>
          <w:tblHeader/>
        </w:trPr>
        <w:tc>
          <w:tcPr>
            <w:tcW w:w="2410" w:type="dxa"/>
            <w:shd w:val="clear" w:color="auto" w:fill="F2DFCE"/>
          </w:tcPr>
          <w:p>
            <w:pPr>
              <w:pStyle w:val="Celda"/>
            </w:pPr>
            <w:r>
              <w:rPr>
                <w:b/>
              </w:rPr>
              <w:t xml:space="preserve">Resumen</w:t>
            </w:r>
          </w:p>
        </w:tc>
        <w:tc>
          <w:tcPr>
            <w:tcW w:w="2410" w:type="dxa"/>
            <w:shd w:val="clear" w:color="auto" w:fill="F2DFCE"/>
          </w:tcPr>
          <w:p>
            <w:pPr>
              <w:pStyle w:val="Celda"/>
            </w:pPr>
            <w:r>
              <w:rPr>
                <w:b/>
              </w:rPr>
              <w:t xml:space="preserve">Críticas</w:t>
            </w:r>
          </w:p>
        </w:tc>
        <w:tc>
          <w:tcPr>
            <w:tcW w:w="2410" w:type="dxa"/>
            <w:shd w:val="clear" w:color="auto" w:fill="F2DFCE"/>
          </w:tcPr>
          <w:p>
            <w:pPr>
              <w:pStyle w:val="Celda"/>
            </w:pPr>
            <w:r>
              <w:rPr>
                <w:b/>
              </w:rPr>
              <w:t xml:space="preserve">Mayores</w:t>
            </w:r>
          </w:p>
        </w:tc>
        <w:tc>
          <w:tcPr>
            <w:tcW w:w="2410" w:type="dxa"/>
            <w:shd w:val="clear" w:color="auto" w:fill="F2DFCE"/>
          </w:tcPr>
          <w:p>
            <w:pPr>
              <w:pStyle w:val="Celda"/>
            </w:pPr>
            <w:r>
              <w:rPr>
                <w:b/>
              </w:rPr>
              <w:t xml:space="preserve">Menores</w:t>
            </w:r>
          </w:p>
        </w:tc>
      </w:tr>
      <w:tr>
        <w:tc>
          <w:tcPr>
            <w:tcW w:w="2410" w:type="dxa"/>
          </w:tcPr>
          <w:p>
            <w:pPr>
              <w:pStyle w:val="Celda"/>
            </w:pPr>
            <w:r>
              <w:t xml:space="preserve">Abiertas</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Vencidas</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Cerradas en el trimestre</w:t>
            </w:r>
          </w:p>
        </w:tc>
        <w:tc>
          <w:tcPr>
            <w:tcW w:w="2410" w:type="dxa"/>
          </w:tcPr>
          <w:p>
            <w:pPr>
              <w:pStyle w:val="Celda"/>
            </w:pPr>
          </w:p>
        </w:tc>
        <w:tc>
          <w:tcPr>
            <w:tcW w:w="2410" w:type="dxa"/>
          </w:tcPr>
          <w:p>
            <w:pPr>
              <w:pStyle w:val="Celda"/>
            </w:pPr>
          </w:p>
        </w:tc>
        <w:tc>
          <w:tcPr>
            <w:tcW w:w="2410" w:type="dxa"/>
          </w:tcPr>
          <w:p>
            <w:pPr>
              <w:pStyle w:val="Celda"/>
            </w:pPr>
          </w:p>
        </w:tc>
      </w:tr>
    </w:tbl>
    <w:p>
      <w:pPr>
        <w:pStyle w:val="Espacio"/>
      </w:pPr>
    </w:p>
    <w:p>
      <w:pPr>
        <w:pStyle w:val="Separador"/>
      </w:pPr>
    </w:p>
    <w:p>
      <w:pPr>
        <w:pStyle w:val="Heading1"/>
      </w:pPr>
      <w:r>
        <w:t xml:space="preserve">7. Excepciones vigentes</w:t>
      </w:r>
    </w:p>
    <w:p>
      <w:r>
        <w:t xml:space="preserve">Resumen del registro de P40 (30 §7.4).</w:t>
      </w:r>
    </w:p>
    <w:tbl>
      <w:tblPr>
        <w:tblStyle w:val="TablaSG"/>
        <w:tblW w:w="5000" w:type="pct"/>
        <w:tblLayout w:type="autofit"/>
        <w:tblLook w:val="04A0" w:firstRow="1" w:lastRow="0" w:firstColumn="0" w:lastColumn="0" w:noHBand="1" w:noVBand="1"/>
      </w:tblPr>
      <w:tblGrid>
        <w:gridCol w:w="1377"/>
        <w:gridCol w:w="1377"/>
        <w:gridCol w:w="1377"/>
        <w:gridCol w:w="1377"/>
        <w:gridCol w:w="1377"/>
        <w:gridCol w:w="1377"/>
        <w:gridCol w:w="1377"/>
      </w:tblGrid>
      <w:tr>
        <w:trPr>
          <w:tblHeader/>
        </w:trPr>
        <w:tc>
          <w:tcPr>
            <w:tcW w:w="1377" w:type="dxa"/>
            <w:shd w:val="clear" w:color="auto" w:fill="F2DFCE"/>
          </w:tcPr>
          <w:p>
            <w:pPr>
              <w:pStyle w:val="Celda"/>
            </w:pPr>
            <w:r>
              <w:rPr>
                <w:b/>
              </w:rPr>
              <w:t xml:space="preserve">Código</w:t>
            </w:r>
          </w:p>
        </w:tc>
        <w:tc>
          <w:tcPr>
            <w:tcW w:w="1377" w:type="dxa"/>
            <w:shd w:val="clear" w:color="auto" w:fill="F2DFCE"/>
          </w:tcPr>
          <w:p>
            <w:pPr>
              <w:pStyle w:val="Celda"/>
            </w:pPr>
            <w:r>
              <w:rPr>
                <w:b/>
              </w:rPr>
              <w:t xml:space="preserve">Tipo</w:t>
            </w:r>
          </w:p>
        </w:tc>
        <w:tc>
          <w:tcPr>
            <w:tcW w:w="1377" w:type="dxa"/>
            <w:shd w:val="clear" w:color="auto" w:fill="F2DFCE"/>
          </w:tcPr>
          <w:p>
            <w:pPr>
              <w:pStyle w:val="Celda"/>
            </w:pPr>
            <w:r>
              <w:rPr>
                <w:b/>
              </w:rPr>
              <w:t xml:space="preserve">Requisito afectado</w:t>
            </w:r>
          </w:p>
        </w:tc>
        <w:tc>
          <w:tcPr>
            <w:tcW w:w="1377" w:type="dxa"/>
            <w:shd w:val="clear" w:color="auto" w:fill="F2DFCE"/>
          </w:tcPr>
          <w:p>
            <w:pPr>
              <w:pStyle w:val="Celda"/>
            </w:pPr>
            <w:r>
              <w:rPr>
                <w:b/>
              </w:rPr>
              <w:t xml:space="preserve">Nivel de riesgo con medidas</w:t>
            </w:r>
          </w:p>
        </w:tc>
        <w:tc>
          <w:tcPr>
            <w:tcW w:w="1377" w:type="dxa"/>
            <w:shd w:val="clear" w:color="auto" w:fill="F2DFCE"/>
          </w:tcPr>
          <w:p>
            <w:pPr>
              <w:pStyle w:val="Celda"/>
            </w:pPr>
            <w:r>
              <w:rPr>
                <w:b/>
              </w:rPr>
              <w:t xml:space="preserve">Aprobada por</w:t>
            </w:r>
          </w:p>
        </w:tc>
        <w:tc>
          <w:tcPr>
            <w:tcW w:w="1377" w:type="dxa"/>
            <w:shd w:val="clear" w:color="auto" w:fill="F2DFCE"/>
          </w:tcPr>
          <w:p>
            <w:pPr>
              <w:pStyle w:val="Celda"/>
            </w:pPr>
            <w:r>
              <w:rPr>
                <w:b/>
              </w:rPr>
              <w:t xml:space="preserve">Caducidad</w:t>
            </w:r>
          </w:p>
        </w:tc>
        <w:tc>
          <w:tcPr>
            <w:tcW w:w="1377" w:type="dxa"/>
            <w:shd w:val="clear" w:color="auto" w:fill="F2DFCE"/>
          </w:tcPr>
          <w:p>
            <w:pPr>
              <w:pStyle w:val="Celda"/>
            </w:pPr>
            <w:r>
              <w:rPr>
                <w:b/>
              </w:rPr>
              <w:t xml:space="preserve">Estado</w:t>
            </w:r>
          </w:p>
        </w:tc>
      </w:tr>
      <w:tr>
        <w:tc>
          <w:tcPr>
            <w:tcW w:w="1377" w:type="dxa"/>
          </w:tcPr>
          <w:p>
            <w:pPr>
              <w:pStyle w:val="Celda"/>
            </w:pPr>
            <w:r>
              <w:t xml:space="preserve">EXC-AAAA-NNN</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r>
              <w:t xml:space="preserve">Vigente · Vencida</w:t>
            </w:r>
          </w:p>
        </w:tc>
      </w:tr>
    </w:tbl>
    <w:p>
      <w:pPr>
        <w:pStyle w:val="Espacio"/>
      </w:pPr>
    </w:p>
    <w:p>
      <w:pPr>
        <w:pStyle w:val="Separador"/>
      </w:pPr>
    </w:p>
    <w:p>
      <w:pPr>
        <w:pStyle w:val="Heading1"/>
      </w:pPr>
      <w:r>
        <w:t xml:space="preserve">8. Conciliación trimestral del inventario</w:t>
      </w:r>
    </w:p>
    <w:p>
      <w:r>
        <w:t xml:space="preserve">Resultado de la conciliación de 32 §9, realizada por la oficina de IA.</w:t>
      </w:r>
    </w:p>
    <w:tbl>
      <w:tblPr>
        <w:tblStyle w:val="TablaSG"/>
        <w:tblW w:w="5000" w:type="pct"/>
        <w:tblLayout w:type="autofit"/>
        <w:tblLook w:val="04A0" w:firstRow="1" w:lastRow="0" w:firstColumn="0" w:lastColumn="0" w:noHBand="1" w:noVBand="1"/>
      </w:tblPr>
      <w:tblGrid>
        <w:gridCol w:w="2410"/>
        <w:gridCol w:w="2410"/>
        <w:gridCol w:w="2410"/>
        <w:gridCol w:w="2410"/>
      </w:tblGrid>
      <w:tr>
        <w:trPr>
          <w:tblHeader/>
        </w:trPr>
        <w:tc>
          <w:tcPr>
            <w:tcW w:w="2410" w:type="dxa"/>
            <w:shd w:val="clear" w:color="auto" w:fill="F2DFCE"/>
          </w:tcPr>
          <w:p>
            <w:pPr>
              <w:pStyle w:val="Celda"/>
            </w:pPr>
            <w:r>
              <w:rPr>
                <w:b/>
              </w:rPr>
              <w:t xml:space="preserve">Fuente contrastada</w:t>
            </w:r>
          </w:p>
        </w:tc>
        <w:tc>
          <w:tcPr>
            <w:tcW w:w="2410" w:type="dxa"/>
            <w:shd w:val="clear" w:color="auto" w:fill="F2DFCE"/>
          </w:tcPr>
          <w:p>
            <w:pPr>
              <w:pStyle w:val="Celda"/>
            </w:pPr>
            <w:r>
              <w:rPr>
                <w:b/>
              </w:rPr>
              <w:t xml:space="preserve">Diferencias encontradas</w:t>
            </w:r>
          </w:p>
        </w:tc>
        <w:tc>
          <w:tcPr>
            <w:tcW w:w="2410" w:type="dxa"/>
            <w:shd w:val="clear" w:color="auto" w:fill="F2DFCE"/>
          </w:tcPr>
          <w:p>
            <w:pPr>
              <w:pStyle w:val="Celda"/>
            </w:pPr>
            <w:r>
              <w:rPr>
                <w:b/>
              </w:rPr>
              <w:t xml:space="preserve">Tratamiento</w:t>
            </w:r>
          </w:p>
        </w:tc>
        <w:tc>
          <w:tcPr>
            <w:tcW w:w="2410" w:type="dxa"/>
            <w:shd w:val="clear" w:color="auto" w:fill="F2DFCE"/>
          </w:tcPr>
          <w:p>
            <w:pPr>
              <w:pStyle w:val="Celda"/>
            </w:pPr>
            <w:r>
              <w:rPr>
                <w:b/>
              </w:rPr>
              <w:t xml:space="preserve">No conformidades abiertas</w:t>
            </w:r>
          </w:p>
        </w:tc>
      </w:tr>
      <w:tr>
        <w:tc>
          <w:tcPr>
            <w:tcW w:w="2410" w:type="dxa"/>
          </w:tcPr>
          <w:p>
            <w:pPr>
              <w:pStyle w:val="Celda"/>
            </w:pPr>
            <w:r>
              <w:t xml:space="preserve">Registro de aplicaciones y arquitectura</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Contratos, compras y renovaciones</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Registro de proveedores de IA (T09) y registro de proveedores TIC (DORA, cuando aplique)</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Facturación de nube y consumo de APIs de modelos</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Repositorios de código y plataformas de datos</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Registro de actividades de tratamiento (RGPD)</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Navegación, prevención de fuga de datos y dispositivos</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Notas de gasto y tarjetas corporativas</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Notas de versión de proveedores</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Comunicaciones, encuestas y auditorías</w:t>
            </w:r>
          </w:p>
        </w:tc>
        <w:tc>
          <w:tcPr>
            <w:tcW w:w="2410" w:type="dxa"/>
          </w:tcPr>
          <w:p>
            <w:pPr>
              <w:pStyle w:val="Celda"/>
            </w:pPr>
          </w:p>
        </w:tc>
        <w:tc>
          <w:tcPr>
            <w:tcW w:w="2410" w:type="dxa"/>
          </w:tcPr>
          <w:p>
            <w:pPr>
              <w:pStyle w:val="Celda"/>
            </w:pPr>
          </w:p>
        </w:tc>
        <w:tc>
          <w:tcPr>
            <w:tcW w:w="2410" w:type="dxa"/>
          </w:tcPr>
          <w:p>
            <w:pPr>
              <w:pStyle w:val="Celda"/>
            </w:pPr>
          </w:p>
        </w:tc>
      </w:tr>
    </w:tbl>
    <w:p>
      <w:pPr>
        <w:pStyle w:val="Espacio"/>
      </w:pPr>
    </w:p>
    <w:tbl>
      <w:tblPr>
        <w:tblStyle w:val="TablaSG"/>
        <w:tblW w:w="5000" w:type="pct"/>
        <w:tblLayout w:type="autofit"/>
        <w:tblLook w:val="04A0" w:firstRow="1" w:lastRow="0" w:firstColumn="0" w:lastColumn="0" w:noHBand="1" w:noVBand="1"/>
      </w:tblPr>
      <w:tblGrid>
        <w:gridCol w:w="4819"/>
        <w:gridCol w:w="4819"/>
      </w:tblGrid>
      <w:tr>
        <w:trPr>
          <w:tblHeader/>
        </w:trPr>
        <w:tc>
          <w:tcPr>
            <w:tcW w:w="4819" w:type="dxa"/>
            <w:shd w:val="clear" w:color="auto" w:fill="F2DFCE"/>
          </w:tcPr>
          <w:p>
            <w:pPr>
              <w:pStyle w:val="Celda"/>
            </w:pPr>
            <w:r>
              <w:rPr>
                <w:b/>
              </w:rPr>
              <w:t xml:space="preserve">Campo</w:t>
            </w:r>
          </w:p>
        </w:tc>
        <w:tc>
          <w:tcPr>
            <w:tcW w:w="4819" w:type="dxa"/>
            <w:shd w:val="clear" w:color="auto" w:fill="F2DFCE"/>
          </w:tcPr>
          <w:p>
            <w:pPr>
              <w:pStyle w:val="Celda"/>
            </w:pPr>
            <w:r>
              <w:rPr>
                <w:b/>
              </w:rPr>
              <w:t xml:space="preserve">Contenido</w:t>
            </w:r>
          </w:p>
        </w:tc>
      </w:tr>
      <w:tr>
        <w:tc>
          <w:tcPr>
            <w:tcW w:w="4819" w:type="dxa"/>
          </w:tcPr>
          <w:p>
            <w:pPr>
              <w:pStyle w:val="Celda"/>
            </w:pPr>
            <w:r>
              <w:t xml:space="preserve">Sistemas dados de alta por la conciliación</w:t>
            </w:r>
          </w:p>
        </w:tc>
        <w:tc>
          <w:tcPr>
            <w:tcW w:w="4819" w:type="dxa"/>
          </w:tcPr>
          <w:p>
            <w:pPr>
              <w:pStyle w:val="Celda"/>
            </w:pPr>
          </w:p>
        </w:tc>
      </w:tr>
      <w:tr>
        <w:tc>
          <w:tcPr>
            <w:tcW w:w="4819" w:type="dxa"/>
          </w:tcPr>
          <w:p>
            <w:pPr>
              <w:pStyle w:val="Celda"/>
            </w:pPr>
            <w:r>
              <w:t xml:space="preserve">Sistemas en producción sin </w:t>
            </w:r>
            <w:r>
              <w:rPr>
                <w:i/>
              </w:rPr>
              <w:t xml:space="preserve">gate</w:t>
            </w:r>
            <w:r>
              <w:t xml:space="preserve"> detectados</w:t>
            </w:r>
          </w:p>
        </w:tc>
        <w:tc>
          <w:tcPr>
            <w:tcW w:w="4819" w:type="dxa"/>
          </w:tcPr>
          <w:p>
            <w:pPr>
              <w:pStyle w:val="Celda"/>
            </w:pPr>
            <w:r>
              <w:t xml:space="preserve">Cada uno es no conformidad crítica (01 §12).</w:t>
            </w:r>
          </w:p>
        </w:tc>
      </w:tr>
    </w:tbl>
    <w:p>
      <w:pPr>
        <w:pStyle w:val="Espacio"/>
      </w:pPr>
    </w:p>
    <w:p>
      <w:pPr>
        <w:pStyle w:val="Separador"/>
      </w:pPr>
    </w:p>
    <w:p>
      <w:pPr>
        <w:pStyle w:val="Heading1"/>
      </w:pPr>
      <w:r>
        <w:t xml:space="preserve">9. Cambios regulatorios</w:t>
      </w:r>
    </w:p>
    <w:p>
      <w:r>
        <w:t xml:space="preserve">Registro de cambios del mapeo (34 §10.3).</w:t>
      </w:r>
    </w:p>
    <w:tbl>
      <w:tblPr>
        <w:tblStyle w:val="TablaSG"/>
        <w:tblW w:w="5000" w:type="pct"/>
        <w:tblLayout w:type="autofit"/>
        <w:tblLook w:val="04A0" w:firstRow="1" w:lastRow="0" w:firstColumn="0" w:lastColumn="0" w:noHBand="1" w:noVBand="1"/>
      </w:tblPr>
      <w:tblGrid>
        <w:gridCol w:w="1606"/>
        <w:gridCol w:w="1606"/>
        <w:gridCol w:w="1606"/>
        <w:gridCol w:w="1606"/>
        <w:gridCol w:w="1606"/>
        <w:gridCol w:w="1606"/>
      </w:tblGrid>
      <w:tr>
        <w:trPr>
          <w:tblHeader/>
        </w:trPr>
        <w:tc>
          <w:tcPr>
            <w:tcW w:w="1606" w:type="dxa"/>
            <w:shd w:val="clear" w:color="auto" w:fill="F2DFCE"/>
          </w:tcPr>
          <w:p>
            <w:pPr>
              <w:pStyle w:val="Celda"/>
            </w:pPr>
            <w:r>
              <w:rPr>
                <w:b/>
              </w:rPr>
              <w:t xml:space="preserve">Cambio</w:t>
            </w:r>
          </w:p>
        </w:tc>
        <w:tc>
          <w:tcPr>
            <w:tcW w:w="1606" w:type="dxa"/>
            <w:shd w:val="clear" w:color="auto" w:fill="F2DFCE"/>
          </w:tcPr>
          <w:p>
            <w:pPr>
              <w:pStyle w:val="Celda"/>
            </w:pPr>
            <w:r>
              <w:rPr>
                <w:b/>
              </w:rPr>
              <w:t xml:space="preserve">Fuente oficial y fecha de consulta</w:t>
            </w:r>
          </w:p>
        </w:tc>
        <w:tc>
          <w:tcPr>
            <w:tcW w:w="1606" w:type="dxa"/>
            <w:shd w:val="clear" w:color="auto" w:fill="F2DFCE"/>
          </w:tcPr>
          <w:p>
            <w:pPr>
              <w:pStyle w:val="Celda"/>
            </w:pPr>
            <w:r>
              <w:rPr>
                <w:b/>
              </w:rPr>
              <w:t xml:space="preserve">Iniciativas o sistemas afectados</w:t>
            </w:r>
          </w:p>
        </w:tc>
        <w:tc>
          <w:tcPr>
            <w:tcW w:w="1606" w:type="dxa"/>
            <w:shd w:val="clear" w:color="auto" w:fill="F2DFCE"/>
          </w:tcPr>
          <w:p>
            <w:pPr>
              <w:pStyle w:val="Celda"/>
            </w:pPr>
            <w:r>
              <w:rPr>
                <w:b/>
              </w:rPr>
              <w:t xml:space="preserve">Paso alcanzado (1–8 de 34 §10.3)</w:t>
            </w:r>
          </w:p>
        </w:tc>
        <w:tc>
          <w:tcPr>
            <w:tcW w:w="1606" w:type="dxa"/>
            <w:shd w:val="clear" w:color="auto" w:fill="F2DFCE"/>
          </w:tcPr>
          <w:p>
            <w:pPr>
              <w:pStyle w:val="Celda"/>
            </w:pPr>
            <w:r>
              <w:rPr>
                <w:b/>
              </w:rPr>
              <w:t xml:space="preserve">Aprobado por el comité (Sí · No · No requerido)</w:t>
            </w:r>
          </w:p>
        </w:tc>
        <w:tc>
          <w:tcPr>
            <w:tcW w:w="1606" w:type="dxa"/>
            <w:shd w:val="clear" w:color="auto" w:fill="F2DFCE"/>
          </w:tcPr>
          <w:p>
            <w:pPr>
              <w:pStyle w:val="Celda"/>
            </w:pPr>
            <w:r>
              <w:rPr>
                <w:b/>
              </w:rPr>
              <w:t xml:space="preserve">Acción pendiente</w:t>
            </w:r>
          </w:p>
        </w:tc>
      </w:tr>
      <w:tr>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bl>
    <w:p>
      <w:pPr>
        <w:pStyle w:val="Espacio"/>
      </w:pPr>
    </w:p>
    <w:p>
      <w:pPr>
        <w:pStyle w:val="Separador"/>
      </w:pPr>
    </w:p>
    <w:p>
      <w:pPr>
        <w:pStyle w:val="Heading1"/>
      </w:pPr>
      <w:r>
        <w:t xml:space="preserve">10. Condiciones vencidas, aceptaciones caducadas y desacuerdos</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Tipo</w:t>
            </w:r>
          </w:p>
        </w:tc>
        <w:tc>
          <w:tcPr>
            <w:tcW w:w="1928" w:type="dxa"/>
            <w:shd w:val="clear" w:color="auto" w:fill="F2DFCE"/>
          </w:tcPr>
          <w:p>
            <w:pPr>
              <w:pStyle w:val="Celda"/>
            </w:pPr>
            <w:r>
              <w:rPr>
                <w:b/>
              </w:rPr>
              <w:t xml:space="preserve">Referencia</w:t>
            </w:r>
          </w:p>
        </w:tc>
        <w:tc>
          <w:tcPr>
            <w:tcW w:w="1928" w:type="dxa"/>
            <w:shd w:val="clear" w:color="auto" w:fill="F2DFCE"/>
          </w:tcPr>
          <w:p>
            <w:pPr>
              <w:pStyle w:val="Celda"/>
            </w:pPr>
            <w:r>
              <w:rPr>
                <w:b/>
              </w:rPr>
              <w:t xml:space="preserve">Órgano que la impuso</w:t>
            </w:r>
          </w:p>
        </w:tc>
        <w:tc>
          <w:tcPr>
            <w:tcW w:w="1928" w:type="dxa"/>
            <w:shd w:val="clear" w:color="auto" w:fill="F2DFCE"/>
          </w:tcPr>
          <w:p>
            <w:pPr>
              <w:pStyle w:val="Celda"/>
            </w:pPr>
            <w:r>
              <w:rPr>
                <w:b/>
              </w:rPr>
              <w:t xml:space="preserve">Fecha de vencimiento</w:t>
            </w:r>
          </w:p>
        </w:tc>
        <w:tc>
          <w:tcPr>
            <w:tcW w:w="1928" w:type="dxa"/>
            <w:shd w:val="clear" w:color="auto" w:fill="F2DFCE"/>
          </w:tcPr>
          <w:p>
            <w:pPr>
              <w:pStyle w:val="Celda"/>
            </w:pPr>
            <w:r>
              <w:rPr>
                <w:b/>
              </w:rPr>
              <w:t xml:space="preserve">Tratamiento</w:t>
            </w:r>
          </w:p>
        </w:tc>
      </w:tr>
      <w:tr>
        <w:tc>
          <w:tcPr>
            <w:tcW w:w="1928" w:type="dxa"/>
          </w:tcPr>
          <w:p>
            <w:pPr>
              <w:pStyle w:val="Celda"/>
            </w:pPr>
            <w:r>
              <w:t xml:space="preserve">Condición de </w:t>
            </w:r>
            <w:r>
              <w:rPr>
                <w:i/>
              </w:rPr>
              <w:t xml:space="preserve">gate</w:t>
            </w:r>
            <w:r>
              <w:t xml:space="preserve"> vencida</w:t>
            </w:r>
          </w:p>
        </w:tc>
        <w:tc>
          <w:tcPr>
            <w:tcW w:w="1928" w:type="dxa"/>
          </w:tcPr>
          <w:p>
            <w:pPr>
              <w:pStyle w:val="Celda"/>
            </w:pPr>
            <w:r>
              <w:t xml:space="preserve">P29</w:t>
            </w:r>
          </w:p>
        </w:tc>
        <w:tc>
          <w:tcPr>
            <w:tcW w:w="1928" w:type="dxa"/>
          </w:tcPr>
          <w:p>
            <w:pPr>
              <w:pStyle w:val="Celda"/>
            </w:pPr>
          </w:p>
        </w:tc>
        <w:tc>
          <w:tcPr>
            <w:tcW w:w="1928" w:type="dxa"/>
          </w:tcPr>
          <w:p>
            <w:pPr>
              <w:pStyle w:val="Celda"/>
            </w:pPr>
          </w:p>
        </w:tc>
        <w:tc>
          <w:tcPr>
            <w:tcW w:w="1928" w:type="dxa"/>
          </w:tcPr>
          <w:p>
            <w:pPr>
              <w:pStyle w:val="Celda"/>
            </w:pPr>
            <w:r>
              <w:t xml:space="preserve">Resultado pasa a Iterar (01 §7.4, regla 4).</w:t>
            </w:r>
          </w:p>
        </w:tc>
      </w:tr>
      <w:tr>
        <w:tc>
          <w:tcPr>
            <w:tcW w:w="1928" w:type="dxa"/>
          </w:tcPr>
          <w:p>
            <w:pPr>
              <w:pStyle w:val="Celda"/>
            </w:pPr>
            <w:r>
              <w:t xml:space="preserve">Condición de decisión del consejo vencida</w:t>
            </w:r>
          </w:p>
        </w:tc>
        <w:tc>
          <w:tcPr>
            <w:tcW w:w="1928" w:type="dxa"/>
          </w:tcPr>
          <w:p>
            <w:pPr>
              <w:pStyle w:val="Celda"/>
            </w:pPr>
            <w:r>
              <w:t xml:space="preserve">DEC-AAAA-NNN</w:t>
            </w:r>
          </w:p>
        </w:tc>
        <w:tc>
          <w:tcPr>
            <w:tcW w:w="1928" w:type="dxa"/>
          </w:tcPr>
          <w:p>
            <w:pPr>
              <w:pStyle w:val="Celda"/>
            </w:pPr>
          </w:p>
        </w:tc>
        <w:tc>
          <w:tcPr>
            <w:tcW w:w="1928" w:type="dxa"/>
          </w:tcPr>
          <w:p>
            <w:pPr>
              <w:pStyle w:val="Celda"/>
            </w:pPr>
          </w:p>
        </w:tc>
        <w:tc>
          <w:tcPr>
            <w:tcW w:w="1928" w:type="dxa"/>
          </w:tcPr>
          <w:p>
            <w:pPr>
              <w:pStyle w:val="Celda"/>
            </w:pPr>
            <w:r>
              <w:t xml:space="preserve">Se informa al órgano (62 §10.3).</w:t>
            </w:r>
          </w:p>
        </w:tc>
      </w:tr>
      <w:tr>
        <w:tc>
          <w:tcPr>
            <w:tcW w:w="1928" w:type="dxa"/>
          </w:tcPr>
          <w:p>
            <w:pPr>
              <w:pStyle w:val="Celda"/>
            </w:pPr>
            <w:r>
              <w:t xml:space="preserve">Aceptación de riesgo caducada</w:t>
            </w:r>
          </w:p>
        </w:tc>
        <w:tc>
          <w:tcPr>
            <w:tcW w:w="1928" w:type="dxa"/>
          </w:tcPr>
          <w:p>
            <w:pPr>
              <w:pStyle w:val="Celda"/>
            </w:pPr>
            <w:r>
              <w:t xml:space="preserve">IA-AAAA-NNN · Rnn</w:t>
            </w:r>
          </w:p>
        </w:tc>
        <w:tc>
          <w:tcPr>
            <w:tcW w:w="1928" w:type="dxa"/>
          </w:tcPr>
          <w:p>
            <w:pPr>
              <w:pStyle w:val="Celda"/>
            </w:pPr>
          </w:p>
        </w:tc>
        <w:tc>
          <w:tcPr>
            <w:tcW w:w="1928" w:type="dxa"/>
          </w:tcPr>
          <w:p>
            <w:pPr>
              <w:pStyle w:val="Celda"/>
            </w:pPr>
          </w:p>
        </w:tc>
        <w:tc>
          <w:tcPr>
            <w:tcW w:w="1928" w:type="dxa"/>
          </w:tcPr>
          <w:p>
            <w:pPr>
              <w:pStyle w:val="Celda"/>
            </w:pPr>
            <w:r>
              <w:t xml:space="preserve">El riesgo vuelve a bloquear el </w:t>
            </w:r>
            <w:r>
              <w:rPr>
                <w:i/>
              </w:rPr>
              <w:t xml:space="preserve">gate</w:t>
            </w:r>
            <w:r>
              <w:t xml:space="preserve">.</w:t>
            </w:r>
          </w:p>
        </w:tc>
      </w:tr>
      <w:tr>
        <w:tc>
          <w:tcPr>
            <w:tcW w:w="1928" w:type="dxa"/>
          </w:tcPr>
          <w:p>
            <w:pPr>
              <w:pStyle w:val="Celda"/>
            </w:pPr>
            <w:r>
              <w:t xml:space="preserve">Desacuerdo con el comité de IA (E-13)</w:t>
            </w:r>
          </w:p>
        </w:tc>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r>
              <w:t xml:space="preserve">Propuesta de resolución.</w:t>
            </w:r>
          </w:p>
        </w:tc>
      </w:tr>
    </w:tbl>
    <w:p>
      <w:pPr>
        <w:pStyle w:val="Espacio"/>
      </w:pPr>
    </w:p>
    <w:p>
      <w:pPr>
        <w:pStyle w:val="Separador"/>
      </w:pPr>
    </w:p>
    <w:p>
      <w:pPr>
        <w:pStyle w:val="Heading1"/>
      </w:pPr>
      <w:r>
        <w:t xml:space="preserve">11. Propuestas de decisión</w:t>
      </w:r>
    </w:p>
    <w:p>
      <w:r>
        <w:t xml:space="preserve">Cada propuesta con la ficha de decisión de 60 §5.1.</w:t>
      </w:r>
    </w:p>
    <w:tbl>
      <w:tblPr>
        <w:tblStyle w:val="TablaSG"/>
        <w:tblW w:w="5000" w:type="pct"/>
        <w:tblLayout w:type="autofit"/>
        <w:tblLook w:val="04A0" w:firstRow="1" w:lastRow="0" w:firstColumn="0" w:lastColumn="0" w:noHBand="1" w:noVBand="1"/>
      </w:tblPr>
      <w:tblGrid>
        <w:gridCol w:w="1606"/>
        <w:gridCol w:w="1606"/>
        <w:gridCol w:w="1606"/>
        <w:gridCol w:w="1606"/>
        <w:gridCol w:w="1606"/>
        <w:gridCol w:w="1606"/>
      </w:tblGrid>
      <w:tr>
        <w:trPr>
          <w:tblHeader/>
        </w:trPr>
        <w:tc>
          <w:tcPr>
            <w:tcW w:w="1606" w:type="dxa"/>
            <w:shd w:val="clear" w:color="auto" w:fill="F2DFCE"/>
          </w:tcPr>
          <w:p>
            <w:pPr>
              <w:pStyle w:val="Celda"/>
            </w:pPr>
            <w:r>
              <w:rPr>
                <w:b/>
              </w:rPr>
              <w:t xml:space="preserve">Código</w:t>
            </w:r>
          </w:p>
        </w:tc>
        <w:tc>
          <w:tcPr>
            <w:tcW w:w="1606" w:type="dxa"/>
            <w:shd w:val="clear" w:color="auto" w:fill="F2DFCE"/>
          </w:tcPr>
          <w:p>
            <w:pPr>
              <w:pStyle w:val="Celda"/>
            </w:pPr>
            <w:r>
              <w:rPr>
                <w:b/>
              </w:rPr>
              <w:t xml:space="preserve">Qué se solicita</w:t>
            </w:r>
          </w:p>
        </w:tc>
        <w:tc>
          <w:tcPr>
            <w:tcW w:w="1606" w:type="dxa"/>
            <w:shd w:val="clear" w:color="auto" w:fill="F2DFCE"/>
          </w:tcPr>
          <w:p>
            <w:pPr>
              <w:pStyle w:val="Celda"/>
            </w:pPr>
            <w:r>
              <w:rPr>
                <w:b/>
              </w:rPr>
              <w:t xml:space="preserve">Tipo</w:t>
            </w:r>
          </w:p>
        </w:tc>
        <w:tc>
          <w:tcPr>
            <w:tcW w:w="1606" w:type="dxa"/>
            <w:shd w:val="clear" w:color="auto" w:fill="F2DFCE"/>
          </w:tcPr>
          <w:p>
            <w:pPr>
              <w:pStyle w:val="Celda"/>
            </w:pPr>
            <w:r>
              <w:rPr>
                <w:b/>
              </w:rPr>
              <w:t xml:space="preserve">Respuesta de la segunda línea</w:t>
            </w:r>
          </w:p>
        </w:tc>
        <w:tc>
          <w:tcPr>
            <w:tcW w:w="1606" w:type="dxa"/>
            <w:shd w:val="clear" w:color="auto" w:fill="F2DFCE"/>
          </w:tcPr>
          <w:p>
            <w:pPr>
              <w:pStyle w:val="Celda"/>
            </w:pPr>
            <w:r>
              <w:rPr>
                <w:b/>
              </w:rPr>
              <w:t xml:space="preserve">Opciones</w:t>
            </w:r>
          </w:p>
        </w:tc>
        <w:tc>
          <w:tcPr>
            <w:tcW w:w="1606" w:type="dxa"/>
            <w:shd w:val="clear" w:color="auto" w:fill="F2DFCE"/>
          </w:tcPr>
          <w:p>
            <w:pPr>
              <w:pStyle w:val="Celda"/>
            </w:pPr>
            <w:r>
              <w:rPr>
                <w:b/>
              </w:rPr>
              <w:t xml:space="preserve">Qué ocurre si no se decide</w:t>
            </w:r>
          </w:p>
        </w:tc>
      </w:tr>
      <w:tr>
        <w:tc>
          <w:tcPr>
            <w:tcW w:w="1606" w:type="dxa"/>
          </w:tcPr>
          <w:p>
            <w:pPr>
              <w:pStyle w:val="Celda"/>
            </w:pPr>
            <w:r>
              <w:t xml:space="preserve">DEC-AAAA-NNN</w:t>
            </w:r>
          </w:p>
        </w:tc>
        <w:tc>
          <w:tcPr>
            <w:tcW w:w="1606" w:type="dxa"/>
          </w:tcPr>
          <w:p>
            <w:pPr>
              <w:pStyle w:val="Celda"/>
            </w:pPr>
          </w:p>
        </w:tc>
        <w:tc>
          <w:tcPr>
            <w:tcW w:w="1606" w:type="dxa"/>
          </w:tcPr>
          <w:p>
            <w:pPr>
              <w:pStyle w:val="Celda"/>
            </w:pPr>
            <w:r>
              <w:t xml:space="preserve">Aprobar · Aceptar un riesgo · Tomar conocimiento · Encargar</w:t>
            </w:r>
          </w:p>
        </w:tc>
        <w:tc>
          <w:tcPr>
            <w:tcW w:w="1606" w:type="dxa"/>
          </w:tcPr>
          <w:p>
            <w:pPr>
              <w:pStyle w:val="Celda"/>
            </w:pPr>
          </w:p>
        </w:tc>
        <w:tc>
          <w:tcPr>
            <w:tcW w:w="1606" w:type="dxa"/>
          </w:tcPr>
          <w:p>
            <w:pPr>
              <w:pStyle w:val="Celda"/>
            </w:pPr>
          </w:p>
        </w:tc>
        <w:tc>
          <w:tcPr>
            <w:tcW w:w="1606" w:type="dxa"/>
          </w:tcPr>
          <w:p>
            <w:pPr>
              <w:pStyle w:val="Celda"/>
            </w:pPr>
          </w:p>
        </w:tc>
      </w:tr>
    </w:tbl>
    <w:p>
      <w:pPr>
        <w:pStyle w:val="Espacio"/>
      </w:pPr>
    </w:p>
    <w:p>
      <w:pPr>
        <w:pStyle w:val="Separador"/>
      </w:pPr>
    </w:p>
    <w:p>
      <w:pPr>
        <w:pStyle w:val="Heading1"/>
      </w:pPr>
      <w:r>
        <w:t xml:space="preserve">12. Criterios de calidad</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w:t>
            </w:r>
          </w:p>
        </w:tc>
        <w:tc>
          <w:tcPr>
            <w:tcW w:w="3213" w:type="dxa"/>
            <w:shd w:val="clear" w:color="auto" w:fill="F2DFCE"/>
          </w:tcPr>
          <w:p>
            <w:pPr>
              <w:pStyle w:val="Celda"/>
            </w:pPr>
            <w:r>
              <w:rPr>
                <w:b/>
              </w:rPr>
              <w:t xml:space="preserve">Comprobación</w:t>
            </w:r>
          </w:p>
        </w:tc>
        <w:tc>
          <w:tcPr>
            <w:tcW w:w="3213" w:type="dxa"/>
            <w:shd w:val="clear" w:color="auto" w:fill="F2DFCE"/>
          </w:tcPr>
          <w:p>
            <w:pPr>
              <w:pStyle w:val="Celda"/>
            </w:pPr>
            <w:r>
              <w:rPr>
                <w:b/>
              </w:rPr>
              <w:t xml:space="preserve">Estado</w:t>
            </w:r>
          </w:p>
        </w:tc>
      </w:tr>
      <w:tr>
        <w:tc>
          <w:tcPr>
            <w:tcW w:w="3213" w:type="dxa"/>
          </w:tcPr>
          <w:p>
            <w:pPr>
              <w:pStyle w:val="Celda"/>
            </w:pPr>
            <w:r>
              <w:t xml:space="preserve">1</w:t>
            </w:r>
          </w:p>
        </w:tc>
        <w:tc>
          <w:tcPr>
            <w:tcW w:w="3213" w:type="dxa"/>
          </w:tcPr>
          <w:p>
            <w:pPr>
              <w:pStyle w:val="Celda"/>
            </w:pPr>
            <w:r>
              <w:t xml:space="preserve">Los riesgos Críticos y Altos, la concentración y los escenarios de cartera están actualizados (33 §10).</w:t>
            </w:r>
          </w:p>
        </w:tc>
        <w:tc>
          <w:tcPr>
            <w:tcW w:w="3213" w:type="dxa"/>
          </w:tcPr>
          <w:p>
            <w:pPr>
              <w:pStyle w:val="Celda"/>
            </w:pPr>
            <w:r>
              <w:t xml:space="preserve">Cumple · No cumple · No aplica · Pendiente</w:t>
            </w:r>
          </w:p>
        </w:tc>
      </w:tr>
      <w:tr>
        <w:tc>
          <w:tcPr>
            <w:tcW w:w="3213" w:type="dxa"/>
          </w:tcPr>
          <w:p>
            <w:pPr>
              <w:pStyle w:val="Celda"/>
            </w:pPr>
            <w:r>
              <w:t xml:space="preserve">2</w:t>
            </w:r>
          </w:p>
        </w:tc>
        <w:tc>
          <w:tcPr>
            <w:tcW w:w="3213" w:type="dxa"/>
          </w:tcPr>
          <w:p>
            <w:pPr>
              <w:pStyle w:val="Celda"/>
            </w:pPr>
            <w:r>
              <w:t xml:space="preserve">Todos los indicadores de riesgo clave tienen valor y umbral aprobado en C2, o se declara «sin dato».</w:t>
            </w:r>
          </w:p>
        </w:tc>
        <w:tc>
          <w:tcPr>
            <w:tcW w:w="3213" w:type="dxa"/>
          </w:tcPr>
          <w:p>
            <w:pPr>
              <w:pStyle w:val="Celda"/>
            </w:pPr>
          </w:p>
        </w:tc>
      </w:tr>
      <w:tr>
        <w:tc>
          <w:tcPr>
            <w:tcW w:w="3213" w:type="dxa"/>
          </w:tcPr>
          <w:p>
            <w:pPr>
              <w:pStyle w:val="Celda"/>
            </w:pPr>
            <w:r>
              <w:t xml:space="preserve">3</w:t>
            </w:r>
          </w:p>
        </w:tc>
        <w:tc>
          <w:tcPr>
            <w:tcW w:w="3213" w:type="dxa"/>
          </w:tcPr>
          <w:p>
            <w:pPr>
              <w:pStyle w:val="Celda"/>
            </w:pPr>
            <w:r>
              <w:t xml:space="preserve">Los incidentes S1 y S2 y las no conformidades críticas se informan individualmente (37 §9; 60 §4.6).</w:t>
            </w:r>
          </w:p>
        </w:tc>
        <w:tc>
          <w:tcPr>
            <w:tcW w:w="3213" w:type="dxa"/>
          </w:tcPr>
          <w:p>
            <w:pPr>
              <w:pStyle w:val="Celda"/>
            </w:pPr>
          </w:p>
        </w:tc>
      </w:tr>
      <w:tr>
        <w:tc>
          <w:tcPr>
            <w:tcW w:w="3213" w:type="dxa"/>
          </w:tcPr>
          <w:p>
            <w:pPr>
              <w:pStyle w:val="Celda"/>
            </w:pPr>
            <w:r>
              <w:t xml:space="preserve">4</w:t>
            </w:r>
          </w:p>
        </w:tc>
        <w:tc>
          <w:tcPr>
            <w:tcW w:w="3213" w:type="dxa"/>
          </w:tcPr>
          <w:p>
            <w:pPr>
              <w:pStyle w:val="Celda"/>
            </w:pPr>
            <w:r>
              <w:t xml:space="preserve">Las excepciones vigentes coinciden con el registro de P40.</w:t>
            </w:r>
          </w:p>
        </w:tc>
        <w:tc>
          <w:tcPr>
            <w:tcW w:w="3213" w:type="dxa"/>
          </w:tcPr>
          <w:p>
            <w:pPr>
              <w:pStyle w:val="Celda"/>
            </w:pPr>
          </w:p>
        </w:tc>
      </w:tr>
      <w:tr>
        <w:tc>
          <w:tcPr>
            <w:tcW w:w="3213" w:type="dxa"/>
          </w:tcPr>
          <w:p>
            <w:pPr>
              <w:pStyle w:val="Celda"/>
            </w:pPr>
            <w:r>
              <w:t xml:space="preserve">5</w:t>
            </w:r>
          </w:p>
        </w:tc>
        <w:tc>
          <w:tcPr>
            <w:tcW w:w="3213" w:type="dxa"/>
          </w:tcPr>
          <w:p>
            <w:pPr>
              <w:pStyle w:val="Celda"/>
            </w:pPr>
            <w:r>
              <w:t xml:space="preserve">La conciliación del inventario se hizo en el trimestre con todas las fuentes de 32 §9.</w:t>
            </w:r>
          </w:p>
        </w:tc>
        <w:tc>
          <w:tcPr>
            <w:tcW w:w="3213" w:type="dxa"/>
          </w:tcPr>
          <w:p>
            <w:pPr>
              <w:pStyle w:val="Celda"/>
            </w:pPr>
          </w:p>
        </w:tc>
      </w:tr>
      <w:tr>
        <w:tc>
          <w:tcPr>
            <w:tcW w:w="3213" w:type="dxa"/>
          </w:tcPr>
          <w:p>
            <w:pPr>
              <w:pStyle w:val="Celda"/>
            </w:pPr>
            <w:r>
              <w:t xml:space="preserve">6</w:t>
            </w:r>
          </w:p>
        </w:tc>
        <w:tc>
          <w:tcPr>
            <w:tcW w:w="3213" w:type="dxa"/>
          </w:tcPr>
          <w:p>
            <w:pPr>
              <w:pStyle w:val="Celda"/>
            </w:pPr>
            <w:r>
              <w:t xml:space="preserve">Cada cambio regulatorio tiene fuente oficial y fecha de consulta.</w:t>
            </w:r>
          </w:p>
        </w:tc>
        <w:tc>
          <w:tcPr>
            <w:tcW w:w="3213" w:type="dxa"/>
          </w:tcPr>
          <w:p>
            <w:pPr>
              <w:pStyle w:val="Celda"/>
            </w:pPr>
          </w:p>
        </w:tc>
      </w:tr>
      <w:tr>
        <w:tc>
          <w:tcPr>
            <w:tcW w:w="3213" w:type="dxa"/>
          </w:tcPr>
          <w:p>
            <w:pPr>
              <w:pStyle w:val="Celda"/>
            </w:pPr>
            <w:r>
              <w:t xml:space="preserve">7</w:t>
            </w:r>
          </w:p>
        </w:tc>
        <w:tc>
          <w:tcPr>
            <w:tcW w:w="3213" w:type="dxa"/>
          </w:tcPr>
          <w:p>
            <w:pPr>
              <w:pStyle w:val="Celda"/>
            </w:pPr>
            <w:r>
              <w:t xml:space="preserve">Las propuestas de decisión se pueden aprobar o rechazar tal como están escritas.</w:t>
            </w:r>
          </w:p>
        </w:tc>
        <w:tc>
          <w:tcPr>
            <w:tcW w:w="3213" w:type="dxa"/>
          </w:tcPr>
          <w:p>
            <w:pPr>
              <w:pStyle w:val="Celda"/>
            </w:pPr>
          </w:p>
        </w:tc>
      </w:tr>
      <w:tr>
        <w:tc>
          <w:tcPr>
            <w:tcW w:w="3213" w:type="dxa"/>
          </w:tcPr>
          <w:p>
            <w:pPr>
              <w:pStyle w:val="Celda"/>
            </w:pPr>
            <w:r>
              <w:t xml:space="preserve">8</w:t>
            </w:r>
          </w:p>
        </w:tc>
        <w:tc>
          <w:tcPr>
            <w:tcW w:w="3213" w:type="dxa"/>
          </w:tcPr>
          <w:p>
            <w:pPr>
              <w:pStyle w:val="Celda"/>
            </w:pPr>
            <w:r>
              <w:t xml:space="preserve">Se distinguen hechos confirmados de valoraciones en curso.</w:t>
            </w:r>
          </w:p>
        </w:tc>
        <w:tc>
          <w:tcPr>
            <w:tcW w:w="3213" w:type="dxa"/>
          </w:tcPr>
          <w:p>
            <w:pPr>
              <w:pStyle w:val="Celda"/>
            </w:pPr>
          </w:p>
        </w:tc>
      </w:tr>
    </w:tbl>
    <w:p>
      <w:pPr>
        <w:pStyle w:val="Espacio"/>
      </w:pPr>
    </w:p>
    <w:p>
      <w:pPr>
        <w:pStyle w:val="Separador"/>
      </w:pPr>
    </w:p>
    <w:p>
      <w:pPr>
        <w:pStyle w:val="Heading1"/>
      </w:pPr>
      <w:r>
        <w:t xml:space="preserve">13. Aprobación y verificación</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Función</w:t>
            </w:r>
          </w:p>
        </w:tc>
        <w:tc>
          <w:tcPr>
            <w:tcW w:w="1928" w:type="dxa"/>
            <w:shd w:val="clear" w:color="auto" w:fill="F2DFCE"/>
          </w:tcPr>
          <w:p>
            <w:pPr>
              <w:pStyle w:val="Celda"/>
            </w:pPr>
            <w:r>
              <w:rPr>
                <w:b/>
              </w:rPr>
              <w:t xml:space="preserve">Rol en SEVEN-G</w:t>
            </w:r>
          </w:p>
        </w:tc>
        <w:tc>
          <w:tcPr>
            <w:tcW w:w="1928" w:type="dxa"/>
            <w:shd w:val="clear" w:color="auto" w:fill="F2DFCE"/>
          </w:tcPr>
          <w:p>
            <w:pPr>
              <w:pStyle w:val="Celda"/>
            </w:pPr>
            <w:r>
              <w:rPr>
                <w:b/>
              </w:rPr>
              <w:t xml:space="preserve">Nombre y cargo</w:t>
            </w:r>
          </w:p>
        </w:tc>
        <w:tc>
          <w:tcPr>
            <w:tcW w:w="1928" w:type="dxa"/>
            <w:shd w:val="clear" w:color="auto" w:fill="F2DFCE"/>
          </w:tcPr>
          <w:p>
            <w:pPr>
              <w:pStyle w:val="Celda"/>
            </w:pPr>
            <w:r>
              <w:rPr>
                <w:b/>
              </w:rPr>
              <w:t xml:space="preserve">Fecha</w:t>
            </w:r>
          </w:p>
        </w:tc>
        <w:tc>
          <w:tcPr>
            <w:tcW w:w="1928" w:type="dxa"/>
            <w:shd w:val="clear" w:color="auto" w:fill="F2DFCE"/>
          </w:tcPr>
          <w:p>
            <w:pPr>
              <w:pStyle w:val="Celda"/>
            </w:pPr>
            <w:r>
              <w:rPr>
                <w:b/>
              </w:rPr>
              <w:t xml:space="preserve">Firma o referencia</w:t>
            </w:r>
          </w:p>
        </w:tc>
      </w:tr>
      <w:tr>
        <w:tc>
          <w:tcPr>
            <w:tcW w:w="1928" w:type="dxa"/>
          </w:tcPr>
          <w:p>
            <w:pPr>
              <w:pStyle w:val="Celda"/>
            </w:pPr>
            <w:r>
              <w:t xml:space="preserve">Elabora</w:t>
            </w:r>
          </w:p>
        </w:tc>
        <w:tc>
          <w:tcPr>
            <w:tcW w:w="1928" w:type="dxa"/>
          </w:tcPr>
          <w:p>
            <w:pPr>
              <w:pStyle w:val="Celda"/>
            </w:pPr>
            <w:r>
              <w:t xml:space="preserve">Coordinador de segunda línea para la IA</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Aporta datos</w:t>
            </w:r>
          </w:p>
        </w:tc>
        <w:tc>
          <w:tcPr>
            <w:tcW w:w="1928" w:type="dxa"/>
          </w:tcPr>
          <w:p>
            <w:pPr>
              <w:pStyle w:val="Celda"/>
            </w:pPr>
            <w:r>
              <w:t xml:space="preserve">Oficina de IA</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Es consultada</w:t>
            </w:r>
          </w:p>
        </w:tc>
        <w:tc>
          <w:tcPr>
            <w:tcW w:w="1928" w:type="dxa"/>
          </w:tcPr>
          <w:p>
            <w:pPr>
              <w:pStyle w:val="Celda"/>
            </w:pPr>
            <w:r>
              <w:t xml:space="preserve">Tercera línea</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Conoce y añade su posición</w:t>
            </w:r>
          </w:p>
        </w:tc>
        <w:tc>
          <w:tcPr>
            <w:tcW w:w="1928" w:type="dxa"/>
          </w:tcPr>
          <w:p>
            <w:pPr>
              <w:pStyle w:val="Celda"/>
            </w:pPr>
            <w:r>
              <w:t xml:space="preserve">Comité de IA</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Supervisa y decide</w:t>
            </w:r>
          </w:p>
        </w:tc>
        <w:tc>
          <w:tcPr>
            <w:tcW w:w="1928" w:type="dxa"/>
          </w:tcPr>
          <w:p>
            <w:pPr>
              <w:pStyle w:val="Celda"/>
            </w:pPr>
            <w:r>
              <w:t xml:space="preserve">Comisión delegada</w:t>
            </w:r>
          </w:p>
        </w:tc>
        <w:tc>
          <w:tcPr>
            <w:tcW w:w="1928" w:type="dxa"/>
          </w:tcPr>
          <w:p>
            <w:pPr>
              <w:pStyle w:val="Celda"/>
            </w:pPr>
          </w:p>
        </w:tc>
        <w:tc>
          <w:tcPr>
            <w:tcW w:w="1928" w:type="dxa"/>
          </w:tcPr>
          <w:p>
            <w:pPr>
              <w:pStyle w:val="Celda"/>
            </w:pPr>
          </w:p>
        </w:tc>
        <w:tc>
          <w:tcPr>
            <w:tcW w:w="1928" w:type="dxa"/>
          </w:tcPr>
          <w:p>
            <w:pPr>
              <w:pStyle w:val="Celda"/>
            </w:pPr>
            <w:r>
              <w:t xml:space="preserve">Sesión y acuerdo (P39)</w:t>
            </w:r>
          </w:p>
        </w:tc>
      </w:tr>
    </w:tbl>
    <w:p>
      <w:pPr>
        <w:pStyle w:val="Espacio"/>
      </w:pPr>
    </w:p>
    <w:p>
      <w:r>
        <w:t xml:space="preserve">Separación de funciones: la segunda línea informa con independencia de las áreas que patrocinan la cartera; el comité de IA puede añadir su posición, pero no modifica el informe.</w:t>
      </w:r>
    </w:p>
    <w:p>
      <w:pPr>
        <w:pStyle w:val="Separador"/>
      </w:pPr>
    </w:p>
    <w:p>
      <w:pPr>
        <w:pStyle w:val="Heading1"/>
      </w:pPr>
      <w:r>
        <w:t xml:space="preserve">14. Control de versiones</w:t>
      </w:r>
    </w:p>
    <w:p>
      <w:r>
        <w:rPr>
          <w:b/>
        </w:rPr>
        <w:t xml:space="preserve">Documento cumplimentado</w:t>
      </w:r>
    </w:p>
    <w:tbl>
      <w:tblPr>
        <w:tblStyle w:val="TablaSG"/>
        <w:tblW w:w="5000" w:type="pct"/>
        <w:tblLayout w:type="autofit"/>
        <w:tblLook w:val="04A0" w:firstRow="1" w:lastRow="0" w:firstColumn="0" w:lastColumn="0" w:noHBand="1" w:noVBand="1"/>
      </w:tblPr>
      <w:tblGrid>
        <w:gridCol w:w="2410"/>
        <w:gridCol w:w="2410"/>
        <w:gridCol w:w="2410"/>
        <w:gridCol w:w="2410"/>
      </w:tblGrid>
      <w:tr>
        <w:trPr>
          <w:tblHeader/>
        </w:trPr>
        <w:tc>
          <w:tcPr>
            <w:tcW w:w="2410" w:type="dxa"/>
            <w:shd w:val="clear" w:color="auto" w:fill="F2DFCE"/>
          </w:tcPr>
          <w:p>
            <w:pPr>
              <w:pStyle w:val="Celda"/>
            </w:pPr>
            <w:r>
              <w:rPr>
                <w:b/>
              </w:rPr>
              <w:t xml:space="preserve">Versión</w:t>
            </w:r>
          </w:p>
        </w:tc>
        <w:tc>
          <w:tcPr>
            <w:tcW w:w="2410" w:type="dxa"/>
            <w:shd w:val="clear" w:color="auto" w:fill="F2DFCE"/>
          </w:tcPr>
          <w:p>
            <w:pPr>
              <w:pStyle w:val="Celda"/>
            </w:pPr>
            <w:r>
              <w:rPr>
                <w:b/>
              </w:rPr>
              <w:t xml:space="preserve">Fecha</w:t>
            </w:r>
          </w:p>
        </w:tc>
        <w:tc>
          <w:tcPr>
            <w:tcW w:w="2410" w:type="dxa"/>
            <w:shd w:val="clear" w:color="auto" w:fill="F2DFCE"/>
          </w:tcPr>
          <w:p>
            <w:pPr>
              <w:pStyle w:val="Celda"/>
            </w:pPr>
            <w:r>
              <w:rPr>
                <w:b/>
              </w:rPr>
              <w:t xml:space="preserve">Autor</w:t>
            </w:r>
          </w:p>
        </w:tc>
        <w:tc>
          <w:tcPr>
            <w:tcW w:w="2410" w:type="dxa"/>
            <w:shd w:val="clear" w:color="auto" w:fill="F2DFCE"/>
          </w:tcPr>
          <w:p>
            <w:pPr>
              <w:pStyle w:val="Celda"/>
            </w:pPr>
            <w:r>
              <w:rPr>
                <w:b/>
              </w:rPr>
              <w:t xml:space="preserve">Cambios</w:t>
            </w:r>
          </w:p>
        </w:tc>
      </w:tr>
      <w:tr>
        <w:tc>
          <w:tcPr>
            <w:tcW w:w="2410" w:type="dxa"/>
          </w:tcPr>
          <w:p>
            <w:pPr>
              <w:pStyle w:val="Celda"/>
            </w:pPr>
          </w:p>
        </w:tc>
        <w:tc>
          <w:tcPr>
            <w:tcW w:w="2410" w:type="dxa"/>
          </w:tcPr>
          <w:p>
            <w:pPr>
              <w:pStyle w:val="Celda"/>
            </w:pPr>
          </w:p>
        </w:tc>
        <w:tc>
          <w:tcPr>
            <w:tcW w:w="2410" w:type="dxa"/>
          </w:tcPr>
          <w:p>
            <w:pPr>
              <w:pStyle w:val="Celda"/>
            </w:pPr>
          </w:p>
        </w:tc>
        <w:tc>
          <w:tcPr>
            <w:tcW w:w="2410" w:type="dxa"/>
          </w:tcPr>
          <w:p>
            <w:pPr>
              <w:pStyle w:val="Celda"/>
            </w:pPr>
          </w:p>
        </w:tc>
      </w:tr>
    </w:tbl>
    <w:p>
      <w:pPr>
        <w:pStyle w:val="Espacio"/>
      </w:pPr>
    </w:p>
    <w:p>
      <w:r>
        <w:rPr>
          <w:b/>
        </w:rPr>
        <w:t xml:space="preserve">Plantilla</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Versión</w:t>
            </w:r>
          </w:p>
        </w:tc>
        <w:tc>
          <w:tcPr>
            <w:tcW w:w="3213" w:type="dxa"/>
            <w:shd w:val="clear" w:color="auto" w:fill="F2DFCE"/>
          </w:tcPr>
          <w:p>
            <w:pPr>
              <w:pStyle w:val="Celda"/>
            </w:pPr>
            <w:r>
              <w:rPr>
                <w:b/>
              </w:rPr>
              <w:t xml:space="preserve">Fecha</w:t>
            </w:r>
          </w:p>
        </w:tc>
        <w:tc>
          <w:tcPr>
            <w:tcW w:w="3213" w:type="dxa"/>
            <w:shd w:val="clear" w:color="auto" w:fill="F2DFCE"/>
          </w:tcPr>
          <w:p>
            <w:pPr>
              <w:pStyle w:val="Celda"/>
            </w:pPr>
            <w:r>
              <w:rPr>
                <w:b/>
              </w:rPr>
              <w:t xml:space="preserve">Cambios</w:t>
            </w:r>
          </w:p>
        </w:tc>
      </w:tr>
      <w:tr>
        <w:tc>
          <w:tcPr>
            <w:tcW w:w="3213" w:type="dxa"/>
          </w:tcPr>
          <w:p>
            <w:pPr>
              <w:pStyle w:val="Celda"/>
            </w:pPr>
            <w:r>
              <w:t xml:space="preserve">0.1</w:t>
            </w:r>
          </w:p>
        </w:tc>
        <w:tc>
          <w:tcPr>
            <w:tcW w:w="3213" w:type="dxa"/>
          </w:tcPr>
          <w:p>
            <w:pPr>
              <w:pStyle w:val="Celda"/>
            </w:pPr>
            <w:r>
              <w:t xml:space="preserve">19-09-2026</w:t>
            </w:r>
          </w:p>
        </w:tc>
        <w:tc>
          <w:tcPr>
            <w:tcW w:w="3213" w:type="dxa"/>
          </w:tcPr>
          <w:p>
            <w:pPr>
              <w:pStyle w:val="Celda"/>
            </w:pPr>
            <w:r>
              <w:t xml:space="preserve">Primera versión. Reúne la información trimestral de riesgos (33 §10–12), incidentes y no conformidades (37 §9), excepciones (30 §7.4), conciliación del inventario (32 §9) y cambios regulatorios (34 §10.3).</w:t>
            </w:r>
          </w:p>
        </w:tc>
      </w:tr>
    </w:tbl>
    <w:p>
      <w:pPr>
        <w:pStyle w:val="Espacio"/>
      </w:pPr>
    </w:p>
    <w:sectPr>
      <w:footerReference w:type="default" r:id="rId2"/>
      <w:pgSz w:w="11906" w:h="16838"/>
      <w:pgMar w:top="1134" w:right="1134" w:bottom="1134" w:left="1134" w:header="567" w:footer="567" w:gutter="0"/>
    </w:sectPr>
  </w:body>
</w:document>
</file>

<file path=word/footer1.xml><?xml version="1.0" encoding="utf-8"?>
<w:ftr xmlns:w="http://schemas.openxmlformats.org/wordprocessingml/2006/main" xmlns:r="http://schemas.openxmlformats.org/officeDocument/2006/relationships">
  <w:p>
    <w:pPr>
      <w:pStyle w:val="Pie"/>
    </w:pPr>
    <w:r>
      <w:t xml:space="preserve">SEVEN-G · Plantilla P42 · Informe trimestral de segunda línea · CC BY 4.0 · Fernando García Varela · Generada desde la fuente Markdown: no edite la plantilla, rellene una copia.</w:t>
    </w:r>
    <w:r>
      <w:rPr>
        <w:color w:val="66605C"/>
        <w:sz w:val="15"/>
      </w:rPr>
      <w:t xml:space="preserve"> · </w:t>
    </w:r>
    <w:r>
      <w:rPr>
        <w:sz w:val="15"/>
      </w:rPr>
      <w:fldChar w:fldCharType="begin"/>
    </w:r>
    <w:r>
      <w:rPr>
        <w:sz w:val="15"/>
      </w:rPr>
      <w:instrText xml:space="preserve"> PAGE </w:instrText>
    </w:r>
    <w:r>
      <w:rPr>
        <w:sz w:val="15"/>
      </w:rPr>
      <w:fldChar w:fldCharType="separate"/>
    </w:r>
    <w:r>
      <w:rPr>
        <w:sz w:val="15"/>
      </w:rPr>
      <w:t>1</w:t>
    </w:r>
    <w:r>
      <w:rPr>
        <w:sz w:val="15"/>
      </w:rPr>
      <w:fldChar w:fldCharType="end"/>
    </w:r>
  </w:p>
</w:ftr>
</file>

<file path=word/styles.xml><?xml version="1.0" encoding="utf-8"?>
<w:styles xmlns:w="http://schemas.openxmlformats.org/wordprocessingml/2006/main">
  <w:docDefaults>
    <w:rPrDefault>
      <w:rPr>
        <w:rFonts w:ascii="Georgia" w:hAnsi="Georgia" w:eastAsia="Georgia" w:cs="Georgia"/>
        <w:color w:val="1A1817"/>
        <w:sz w:val="20"/>
        <w:szCs w:val="20"/>
        <w:lang w:val="es-ES"/>
      </w:rPr>
    </w:rPrDefault>
    <w:pPrDefault>
      <w:pPr>
        <w:spacing w:after="120" w:line="264" w:lineRule="auto"/>
      </w:pPr>
    </w:pPrDefault>
  </w:docDefaults>
  <w:style w:type="paragraph" w:default="1" w:styleId="Normal">
    <w:name w:val="Normal"/>
    <w:qFormat/>
  </w:style>
  <w:style w:type="paragraph" w:styleId="Title">
    <w:name w:val="Title"/>
    <w:basedOn w:val="Normal"/>
    <w:next w:val="Normal"/>
    <w:qFormat/>
    <w:pPr>
      <w:spacing w:after="160"/>
    </w:pPr>
    <w:rPr>
      <w:b/>
      <w:color w:val="1A1817"/>
      <w:sz w:val="40"/>
    </w:rPr>
  </w:style>
  <w:style w:type="paragraph" w:styleId="Heading1">
    <w:name w:val="heading 1"/>
    <w:basedOn w:val="Normal"/>
    <w:next w:val="Normal"/>
    <w:qFormat/>
    <w:pPr>
      <w:keepNext/>
      <w:pBdr>
        <w:top w:val="single" w:sz="12" w:space="4" w:color="990F3D"/>
      </w:pBdr>
      <w:spacing w:before="360" w:after="120"/>
      <w:outlineLvl w:val="0"/>
    </w:pPr>
    <w:rPr>
      <w:b/>
      <w:color w:val="990F3D"/>
      <w:sz w:val="28"/>
    </w:rPr>
  </w:style>
  <w:style w:type="paragraph" w:styleId="Heading2">
    <w:name w:val="heading 2"/>
    <w:basedOn w:val="Normal"/>
    <w:next w:val="Normal"/>
    <w:qFormat/>
    <w:pPr>
      <w:keepNext/>
      <w:spacing w:before="240" w:after="80"/>
      <w:outlineLvl w:val="1"/>
    </w:pPr>
    <w:rPr>
      <w:b/>
      <w:color w:val="0D7680"/>
      <w:sz w:val="24"/>
    </w:rPr>
  </w:style>
  <w:style w:type="paragraph" w:styleId="Heading3">
    <w:name w:val="heading 3"/>
    <w:basedOn w:val="Normal"/>
    <w:next w:val="Normal"/>
    <w:qFormat/>
    <w:pPr>
      <w:keepNext/>
      <w:spacing w:before="200" w:after="60"/>
      <w:outlineLvl w:val="2"/>
    </w:pPr>
    <w:rPr>
      <w:b/>
      <w:sz w:val="21"/>
    </w:rPr>
  </w:style>
  <w:style w:type="paragraph" w:styleId="Cita">
    <w:name w:val="Cita SEVEN-G"/>
    <w:basedOn w:val="Normal"/>
    <w:pPr>
      <w:pBdr>
        <w:left w:val="single" w:sz="18" w:space="8" w:color="990F3D"/>
      </w:pBdr>
      <w:shd w:val="clear" w:color="auto" w:fill="FFF1E5"/>
      <w:ind w:left="240" w:right="120"/>
      <w:spacing w:before="120" w:after="160"/>
    </w:pPr>
    <w:rPr>
      <w:sz w:val="17"/>
    </w:rPr>
  </w:style>
  <w:style w:type="paragraph" w:styleId="Celda">
    <w:name w:val="Celda"/>
    <w:basedOn w:val="Normal"/>
    <w:pPr>
      <w:spacing w:before="20" w:after="20" w:line="240" w:lineRule="auto"/>
    </w:pPr>
    <w:rPr>
      <w:sz w:val="17"/>
    </w:rPr>
  </w:style>
  <w:style w:type="paragraph" w:styleId="Lista">
    <w:name w:val="Lista SEVEN-G"/>
    <w:basedOn w:val="Normal"/>
    <w:pPr>
      <w:ind w:left="360" w:hanging="240"/>
      <w:spacing w:after="60"/>
    </w:pPr>
  </w:style>
  <w:style w:type="paragraph" w:styleId="Lista2">
    <w:name w:val="Lista SEVEN-G 2"/>
    <w:basedOn w:val="Lista"/>
    <w:pPr>
      <w:ind w:left="720" w:hanging="240"/>
    </w:pPr>
  </w:style>
  <w:style w:type="paragraph" w:styleId="Separador">
    <w:name w:val="Separador"/>
    <w:basedOn w:val="Normal"/>
    <w:pPr>
      <w:pBdr>
        <w:bottom w:val="single" w:sz="4" w:space="1" w:color="CCC1B7"/>
      </w:pBdr>
      <w:spacing w:after="120"/>
    </w:pPr>
  </w:style>
  <w:style w:type="paragraph" w:styleId="Espacio">
    <w:name w:val="Espacio"/>
    <w:basedOn w:val="Normal"/>
    <w:pPr>
      <w:spacing w:after="60" w:line="120" w:lineRule="exact"/>
    </w:pPr>
  </w:style>
  <w:style w:type="paragraph" w:styleId="Pie">
    <w:name w:val="footer"/>
    <w:basedOn w:val="Normal"/>
    <w:rPr>
      <w:color w:val="66605C"/>
      <w:sz w:val="15"/>
    </w:rPr>
  </w:style>
  <w:style w:type="table" w:styleId="TablaSG">
    <w:name w:val="Tabla SEVEN-G"/>
    <w:tblPr>
      <w:tblBorders>
        <w:top w:val="single" w:sz="4" w:space="0" w:color="CCC1B7"/>
        <w:left w:val="single" w:sz="4" w:space="0" w:color="CCC1B7"/>
        <w:bottom w:val="single" w:sz="4" w:space="0" w:color="CCC1B7"/>
        <w:right w:val="single" w:sz="4" w:space="0" w:color="CCC1B7"/>
        <w:insideH w:val="single" w:sz="4" w:space="0" w:color="CCC1B7"/>
        <w:insideV w:val="single" w:sz="4" w:space="0" w:color="CCC1B7"/>
      </w:tblBorders>
      <w:tblCellMar>
        <w:top w:w="40" w:type="dxa"/>
        <w:left w:w="80" w:type="dxa"/>
        <w:bottom w:w="40" w:type="dxa"/>
        <w:right w:w="80" w:type="dxa"/>
      </w:tblCellMar>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s>
</file>

<file path=docProps/app.xml><?xml version="1.0" encoding="utf-8"?>
<Properties xmlns="http://schemas.openxmlformats.org/officeDocument/2006/extended-properties">
  <Application>SEVEN-G docx.ps1</Application>
</Properties>
</file>

<file path=docProps/core.xml><?xml version="1.0" encoding="utf-8"?>
<cp:coreProperties xmlns:cp="http://schemas.openxmlformats.org/package/2006/metadata/core-properties" xmlns:dc="http://purl.org/dc/elements/1.1/" xmlns:dcterms="http://purl.org/dc/terms/" xmlns:xsi="http://www.w3.org/2001/XMLSchema-instance">
  <dc:title>P42 · Informe trimestral de segunda línea</dc:title>
  <dc:creator>Fernando García Varela</dc:creator>
  <dc:language>es</dc:language>
  <dc:description>sha256:9080341570da042b8d5cb53d1762c73a837a4bf65bb99ccc1574db29d968c816</dc:description>
  <cp:keywords>SEVEN-G</cp:keywords>
</cp:coreProperties>
</file>