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Notificaciones y comunicaciones de incidentes</w:t>
      </w:r>
    </w:p>
    <w:p>
      <w:r>
        <w:rPr>
          <w:b/>
        </w:rPr>
        <w:t xml:space="preserve">Documenta la decisión de notificar o no cada régimen aplicable a un incidente de IA, prepara el contenido común de las notificaciones y las comunicaciones a afectados, empleados y clientes, y sigue sus plazos.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P51 · Notificaciones y comunicaciones de incidentes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mismo incidente de IA puede activar a la vez el Reglamento de IA, el RGPD, DORA y NIS2, cada uno con su reloj, que empieza cuando se tiene constancia y no cuando termina el análisis. Omitir o retrasar una notificación obligatoria es una no conformidad crítica (01 §12), y no notificar sin dejar constancia del porqué es indefendible ante un supervisor. Esta plantilla obliga a valorar todos los regímenes en paralelo, a motivar por escrito la decisión de no notificar y a tener preparados los mensajes a personas afectadas, empleados y clientes antes de necesitarlos.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Los modelos de las secciones 5 a 9 se adaptan al sistema en la fase 5, junto con el plan de respuesta (P26), antes de G5. En cada incidente, la sección 3 se abre en el triaje y el registro de la sección 10 se mantiene hasta el informe final de cada régimen.</w:t>
            </w:r>
          </w:p>
        </w:tc>
      </w:tr>
      <w:tr>
        <w:tc>
          <w:tcPr>
            <w:tcW w:w="4819" w:type="dxa"/>
          </w:tcPr>
          <w:p>
            <w:pPr>
              <w:pStyle w:val="Celda"/>
            </w:pPr>
            <w:r>
              <w:rPr>
                <w:b/>
              </w:rPr>
              <w:t xml:space="preserve">Quién la rellena</w:t>
            </w:r>
          </w:p>
        </w:tc>
        <w:tc>
          <w:tcPr>
            <w:tcW w:w="4819" w:type="dxa"/>
          </w:tcPr>
          <w:p>
            <w:pPr>
              <w:pStyle w:val="Celda"/>
            </w:pPr>
            <w:r>
              <w:t xml:space="preserve">El responsable de riesgos de IA y cumplimiento valora los regímenes; el delegado de protección de datos, las brechas de datos personales; el coordinador del incidente aporta los hechos; comunicación corporativa redacta los mensajes.</w:t>
            </w:r>
          </w:p>
        </w:tc>
      </w:tr>
      <w:tr>
        <w:tc>
          <w:tcPr>
            <w:tcW w:w="4819" w:type="dxa"/>
          </w:tcPr>
          <w:p>
            <w:pPr>
              <w:pStyle w:val="Celda"/>
            </w:pPr>
            <w:r>
              <w:rPr>
                <w:b/>
              </w:rPr>
              <w:t xml:space="preserve">Quién la verifica</w:t>
            </w:r>
          </w:p>
        </w:tc>
        <w:tc>
          <w:tcPr>
            <w:tcW w:w="4819" w:type="dxa"/>
          </w:tcPr>
          <w:p>
            <w:pPr>
              <w:pStyle w:val="Celda"/>
            </w:pPr>
            <w:r>
              <w:t xml:space="preserve">Asesoría jurídica valida toda notificación y toda comunicación externa, y la decisión motivada de no notificar. En Enterprise, el auditor de IA revisa el registro en R6.</w:t>
            </w:r>
          </w:p>
        </w:tc>
      </w:tr>
      <w:tr>
        <w:tc>
          <w:tcPr>
            <w:tcW w:w="4819" w:type="dxa"/>
          </w:tcPr>
          <w:p>
            <w:pPr>
              <w:pStyle w:val="Celda"/>
            </w:pPr>
            <w:r>
              <w:rPr>
                <w:b/>
              </w:rPr>
              <w:t xml:space="preserve">Quién decide o aprueba</w:t>
            </w:r>
          </w:p>
        </w:tc>
        <w:tc>
          <w:tcPr>
            <w:tcW w:w="4819" w:type="dxa"/>
          </w:tcPr>
          <w:p>
            <w:pPr>
              <w:pStyle w:val="Celda"/>
            </w:pPr>
            <w:r>
              <w:t xml:space="preserve">Notifica quien la norma designa (proveedor, responsable del tratamiento, entidad financiera, entidad esencial o importante). Internamente firma la persona que el plan P26 designa; en S1, con conocimiento del patrocinador de IA y de la comisión delegada (37 §4.3).</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Preparación antes de G5 (G5.17). Uso en la fase 6 durante cada incidente. Revisión en R6 (R6.06), en el simulacro anual de S1 (37 §5) y en C4.</w:t>
            </w:r>
          </w:p>
        </w:tc>
      </w:tr>
      <w:tr>
        <w:tc>
          <w:tcPr>
            <w:tcW w:w="4819" w:type="dxa"/>
          </w:tcPr>
          <w:p>
            <w:pPr>
              <w:pStyle w:val="Celda"/>
            </w:pPr>
            <w:r>
              <w:rPr>
                <w:b/>
              </w:rPr>
              <w:t xml:space="preserve">Herramienta</w:t>
            </w:r>
          </w:p>
        </w:tc>
        <w:tc>
          <w:tcPr>
            <w:tcW w:w="4819" w:type="dxa"/>
          </w:tcPr>
          <w:p>
            <w:pPr>
              <w:pStyle w:val="Celda"/>
            </w:pPr>
            <w:r>
              <w:t xml:space="preserve">T08 · Registro de no conformidades e incidentes: relojes de notificación y alertas. Esta plantilla recoge el contenido que T08 no redacta.</w:t>
            </w:r>
          </w:p>
        </w:tc>
      </w:tr>
      <w:tr>
        <w:tc>
          <w:tcPr>
            <w:tcW w:w="4819" w:type="dxa"/>
          </w:tcPr>
          <w:p>
            <w:pPr>
              <w:pStyle w:val="Celda"/>
            </w:pPr>
            <w:r>
              <w:rPr>
                <w:b/>
              </w:rPr>
              <w:t xml:space="preserve">Documento de referencia</w:t>
            </w:r>
          </w:p>
        </w:tc>
        <w:tc>
          <w:tcPr>
            <w:tcW w:w="4819" w:type="dxa"/>
          </w:tcPr>
          <w:p>
            <w:pPr>
              <w:pStyle w:val="Celda"/>
            </w:pPr>
            <w:r>
              <w:t xml:space="preserve">Documento 37 §4.5 (fases 5 y 6) y §5 (regímenes, plazos y reglas); documento 34 (régimen aplicable a cada sistema); documento 36 (notificaciones de proveedores).</w:t>
            </w:r>
          </w:p>
        </w:tc>
      </w:tr>
      <w:tr>
        <w:tc>
          <w:tcPr>
            <w:tcW w:w="4819" w:type="dxa"/>
          </w:tcPr>
          <w:p>
            <w:pPr>
              <w:pStyle w:val="Celda"/>
            </w:pPr>
            <w:r>
              <w:rPr>
                <w:b/>
              </w:rPr>
              <w:t xml:space="preserve">Lite frente a Enterprise</w:t>
            </w:r>
          </w:p>
        </w:tc>
        <w:tc>
          <w:tcPr>
            <w:tcW w:w="4819" w:type="dxa"/>
          </w:tcPr>
          <w:p>
            <w:pPr>
              <w:pStyle w:val="Celda"/>
            </w:pPr>
            <w:r>
              <w:t xml:space="preserve">La valoración de todos los regímenes y la decisión motivada de no notificar son obligatorias en ambas. Lite puede omitir los campos marcados </w:t>
            </w:r>
            <w:r>
              <w:rPr>
                <w:b/>
              </w:rPr>
              <w:t xml:space="preserve">(Enterprise)</w:t>
            </w:r>
            <w:r>
              <w:t xml:space="preserve">.</w:t>
            </w:r>
          </w:p>
        </w:tc>
      </w:tr>
    </w:tbl>
    <w:p>
      <w:pPr>
        <w:pStyle w:val="Espacio"/>
      </w:pPr>
    </w:p>
    <w:p>
      <w:r>
        <w:t xml:space="preserve">Reglas de cumplimentación:</w:t>
      </w:r>
    </w:p>
    <w:p>
      <w:pPr>
        <w:pStyle w:val="Lista"/>
      </w:pPr>
      <w:r>
        <w:t xml:space="preserve">• </w:t>
      </w:r>
      <w:r>
        <w:rPr>
          <w:b/>
        </w:rPr>
        <w:t xml:space="preserve">Los formularios oficiales prevalecen.</w:t>
      </w:r>
      <w:r>
        <w:t xml:space="preserve"> Cuando una autoridad publica un formulario, una plantilla o un canal propio, se usa ese y esta plantilla solo sirve para preparar el contenido. Para el art. 73 del Reglamento de IA existe el Proyecto de orientaciones y plantilla sobre notificación de incidentes graves de la Comisión (34 §3.3); DORA tiene formularios en su normativa de desarrollo, y las autoridades de control y los CSIRT tienen sus propios canales. Esta plantilla no reproduce ni sustituye ninguno.</w:t>
      </w:r>
    </w:p>
    <w:p>
      <w:pPr>
        <w:pStyle w:val="Lista"/>
      </w:pPr>
      <w:r>
        <w:t xml:space="preserve">• Los plazos se toman del documento 37 §5 y se confirman con asesoría jurídica en el momento del incidente; esta plantilla no fija plazos propios.</w:t>
      </w:r>
    </w:p>
    <w:p>
      <w:pPr>
        <w:pStyle w:val="Lista"/>
      </w:pPr>
      <w:r>
        <w:t xml:space="preserve">• El reloj de cada régimen empieza en la fecha y hora de detección registrada en T08 o en el momento que la norma indique; nunca al terminar el análisis.</w:t>
      </w:r>
    </w:p>
    <w:p>
      <w:pPr>
        <w:pStyle w:val="Lista"/>
      </w:pPr>
      <w:r>
        <w:t xml:space="preserve">• Si la norma lo prevé, es preferible una notificación inicial incompleta en plazo a una completa fuera de plazo.</w:t>
      </w:r>
    </w:p>
    <w:p>
      <w:pPr>
        <w:pStyle w:val="Lista"/>
      </w:pPr>
      <w:r>
        <w:t xml:space="preserve">• Toda comunicación externa distingue hechos confirmados de valoraciones en curso y no especula sobre causas.</w:t>
      </w:r>
    </w:p>
    <w:p>
      <w:pPr>
        <w:pStyle w:val="Lista"/>
      </w:pPr>
      <w:r>
        <w:t xml:space="preserve">• Un incidente de IA que es también una brecha o un incidente de seguridad se gestiona </w:t>
      </w:r>
      <w:r>
        <w:rPr>
          <w:b/>
        </w:rPr>
        <w:t xml:space="preserve">una sola vez</w:t>
      </w:r>
      <w:r>
        <w:t xml:space="preserve">, con un único coordinador (37 §1).</w:t>
      </w:r>
    </w:p>
    <w:p>
      <w:r>
        <w:t xml:space="preserve">Esta plantilla no constituye asesoramiento jurídico (fecha de consulta de referencia del marco: septiembre de 2026).</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Incidente</w:t>
            </w:r>
          </w:p>
        </w:tc>
        <w:tc>
          <w:tcPr>
            <w:tcW w:w="3213" w:type="dxa"/>
          </w:tcPr>
          <w:p>
            <w:pPr>
              <w:pStyle w:val="Celda"/>
            </w:pPr>
          </w:p>
        </w:tc>
        <w:tc>
          <w:tcPr>
            <w:tcW w:w="3213" w:type="dxa"/>
          </w:tcPr>
          <w:p>
            <w:pPr>
              <w:pStyle w:val="Celda"/>
            </w:pPr>
            <w:r>
              <w:t xml:space="preserve">INC-AAAA-NNN (P27, T08).</w:t>
            </w:r>
          </w:p>
        </w:tc>
      </w:tr>
      <w:tr>
        <w:tc>
          <w:tcPr>
            <w:tcW w:w="3213" w:type="dxa"/>
          </w:tcPr>
          <w:p>
            <w:pPr>
              <w:pStyle w:val="Celda"/>
            </w:pPr>
            <w:r>
              <w:t xml:space="preserve">Sistema e iniciativa</w:t>
            </w:r>
          </w:p>
        </w:tc>
        <w:tc>
          <w:tcPr>
            <w:tcW w:w="3213" w:type="dxa"/>
          </w:tcPr>
          <w:p>
            <w:pPr>
              <w:pStyle w:val="Celda"/>
            </w:pPr>
          </w:p>
        </w:tc>
        <w:tc>
          <w:tcPr>
            <w:tcW w:w="3213" w:type="dxa"/>
          </w:tcPr>
          <w:p>
            <w:pPr>
              <w:pStyle w:val="Celda"/>
            </w:pPr>
            <w:r>
              <w:t xml:space="preserve">SIA-AAAA-NNN · IA-AAAA-NNN.</w:t>
            </w:r>
          </w:p>
        </w:tc>
      </w:tr>
      <w:tr>
        <w:tc>
          <w:tcPr>
            <w:tcW w:w="3213" w:type="dxa"/>
          </w:tcPr>
          <w:p>
            <w:pPr>
              <w:pStyle w:val="Celda"/>
            </w:pPr>
            <w:r>
              <w:t xml:space="preserve">Severidad actual</w:t>
            </w:r>
          </w:p>
        </w:tc>
        <w:tc>
          <w:tcPr>
            <w:tcW w:w="3213" w:type="dxa"/>
          </w:tcPr>
          <w:p>
            <w:pPr>
              <w:pStyle w:val="Celda"/>
            </w:pPr>
          </w:p>
        </w:tc>
        <w:tc>
          <w:tcPr>
            <w:tcW w:w="3213" w:type="dxa"/>
          </w:tcPr>
          <w:p>
            <w:pPr>
              <w:pStyle w:val="Celda"/>
            </w:pPr>
            <w:r>
              <w:t xml:space="preserve">S1 · S2 · S3 · S4 (37 §4.2).</w:t>
            </w:r>
          </w:p>
        </w:tc>
      </w:tr>
      <w:tr>
        <w:tc>
          <w:tcPr>
            <w:tcW w:w="3213" w:type="dxa"/>
          </w:tcPr>
          <w:p>
            <w:pPr>
              <w:pStyle w:val="Celda"/>
            </w:pPr>
            <w:r>
              <w:t xml:space="preserve">Fecha y hora de detección</w:t>
            </w:r>
          </w:p>
        </w:tc>
        <w:tc>
          <w:tcPr>
            <w:tcW w:w="3213" w:type="dxa"/>
          </w:tcPr>
          <w:p>
            <w:pPr>
              <w:pStyle w:val="Celda"/>
            </w:pPr>
          </w:p>
        </w:tc>
        <w:tc>
          <w:tcPr>
            <w:tcW w:w="3213" w:type="dxa"/>
          </w:tcPr>
          <w:p>
            <w:pPr>
              <w:pStyle w:val="Celda"/>
            </w:pPr>
            <w:r>
              <w:t xml:space="preserve">Inicio de los relojes.</w:t>
            </w:r>
          </w:p>
        </w:tc>
      </w:tr>
      <w:tr>
        <w:tc>
          <w:tcPr>
            <w:tcW w:w="3213" w:type="dxa"/>
          </w:tcPr>
          <w:p>
            <w:pPr>
              <w:pStyle w:val="Celda"/>
            </w:pPr>
            <w:r>
              <w:t xml:space="preserve">Papel de la compañía respecto al sistema</w:t>
            </w:r>
          </w:p>
        </w:tc>
        <w:tc>
          <w:tcPr>
            <w:tcW w:w="3213" w:type="dxa"/>
          </w:tcPr>
          <w:p>
            <w:pPr>
              <w:pStyle w:val="Celda"/>
            </w:pPr>
          </w:p>
        </w:tc>
        <w:tc>
          <w:tcPr>
            <w:tcW w:w="3213" w:type="dxa"/>
          </w:tcPr>
          <w:p>
            <w:pPr>
              <w:pStyle w:val="Celda"/>
            </w:pPr>
            <w:r>
              <w:t xml:space="preserve">Proveedor · Responsable del despliegue · Ambos (P11, documento 34).</w:t>
            </w:r>
          </w:p>
        </w:tc>
      </w:tr>
      <w:tr>
        <w:tc>
          <w:tcPr>
            <w:tcW w:w="3213" w:type="dxa"/>
          </w:tcPr>
          <w:p>
            <w:pPr>
              <w:pStyle w:val="Celda"/>
            </w:pPr>
            <w:r>
              <w:t xml:space="preserve">Papel respecto a los datos personales</w:t>
            </w:r>
          </w:p>
        </w:tc>
        <w:tc>
          <w:tcPr>
            <w:tcW w:w="3213" w:type="dxa"/>
          </w:tcPr>
          <w:p>
            <w:pPr>
              <w:pStyle w:val="Celda"/>
            </w:pPr>
          </w:p>
        </w:tc>
        <w:tc>
          <w:tcPr>
            <w:tcW w:w="3213" w:type="dxa"/>
          </w:tcPr>
          <w:p>
            <w:pPr>
              <w:pStyle w:val="Celda"/>
            </w:pPr>
            <w:r>
              <w:t xml:space="preserve">Responsable del tratamiento · Encargado · No aplica.</w:t>
            </w:r>
          </w:p>
        </w:tc>
      </w:tr>
      <w:tr>
        <w:tc>
          <w:tcPr>
            <w:tcW w:w="3213" w:type="dxa"/>
          </w:tcPr>
          <w:p>
            <w:pPr>
              <w:pStyle w:val="Celda"/>
            </w:pPr>
            <w:r>
              <w:t xml:space="preserve">Sujeta a DORA · a NIS2</w:t>
            </w:r>
          </w:p>
        </w:tc>
        <w:tc>
          <w:tcPr>
            <w:tcW w:w="3213" w:type="dxa"/>
          </w:tcPr>
          <w:p>
            <w:pPr>
              <w:pStyle w:val="Celda"/>
            </w:pPr>
          </w:p>
        </w:tc>
        <w:tc>
          <w:tcPr>
            <w:tcW w:w="3213" w:type="dxa"/>
          </w:tcPr>
          <w:p>
            <w:pPr>
              <w:pStyle w:val="Celda"/>
            </w:pPr>
            <w:r>
              <w:t xml:space="preserve">Sí · No · Por determinar (P26 §2).</w:t>
            </w:r>
          </w:p>
        </w:tc>
      </w:tr>
      <w:tr>
        <w:tc>
          <w:tcPr>
            <w:tcW w:w="3213" w:type="dxa"/>
          </w:tcPr>
          <w:p>
            <w:pPr>
              <w:pStyle w:val="Celda"/>
            </w:pPr>
            <w:r>
              <w:t xml:space="preserve">Coordinador del incidente</w:t>
            </w:r>
          </w:p>
        </w:tc>
        <w:tc>
          <w:tcPr>
            <w:tcW w:w="3213" w:type="dxa"/>
          </w:tcPr>
          <w:p>
            <w:pPr>
              <w:pStyle w:val="Celda"/>
            </w:pPr>
          </w:p>
        </w:tc>
        <w:tc>
          <w:tcPr>
            <w:tcW w:w="3213" w:type="dxa"/>
          </w:tcPr>
          <w:p>
            <w:pPr>
              <w:pStyle w:val="Celda"/>
            </w:pPr>
          </w:p>
        </w:tc>
      </w:tr>
      <w:tr>
        <w:tc>
          <w:tcPr>
            <w:tcW w:w="3213" w:type="dxa"/>
          </w:tcPr>
          <w:p>
            <w:pPr>
              <w:pStyle w:val="Celda"/>
            </w:pPr>
            <w:r>
              <w:t xml:space="preserve">Responsable de la valoración regulatoria</w:t>
            </w:r>
          </w:p>
        </w:tc>
        <w:tc>
          <w:tcPr>
            <w:tcW w:w="3213" w:type="dxa"/>
          </w:tcPr>
          <w:p>
            <w:pPr>
              <w:pStyle w:val="Celda"/>
            </w:pPr>
          </w:p>
        </w:tc>
        <w:tc>
          <w:tcPr>
            <w:tcW w:w="3213" w:type="dxa"/>
          </w:tcPr>
          <w:p>
            <w:pPr>
              <w:pStyle w:val="Celda"/>
            </w:pPr>
            <w:r>
              <w:t xml:space="preserve">Responsable de riesgos de IA y cumplimiento.</w:t>
            </w:r>
          </w:p>
        </w:tc>
      </w:tr>
    </w:tbl>
    <w:p>
      <w:pPr>
        <w:pStyle w:val="Espacio"/>
      </w:pPr>
    </w:p>
    <w:p>
      <w:pPr>
        <w:pStyle w:val="Separador"/>
      </w:pPr>
    </w:p>
    <w:p>
      <w:pPr>
        <w:pStyle w:val="Heading1"/>
      </w:pPr>
      <w:r>
        <w:t xml:space="preserve">3. Decisión de notificar o no</w:t>
      </w:r>
    </w:p>
    <w:p>
      <w:r>
        <w:t xml:space="preserve">Una fila por régimen. Se valora </w:t>
      </w:r>
      <w:r>
        <w:rPr>
          <w:b/>
        </w:rPr>
        <w:t xml:space="preserve">en paralelo a la contención</w:t>
      </w:r>
      <w:r>
        <w:t xml:space="preserve">. Cuando la respuesta es No, la motivación es obligatoria.</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Régimen</w:t>
            </w:r>
          </w:p>
        </w:tc>
        <w:tc>
          <w:tcPr>
            <w:tcW w:w="1205" w:type="dxa"/>
            <w:shd w:val="clear" w:color="auto" w:fill="F2DFCE"/>
          </w:tcPr>
          <w:p>
            <w:pPr>
              <w:pStyle w:val="Celda"/>
            </w:pPr>
            <w:r>
              <w:rPr>
                <w:b/>
              </w:rPr>
              <w:t xml:space="preserve">¿Aplica? (Sí · No · Por determinar)</w:t>
            </w:r>
          </w:p>
        </w:tc>
        <w:tc>
          <w:tcPr>
            <w:tcW w:w="1205" w:type="dxa"/>
            <w:shd w:val="clear" w:color="auto" w:fill="F2DFCE"/>
          </w:tcPr>
          <w:p>
            <w:pPr>
              <w:pStyle w:val="Celda"/>
            </w:pPr>
            <w:r>
              <w:rPr>
                <w:b/>
              </w:rPr>
              <w:t xml:space="preserve">Criterio valorado</w:t>
            </w:r>
          </w:p>
        </w:tc>
        <w:tc>
          <w:tcPr>
            <w:tcW w:w="1205" w:type="dxa"/>
            <w:shd w:val="clear" w:color="auto" w:fill="F2DFCE"/>
          </w:tcPr>
          <w:p>
            <w:pPr>
              <w:pStyle w:val="Celda"/>
            </w:pPr>
            <w:r>
              <w:rPr>
                <w:b/>
              </w:rPr>
              <w:t xml:space="preserve">Decisión (Notificar · No notificar · Pendiente)</w:t>
            </w:r>
          </w:p>
        </w:tc>
        <w:tc>
          <w:tcPr>
            <w:tcW w:w="1205" w:type="dxa"/>
            <w:shd w:val="clear" w:color="auto" w:fill="F2DFCE"/>
          </w:tcPr>
          <w:p>
            <w:pPr>
              <w:pStyle w:val="Celda"/>
            </w:pPr>
            <w:r>
              <w:rPr>
                <w:b/>
              </w:rPr>
              <w:t xml:space="preserve">Motivación</w:t>
            </w:r>
          </w:p>
        </w:tc>
        <w:tc>
          <w:tcPr>
            <w:tcW w:w="1205" w:type="dxa"/>
            <w:shd w:val="clear" w:color="auto" w:fill="F2DFCE"/>
          </w:tcPr>
          <w:p>
            <w:pPr>
              <w:pStyle w:val="Celda"/>
            </w:pPr>
            <w:r>
              <w:rPr>
                <w:b/>
              </w:rPr>
              <w:t xml:space="preserve">Decide</w:t>
            </w:r>
          </w:p>
        </w:tc>
        <w:tc>
          <w:tcPr>
            <w:tcW w:w="1205" w:type="dxa"/>
            <w:shd w:val="clear" w:color="auto" w:fill="F2DFCE"/>
          </w:tcPr>
          <w:p>
            <w:pPr>
              <w:pStyle w:val="Celda"/>
            </w:pPr>
            <w:r>
              <w:rPr>
                <w:b/>
              </w:rPr>
              <w:t xml:space="preserve">Valida jurídico</w:t>
            </w:r>
          </w:p>
        </w:tc>
        <w:tc>
          <w:tcPr>
            <w:tcW w:w="1205" w:type="dxa"/>
            <w:shd w:val="clear" w:color="auto" w:fill="F2DFCE"/>
          </w:tcPr>
          <w:p>
            <w:pPr>
              <w:pStyle w:val="Celda"/>
            </w:pPr>
            <w:r>
              <w:rPr>
                <w:b/>
              </w:rPr>
              <w:t xml:space="preserve">Fecha y hora</w:t>
            </w:r>
          </w:p>
        </w:tc>
      </w:tr>
      <w:tr>
        <w:tc>
          <w:tcPr>
            <w:tcW w:w="1205" w:type="dxa"/>
          </w:tcPr>
          <w:p>
            <w:pPr>
              <w:pStyle w:val="Celda"/>
            </w:pPr>
            <w:r>
              <w:t xml:space="preserve">Reglamento de IA, art. 73 (incidente grave de sistema de alto riesgo)</w:t>
            </w:r>
          </w:p>
        </w:tc>
        <w:tc>
          <w:tcPr>
            <w:tcW w:w="1205" w:type="dxa"/>
          </w:tcPr>
          <w:p>
            <w:pPr>
              <w:pStyle w:val="Celda"/>
            </w:pPr>
          </w:p>
        </w:tc>
        <w:tc>
          <w:tcPr>
            <w:tcW w:w="1205" w:type="dxa"/>
          </w:tcPr>
          <w:p>
            <w:pPr>
              <w:pStyle w:val="Celda"/>
            </w:pPr>
            <w:r>
              <w:t xml:space="preserve">¿Incidente grave según el art. 3.49? ¿Sistema de alto riesgo? ¿Papel de la compañía?</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Reglamento de IA, art. 26.5 (información del responsable del despliegue al proveedor)</w:t>
            </w:r>
          </w:p>
        </w:tc>
        <w:tc>
          <w:tcPr>
            <w:tcW w:w="1205" w:type="dxa"/>
          </w:tcPr>
          <w:p>
            <w:pPr>
              <w:pStyle w:val="Celda"/>
            </w:pPr>
          </w:p>
        </w:tc>
        <w:tc>
          <w:tcPr>
            <w:tcW w:w="1205" w:type="dxa"/>
          </w:tcPr>
          <w:p>
            <w:pPr>
              <w:pStyle w:val="Celda"/>
            </w:pPr>
            <w:r>
              <w:t xml:space="preserve">¿La compañía despliega un sistema de alto riesgo de un tercero?</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RGPD, art. 33 (autoridad de control)</w:t>
            </w:r>
          </w:p>
        </w:tc>
        <w:tc>
          <w:tcPr>
            <w:tcW w:w="1205" w:type="dxa"/>
          </w:tcPr>
          <w:p>
            <w:pPr>
              <w:pStyle w:val="Celda"/>
            </w:pPr>
          </w:p>
        </w:tc>
        <w:tc>
          <w:tcPr>
            <w:tcW w:w="1205" w:type="dxa"/>
          </w:tcPr>
          <w:p>
            <w:pPr>
              <w:pStyle w:val="Celda"/>
            </w:pPr>
            <w:r>
              <w:t xml:space="preserve">¿Brecha de datos personales? ¿Es improbable que suponga un riesgo para los derechos y libertades?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RGPD, art. 34 (interesados)</w:t>
            </w:r>
          </w:p>
        </w:tc>
        <w:tc>
          <w:tcPr>
            <w:tcW w:w="1205" w:type="dxa"/>
          </w:tcPr>
          <w:p>
            <w:pPr>
              <w:pStyle w:val="Celda"/>
            </w:pPr>
          </w:p>
        </w:tc>
        <w:tc>
          <w:tcPr>
            <w:tcW w:w="1205" w:type="dxa"/>
          </w:tcPr>
          <w:p>
            <w:pPr>
              <w:pStyle w:val="Celda"/>
            </w:pPr>
            <w:r>
              <w:t xml:space="preserve">¿Es probable un alto riesgo para las personas?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DORA, art. 19</w:t>
            </w:r>
          </w:p>
        </w:tc>
        <w:tc>
          <w:tcPr>
            <w:tcW w:w="1205" w:type="dxa"/>
          </w:tcPr>
          <w:p>
            <w:pPr>
              <w:pStyle w:val="Celda"/>
            </w:pPr>
          </w:p>
        </w:tc>
        <w:tc>
          <w:tcPr>
            <w:tcW w:w="1205" w:type="dxa"/>
          </w:tcPr>
          <w:p>
            <w:pPr>
              <w:pStyle w:val="Celda"/>
            </w:pPr>
            <w:r>
              <w:t xml:space="preserve">¿Incidente grave relacionado con las TIC según sus criterios de clasificación?</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NIS2, art. 23</w:t>
            </w:r>
          </w:p>
        </w:tc>
        <w:tc>
          <w:tcPr>
            <w:tcW w:w="1205" w:type="dxa"/>
          </w:tcPr>
          <w:p>
            <w:pPr>
              <w:pStyle w:val="Celda"/>
            </w:pPr>
          </w:p>
        </w:tc>
        <w:tc>
          <w:tcPr>
            <w:tcW w:w="1205" w:type="dxa"/>
          </w:tcPr>
          <w:p>
            <w:pPr>
              <w:pStyle w:val="Celda"/>
            </w:pPr>
            <w:r>
              <w:t xml:space="preserve">¿Incidente significativo según la transposición nacional?</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Regulación sectorial</w:t>
            </w:r>
          </w:p>
        </w:tc>
        <w:tc>
          <w:tcPr>
            <w:tcW w:w="1205" w:type="dxa"/>
          </w:tcPr>
          <w:p>
            <w:pPr>
              <w:pStyle w:val="Celda"/>
            </w:pPr>
          </w:p>
        </w:tc>
        <w:tc>
          <w:tcPr>
            <w:tcW w:w="1205" w:type="dxa"/>
          </w:tcPr>
          <w:p>
            <w:pPr>
              <w:pStyle w:val="Celda"/>
            </w:pPr>
            <w:r>
              <w:t xml:space="preserve">Supervisor sectorial o esquema de seguridad del sector público (P02).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Obligaciones contractuales</w:t>
            </w:r>
          </w:p>
        </w:tc>
        <w:tc>
          <w:tcPr>
            <w:tcW w:w="1205" w:type="dxa"/>
          </w:tcPr>
          <w:p>
            <w:pPr>
              <w:pStyle w:val="Celda"/>
            </w:pPr>
          </w:p>
        </w:tc>
        <w:tc>
          <w:tcPr>
            <w:tcW w:w="1205" w:type="dxa"/>
          </w:tcPr>
          <w:p>
            <w:pPr>
              <w:pStyle w:val="Celda"/>
            </w:pPr>
            <w:r>
              <w:t xml:space="preserve">Contratos con clientes o proveedores.</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rPr>
                <w:i/>
              </w:rPr>
              <w:t xml:space="preserve">(ejemplo ilustrativo)</w:t>
            </w:r>
            <w:r>
              <w:t xml:space="preserve"> RGPD, art. 33</w:t>
            </w:r>
          </w:p>
        </w:tc>
        <w:tc>
          <w:tcPr>
            <w:tcW w:w="1205" w:type="dxa"/>
          </w:tcPr>
          <w:p>
            <w:pPr>
              <w:pStyle w:val="Celda"/>
            </w:pPr>
            <w:r>
              <w:t xml:space="preserve">Sí</w:t>
            </w:r>
          </w:p>
        </w:tc>
        <w:tc>
          <w:tcPr>
            <w:tcW w:w="1205" w:type="dxa"/>
          </w:tcPr>
          <w:p>
            <w:pPr>
              <w:pStyle w:val="Celda"/>
            </w:pPr>
            <w:r>
              <w:t xml:space="preserve">Datos de contacto de 40 clientes visibles para otro cliente durante 20 minutos</w:t>
            </w:r>
          </w:p>
        </w:tc>
        <w:tc>
          <w:tcPr>
            <w:tcW w:w="1205" w:type="dxa"/>
          </w:tcPr>
          <w:p>
            <w:pPr>
              <w:pStyle w:val="Celda"/>
            </w:pPr>
            <w:r>
              <w:t xml:space="preserve">Notificar</w:t>
            </w:r>
          </w:p>
        </w:tc>
        <w:tc>
          <w:tcPr>
            <w:tcW w:w="1205" w:type="dxa"/>
          </w:tcPr>
          <w:p>
            <w:pPr>
              <w:pStyle w:val="Celda"/>
            </w:pPr>
            <w:r>
              <w:t xml:space="preserve">Riesgo no improbable: datos identificativos expuestos a un tercero no autorizado</w:t>
            </w:r>
          </w:p>
        </w:tc>
        <w:tc>
          <w:tcPr>
            <w:tcW w:w="1205" w:type="dxa"/>
          </w:tcPr>
          <w:p>
            <w:pPr>
              <w:pStyle w:val="Celda"/>
            </w:pPr>
            <w:r>
              <w:t xml:space="preserve">Delegado de protección de datos</w:t>
            </w:r>
          </w:p>
        </w:tc>
        <w:tc>
          <w:tcPr>
            <w:tcW w:w="1205" w:type="dxa"/>
          </w:tcPr>
          <w:p>
            <w:pPr>
              <w:pStyle w:val="Celda"/>
            </w:pPr>
            <w:r>
              <w:t xml:space="preserve">Sí</w:t>
            </w:r>
          </w:p>
        </w:tc>
        <w:tc>
          <w:tcPr>
            <w:tcW w:w="1205" w:type="dxa"/>
          </w:tcPr>
          <w:p>
            <w:pPr>
              <w:pStyle w:val="Celda"/>
            </w:pPr>
            <w:r>
              <w:t xml:space="preserve">12-11-2026 18:30</w:t>
            </w:r>
          </w:p>
        </w:tc>
      </w:tr>
    </w:tbl>
    <w:p>
      <w:pPr>
        <w:pStyle w:val="Espacio"/>
      </w:pPr>
    </w:p>
    <w:p>
      <w:pPr>
        <w:pStyle w:val="Heading2"/>
      </w:pPr>
      <w:r>
        <w:t xml:space="preserve">3.1 Decisión motivada de no notificar</w:t>
      </w:r>
    </w:p>
    <w:p>
      <w:r>
        <w:t xml:space="preserve">Una por cada régimen valorado como No notificar. Se conserva aunque el incidente se cierre sin consecuencias.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Régimen</w:t>
            </w:r>
          </w:p>
        </w:tc>
        <w:tc>
          <w:tcPr>
            <w:tcW w:w="3213" w:type="dxa"/>
          </w:tcPr>
          <w:p>
            <w:pPr>
              <w:pStyle w:val="Celda"/>
            </w:pPr>
          </w:p>
        </w:tc>
        <w:tc>
          <w:tcPr>
            <w:tcW w:w="3213" w:type="dxa"/>
          </w:tcPr>
          <w:p>
            <w:pPr>
              <w:pStyle w:val="Celda"/>
            </w:pPr>
          </w:p>
        </w:tc>
      </w:tr>
      <w:tr>
        <w:tc>
          <w:tcPr>
            <w:tcW w:w="3213" w:type="dxa"/>
          </w:tcPr>
          <w:p>
            <w:pPr>
              <w:pStyle w:val="Celda"/>
            </w:pPr>
            <w:r>
              <w:t xml:space="preserve">Hechos considerados</w:t>
            </w:r>
          </w:p>
        </w:tc>
        <w:tc>
          <w:tcPr>
            <w:tcW w:w="3213" w:type="dxa"/>
          </w:tcPr>
          <w:p>
            <w:pPr>
              <w:pStyle w:val="Celda"/>
            </w:pPr>
          </w:p>
        </w:tc>
        <w:tc>
          <w:tcPr>
            <w:tcW w:w="3213" w:type="dxa"/>
          </w:tcPr>
          <w:p>
            <w:pPr>
              <w:pStyle w:val="Celda"/>
            </w:pPr>
            <w:r>
              <w:t xml:space="preserve">Qué se sabía en el momento de decidir, con fecha y hora.</w:t>
            </w:r>
          </w:p>
        </w:tc>
      </w:tr>
      <w:tr>
        <w:tc>
          <w:tcPr>
            <w:tcW w:w="3213" w:type="dxa"/>
          </w:tcPr>
          <w:p>
            <w:pPr>
              <w:pStyle w:val="Celda"/>
            </w:pPr>
            <w:r>
              <w:t xml:space="preserve">Criterio normativo aplicado</w:t>
            </w:r>
          </w:p>
        </w:tc>
        <w:tc>
          <w:tcPr>
            <w:tcW w:w="3213" w:type="dxa"/>
          </w:tcPr>
          <w:p>
            <w:pPr>
              <w:pStyle w:val="Celda"/>
            </w:pPr>
          </w:p>
        </w:tc>
        <w:tc>
          <w:tcPr>
            <w:tcW w:w="3213" w:type="dxa"/>
          </w:tcPr>
          <w:p>
            <w:pPr>
              <w:pStyle w:val="Celda"/>
            </w:pPr>
            <w:r>
              <w:t xml:space="preserve">Por qué no se cumple el umbral (por ejemplo, no es un sistema de alto riesgo; es improbable que la brecha suponga un riesgo; no se alcanzan los criterios de clasificación).</w:t>
            </w:r>
          </w:p>
        </w:tc>
      </w:tr>
      <w:tr>
        <w:tc>
          <w:tcPr>
            <w:tcW w:w="3213" w:type="dxa"/>
          </w:tcPr>
          <w:p>
            <w:pPr>
              <w:pStyle w:val="Celda"/>
            </w:pPr>
            <w:r>
              <w:t xml:space="preserve">Incertidumbres</w:t>
            </w:r>
          </w:p>
        </w:tc>
        <w:tc>
          <w:tcPr>
            <w:tcW w:w="3213" w:type="dxa"/>
          </w:tcPr>
          <w:p>
            <w:pPr>
              <w:pStyle w:val="Celda"/>
            </w:pPr>
          </w:p>
        </w:tc>
        <w:tc>
          <w:tcPr>
            <w:tcW w:w="3213" w:type="dxa"/>
          </w:tcPr>
          <w:p>
            <w:pPr>
              <w:pStyle w:val="Celda"/>
            </w:pPr>
            <w:r>
              <w:t xml:space="preserve">Qué no se sabe todavía y qué haría cambiar la decisión.</w:t>
            </w:r>
          </w:p>
        </w:tc>
      </w:tr>
      <w:tr>
        <w:tc>
          <w:tcPr>
            <w:tcW w:w="3213" w:type="dxa"/>
          </w:tcPr>
          <w:p>
            <w:pPr>
              <w:pStyle w:val="Celda"/>
            </w:pPr>
            <w:r>
              <w:t xml:space="preserve">Revisión prevista</w:t>
            </w:r>
          </w:p>
        </w:tc>
        <w:tc>
          <w:tcPr>
            <w:tcW w:w="3213" w:type="dxa"/>
          </w:tcPr>
          <w:p>
            <w:pPr>
              <w:pStyle w:val="Celda"/>
            </w:pPr>
          </w:p>
        </w:tc>
        <w:tc>
          <w:tcPr>
            <w:tcW w:w="3213" w:type="dxa"/>
          </w:tcPr>
          <w:p>
            <w:pPr>
              <w:pStyle w:val="Celda"/>
            </w:pPr>
            <w:r>
              <w:t xml:space="preserve">Cuándo se revisa la decisión si aparecen hechos nuevos.</w:t>
            </w:r>
          </w:p>
        </w:tc>
      </w:tr>
      <w:tr>
        <w:tc>
          <w:tcPr>
            <w:tcW w:w="3213" w:type="dxa"/>
          </w:tcPr>
          <w:p>
            <w:pPr>
              <w:pStyle w:val="Celda"/>
            </w:pPr>
            <w:r>
              <w:t xml:space="preserve">Decide · valida</w:t>
            </w:r>
          </w:p>
        </w:tc>
        <w:tc>
          <w:tcPr>
            <w:tcW w:w="3213" w:type="dxa"/>
          </w:tcPr>
          <w:p>
            <w:pPr>
              <w:pStyle w:val="Celda"/>
            </w:pPr>
          </w:p>
        </w:tc>
        <w:tc>
          <w:tcPr>
            <w:tcW w:w="3213" w:type="dxa"/>
          </w:tcPr>
          <w:p>
            <w:pPr>
              <w:pStyle w:val="Celda"/>
            </w:pPr>
            <w:r>
              <w:t xml:space="preserve">Rol, nombre, fecha; validación de asesoría jurídica y, en brechas, del delegado de protección de datos.</w:t>
            </w:r>
          </w:p>
        </w:tc>
      </w:tr>
    </w:tbl>
    <w:p>
      <w:pPr>
        <w:pStyle w:val="Espacio"/>
      </w:pPr>
    </w:p>
    <w:p>
      <w:pPr>
        <w:pStyle w:val="Separador"/>
      </w:pPr>
    </w:p>
    <w:p>
      <w:pPr>
        <w:pStyle w:val="Heading1"/>
      </w:pPr>
      <w:r>
        <w:t xml:space="preserve">4. Contenido común de las notificaciones</w:t>
      </w:r>
    </w:p>
    <w:p>
      <w:r>
        <w:t xml:space="preserve">Base para rellenar cualquier formulario oficial. Cada régimen pide un subconjunto y su propio formato.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Entidad notificante y contacto</w:t>
            </w:r>
          </w:p>
        </w:tc>
        <w:tc>
          <w:tcPr>
            <w:tcW w:w="3213" w:type="dxa"/>
          </w:tcPr>
          <w:p>
            <w:pPr>
              <w:pStyle w:val="Celda"/>
            </w:pPr>
          </w:p>
        </w:tc>
        <w:tc>
          <w:tcPr>
            <w:tcW w:w="3213" w:type="dxa"/>
          </w:tcPr>
          <w:p>
            <w:pPr>
              <w:pStyle w:val="Celda"/>
            </w:pPr>
            <w:r>
              <w:t xml:space="preserve">Razón social, persona de contacto, delegado de protección de datos si aplica.</w:t>
            </w:r>
          </w:p>
        </w:tc>
      </w:tr>
      <w:tr>
        <w:tc>
          <w:tcPr>
            <w:tcW w:w="3213" w:type="dxa"/>
          </w:tcPr>
          <w:p>
            <w:pPr>
              <w:pStyle w:val="Celda"/>
            </w:pPr>
            <w:r>
              <w:t xml:space="preserve">Referencia interna</w:t>
            </w:r>
          </w:p>
        </w:tc>
        <w:tc>
          <w:tcPr>
            <w:tcW w:w="3213" w:type="dxa"/>
          </w:tcPr>
          <w:p>
            <w:pPr>
              <w:pStyle w:val="Celda"/>
            </w:pPr>
          </w:p>
        </w:tc>
        <w:tc>
          <w:tcPr>
            <w:tcW w:w="3213" w:type="dxa"/>
          </w:tcPr>
          <w:p>
            <w:pPr>
              <w:pStyle w:val="Celda"/>
            </w:pPr>
            <w:r>
              <w:t xml:space="preserve">INC-AAAA-NNN.</w:t>
            </w:r>
          </w:p>
        </w:tc>
      </w:tr>
      <w:tr>
        <w:tc>
          <w:tcPr>
            <w:tcW w:w="3213" w:type="dxa"/>
          </w:tcPr>
          <w:p>
            <w:pPr>
              <w:pStyle w:val="Celda"/>
            </w:pPr>
            <w:r>
              <w:t xml:space="preserve">Fechas y horas</w:t>
            </w:r>
          </w:p>
        </w:tc>
        <w:tc>
          <w:tcPr>
            <w:tcW w:w="3213" w:type="dxa"/>
          </w:tcPr>
          <w:p>
            <w:pPr>
              <w:pStyle w:val="Celda"/>
            </w:pPr>
          </w:p>
        </w:tc>
        <w:tc>
          <w:tcPr>
            <w:tcW w:w="3213" w:type="dxa"/>
          </w:tcPr>
          <w:p>
            <w:pPr>
              <w:pStyle w:val="Celda"/>
            </w:pPr>
            <w:r>
              <w:t xml:space="preserve">Inicio estimado, detección, clasificación, contención.</w:t>
            </w:r>
          </w:p>
        </w:tc>
      </w:tr>
      <w:tr>
        <w:tc>
          <w:tcPr>
            <w:tcW w:w="3213" w:type="dxa"/>
          </w:tcPr>
          <w:p>
            <w:pPr>
              <w:pStyle w:val="Celda"/>
            </w:pPr>
            <w:r>
              <w:t xml:space="preserve">Sistema afectado</w:t>
            </w:r>
          </w:p>
        </w:tc>
        <w:tc>
          <w:tcPr>
            <w:tcW w:w="3213" w:type="dxa"/>
          </w:tcPr>
          <w:p>
            <w:pPr>
              <w:pStyle w:val="Celda"/>
            </w:pPr>
          </w:p>
        </w:tc>
        <w:tc>
          <w:tcPr>
            <w:tcW w:w="3213" w:type="dxa"/>
          </w:tcPr>
          <w:p>
            <w:pPr>
              <w:pStyle w:val="Celda"/>
            </w:pPr>
            <w:r>
              <w:t xml:space="preserve">Nombre, versión, proveedor, finalidad, papel de la compañía.</w:t>
            </w:r>
          </w:p>
        </w:tc>
      </w:tr>
      <w:tr>
        <w:tc>
          <w:tcPr>
            <w:tcW w:w="3213" w:type="dxa"/>
          </w:tcPr>
          <w:p>
            <w:pPr>
              <w:pStyle w:val="Celda"/>
            </w:pPr>
            <w:r>
              <w:t xml:space="preserve">Descripción del incidente</w:t>
            </w:r>
          </w:p>
        </w:tc>
        <w:tc>
          <w:tcPr>
            <w:tcW w:w="3213" w:type="dxa"/>
          </w:tcPr>
          <w:p>
            <w:pPr>
              <w:pStyle w:val="Celda"/>
            </w:pPr>
          </w:p>
        </w:tc>
        <w:tc>
          <w:tcPr>
            <w:tcW w:w="3213" w:type="dxa"/>
          </w:tcPr>
          <w:p>
            <w:pPr>
              <w:pStyle w:val="Celda"/>
            </w:pPr>
            <w:r>
              <w:t xml:space="preserve">Qué ha ocurrido, en lenguaje claro.</w:t>
            </w:r>
          </w:p>
        </w:tc>
      </w:tr>
      <w:tr>
        <w:tc>
          <w:tcPr>
            <w:tcW w:w="3213" w:type="dxa"/>
          </w:tcPr>
          <w:p>
            <w:pPr>
              <w:pStyle w:val="Celda"/>
            </w:pPr>
            <w:r>
              <w:t xml:space="preserve">Personas y datos afectados</w:t>
            </w:r>
          </w:p>
        </w:tc>
        <w:tc>
          <w:tcPr>
            <w:tcW w:w="3213" w:type="dxa"/>
          </w:tcPr>
          <w:p>
            <w:pPr>
              <w:pStyle w:val="Celda"/>
            </w:pPr>
          </w:p>
        </w:tc>
        <w:tc>
          <w:tcPr>
            <w:tcW w:w="3213" w:type="dxa"/>
          </w:tcPr>
          <w:p>
            <w:pPr>
              <w:pStyle w:val="Celda"/>
            </w:pPr>
            <w:r>
              <w:t xml:space="preserve">Número y categorías, aproximados si no se conocen con exactitud. </w:t>
            </w:r>
            <w:r>
              <w:rPr>
                <w:i/>
              </w:rPr>
              <w:t xml:space="preserve">Sin dato</w:t>
            </w:r>
            <w:r>
              <w:t xml:space="preserve"> si se desconoce.</w:t>
            </w:r>
          </w:p>
        </w:tc>
      </w:tr>
      <w:tr>
        <w:tc>
          <w:tcPr>
            <w:tcW w:w="3213" w:type="dxa"/>
          </w:tcPr>
          <w:p>
            <w:pPr>
              <w:pStyle w:val="Celda"/>
            </w:pPr>
            <w:r>
              <w:t xml:space="preserve">Consecuencias probables</w:t>
            </w:r>
          </w:p>
        </w:tc>
        <w:tc>
          <w:tcPr>
            <w:tcW w:w="3213" w:type="dxa"/>
          </w:tcPr>
          <w:p>
            <w:pPr>
              <w:pStyle w:val="Celda"/>
            </w:pPr>
          </w:p>
        </w:tc>
        <w:tc>
          <w:tcPr>
            <w:tcW w:w="3213" w:type="dxa"/>
          </w:tcPr>
          <w:p>
            <w:pPr>
              <w:pStyle w:val="Celda"/>
            </w:pPr>
            <w:r>
              <w:t xml:space="preserve">Por eje de impacto (33 §4.2).</w:t>
            </w:r>
          </w:p>
        </w:tc>
      </w:tr>
      <w:tr>
        <w:tc>
          <w:tcPr>
            <w:tcW w:w="3213" w:type="dxa"/>
          </w:tcPr>
          <w:p>
            <w:pPr>
              <w:pStyle w:val="Celda"/>
            </w:pPr>
            <w:r>
              <w:t xml:space="preserve">Vínculo causal con el sistema</w:t>
            </w:r>
          </w:p>
        </w:tc>
        <w:tc>
          <w:tcPr>
            <w:tcW w:w="3213" w:type="dxa"/>
          </w:tcPr>
          <w:p>
            <w:pPr>
              <w:pStyle w:val="Celda"/>
            </w:pPr>
          </w:p>
        </w:tc>
        <w:tc>
          <w:tcPr>
            <w:tcW w:w="3213" w:type="dxa"/>
          </w:tcPr>
          <w:p>
            <w:pPr>
              <w:pStyle w:val="Celda"/>
            </w:pPr>
            <w:r>
              <w:t xml:space="preserve">Establecido · Probabilidad razonable · En análisis (relevante para el art. 73).</w:t>
            </w:r>
          </w:p>
        </w:tc>
      </w:tr>
      <w:tr>
        <w:tc>
          <w:tcPr>
            <w:tcW w:w="3213" w:type="dxa"/>
          </w:tcPr>
          <w:p>
            <w:pPr>
              <w:pStyle w:val="Celda"/>
            </w:pPr>
            <w:r>
              <w:t xml:space="preserve">Medidas adoptadas y previstas</w:t>
            </w:r>
          </w:p>
        </w:tc>
        <w:tc>
          <w:tcPr>
            <w:tcW w:w="3213" w:type="dxa"/>
          </w:tcPr>
          <w:p>
            <w:pPr>
              <w:pStyle w:val="Celda"/>
            </w:pPr>
          </w:p>
        </w:tc>
        <w:tc>
          <w:tcPr>
            <w:tcW w:w="3213" w:type="dxa"/>
          </w:tcPr>
          <w:p>
            <w:pPr>
              <w:pStyle w:val="Celda"/>
            </w:pPr>
            <w:r>
              <w:t xml:space="preserve">Contención, mitigación para las personas, corrección.</w:t>
            </w:r>
          </w:p>
        </w:tc>
      </w:tr>
      <w:tr>
        <w:tc>
          <w:tcPr>
            <w:tcW w:w="3213" w:type="dxa"/>
          </w:tcPr>
          <w:p>
            <w:pPr>
              <w:pStyle w:val="Celda"/>
            </w:pPr>
            <w:r>
              <w:t xml:space="preserve">Efecto transfronterizo</w:t>
            </w:r>
          </w:p>
        </w:tc>
        <w:tc>
          <w:tcPr>
            <w:tcW w:w="3213" w:type="dxa"/>
          </w:tcPr>
          <w:p>
            <w:pPr>
              <w:pStyle w:val="Celda"/>
            </w:pPr>
          </w:p>
        </w:tc>
        <w:tc>
          <w:tcPr>
            <w:tcW w:w="3213" w:type="dxa"/>
          </w:tcPr>
          <w:p>
            <w:pPr>
              <w:pStyle w:val="Celda"/>
            </w:pPr>
            <w:r>
              <w:t xml:space="preserve">Estados miembros afectados.</w:t>
            </w:r>
          </w:p>
        </w:tc>
      </w:tr>
      <w:tr>
        <w:tc>
          <w:tcPr>
            <w:tcW w:w="3213" w:type="dxa"/>
          </w:tcPr>
          <w:p>
            <w:pPr>
              <w:pStyle w:val="Celda"/>
            </w:pPr>
            <w:r>
              <w:t xml:space="preserve">Evidencias conservadas</w:t>
            </w:r>
          </w:p>
        </w:tc>
        <w:tc>
          <w:tcPr>
            <w:tcW w:w="3213" w:type="dxa"/>
          </w:tcPr>
          <w:p>
            <w:pPr>
              <w:pStyle w:val="Celda"/>
            </w:pPr>
          </w:p>
        </w:tc>
        <w:tc>
          <w:tcPr>
            <w:tcW w:w="3213" w:type="dxa"/>
          </w:tcPr>
          <w:p>
            <w:pPr>
              <w:pStyle w:val="Celda"/>
            </w:pPr>
            <w:r>
              <w:t xml:space="preserve">Registros, versiones y configuraciones preservados antes de modificar el sistema (37 §4.5; art. 73.6 para proveedores de alto riesgo).</w:t>
            </w:r>
          </w:p>
        </w:tc>
      </w:tr>
      <w:tr>
        <w:tc>
          <w:tcPr>
            <w:tcW w:w="3213" w:type="dxa"/>
          </w:tcPr>
          <w:p>
            <w:pPr>
              <w:pStyle w:val="Celda"/>
            </w:pPr>
            <w:r>
              <w:t xml:space="preserve">Naturaleza del informe</w:t>
            </w:r>
          </w:p>
        </w:tc>
        <w:tc>
          <w:tcPr>
            <w:tcW w:w="3213" w:type="dxa"/>
          </w:tcPr>
          <w:p>
            <w:pPr>
              <w:pStyle w:val="Celda"/>
            </w:pPr>
          </w:p>
        </w:tc>
        <w:tc>
          <w:tcPr>
            <w:tcW w:w="3213" w:type="dxa"/>
          </w:tcPr>
          <w:p>
            <w:pPr>
              <w:pStyle w:val="Celda"/>
            </w:pPr>
            <w:r>
              <w:t xml:space="preserve">Inicial · Intermedio · Final · Complemento de un informe incompleto.</w:t>
            </w:r>
          </w:p>
        </w:tc>
      </w:tr>
    </w:tbl>
    <w:p>
      <w:pPr>
        <w:pStyle w:val="Espacio"/>
      </w:pPr>
    </w:p>
    <w:p>
      <w:pPr>
        <w:pStyle w:val="Separador"/>
      </w:pPr>
    </w:p>
    <w:p>
      <w:pPr>
        <w:pStyle w:val="Heading1"/>
      </w:pPr>
      <w:r>
        <w:t xml:space="preserve">5. Notificación de incidente grave (Reglamento de 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¿Quién notifica?</w:t>
            </w:r>
          </w:p>
        </w:tc>
        <w:tc>
          <w:tcPr>
            <w:tcW w:w="3213" w:type="dxa"/>
          </w:tcPr>
          <w:p>
            <w:pPr>
              <w:pStyle w:val="Celda"/>
            </w:pPr>
          </w:p>
        </w:tc>
        <w:tc>
          <w:tcPr>
            <w:tcW w:w="3213" w:type="dxa"/>
          </w:tcPr>
          <w:p>
            <w:pPr>
              <w:pStyle w:val="Celda"/>
            </w:pPr>
            <w:r>
              <w:t xml:space="preserve">Proveedor del sistema de alto riesgo. Si la compañía es responsable del despliegue, informa </w:t>
            </w:r>
            <w:r>
              <w:rPr>
                <w:b/>
              </w:rPr>
              <w:t xml:space="preserve">inmediatamente</w:t>
            </w:r>
            <w:r>
              <w:t xml:space="preserve"> primero al proveedor y después al importador o distribuidor y a las autoridades de vigilancia del mercado (art. 26.5).</w:t>
            </w:r>
          </w:p>
        </w:tc>
      </w:tr>
      <w:tr>
        <w:tc>
          <w:tcPr>
            <w:tcW w:w="3213" w:type="dxa"/>
          </w:tcPr>
          <w:p>
            <w:pPr>
              <w:pStyle w:val="Celda"/>
            </w:pPr>
            <w:r>
              <w:t xml:space="preserve">Destinatario</w:t>
            </w:r>
          </w:p>
        </w:tc>
        <w:tc>
          <w:tcPr>
            <w:tcW w:w="3213" w:type="dxa"/>
          </w:tcPr>
          <w:p>
            <w:pPr>
              <w:pStyle w:val="Celda"/>
            </w:pPr>
          </w:p>
        </w:tc>
        <w:tc>
          <w:tcPr>
            <w:tcW w:w="3213" w:type="dxa"/>
          </w:tcPr>
          <w:p>
            <w:pPr>
              <w:pStyle w:val="Celda"/>
            </w:pPr>
            <w:r>
              <w:t xml:space="preserve">Autoridad de vigilancia del mercado del Estado miembro donde se produjo; la Oficina Europea de IA para los sistemas de su competencia (37 §5).</w:t>
            </w:r>
          </w:p>
        </w:tc>
      </w:tr>
      <w:tr>
        <w:tc>
          <w:tcPr>
            <w:tcW w:w="3213" w:type="dxa"/>
          </w:tcPr>
          <w:p>
            <w:pPr>
              <w:pStyle w:val="Celda"/>
            </w:pPr>
            <w:r>
              <w:t xml:space="preserve">Supuesto de plazo</w:t>
            </w:r>
          </w:p>
        </w:tc>
        <w:tc>
          <w:tcPr>
            <w:tcW w:w="3213" w:type="dxa"/>
          </w:tcPr>
          <w:p>
            <w:pPr>
              <w:pStyle w:val="Celda"/>
            </w:pPr>
          </w:p>
        </w:tc>
        <w:tc>
          <w:tcPr>
            <w:tcW w:w="3213" w:type="dxa"/>
          </w:tcPr>
          <w:p>
            <w:pPr>
              <w:pStyle w:val="Celda"/>
            </w:pPr>
            <w:r>
              <w:t xml:space="preserve">General: no más de 15 días · Infracción generalizada o alteración grave e irreversible de infraestructuras críticas: 2 días · Fallecimiento: 10 días. Desde que se tiene conocimiento.</w:t>
            </w:r>
          </w:p>
        </w:tc>
      </w:tr>
      <w:tr>
        <w:tc>
          <w:tcPr>
            <w:tcW w:w="3213" w:type="dxa"/>
          </w:tcPr>
          <w:p>
            <w:pPr>
              <w:pStyle w:val="Celda"/>
            </w:pPr>
            <w:r>
              <w:t xml:space="preserve">Fecha y hora en que se tiene conocimiento</w:t>
            </w:r>
          </w:p>
        </w:tc>
        <w:tc>
          <w:tcPr>
            <w:tcW w:w="3213" w:type="dxa"/>
          </w:tcPr>
          <w:p>
            <w:pPr>
              <w:pStyle w:val="Celda"/>
            </w:pPr>
          </w:p>
        </w:tc>
        <w:tc>
          <w:tcPr>
            <w:tcW w:w="3213" w:type="dxa"/>
          </w:tcPr>
          <w:p>
            <w:pPr>
              <w:pStyle w:val="Celda"/>
            </w:pPr>
          </w:p>
        </w:tc>
      </w:tr>
      <w:tr>
        <w:tc>
          <w:tcPr>
            <w:tcW w:w="3213" w:type="dxa"/>
          </w:tcPr>
          <w:p>
            <w:pPr>
              <w:pStyle w:val="Celda"/>
            </w:pPr>
            <w:r>
              <w:t xml:space="preserve">Fecha límite calculada</w:t>
            </w:r>
          </w:p>
        </w:tc>
        <w:tc>
          <w:tcPr>
            <w:tcW w:w="3213" w:type="dxa"/>
          </w:tcPr>
          <w:p>
            <w:pPr>
              <w:pStyle w:val="Celda"/>
            </w:pPr>
          </w:p>
        </w:tc>
        <w:tc>
          <w:tcPr>
            <w:tcW w:w="3213" w:type="dxa"/>
          </w:tcPr>
          <w:p>
            <w:pPr>
              <w:pStyle w:val="Celda"/>
            </w:pPr>
            <w:r>
              <w:t xml:space="preserve">Confirmada por asesoría jurídica.</w:t>
            </w:r>
          </w:p>
        </w:tc>
      </w:tr>
      <w:tr>
        <w:tc>
          <w:tcPr>
            <w:tcW w:w="3213" w:type="dxa"/>
          </w:tcPr>
          <w:p>
            <w:pPr>
              <w:pStyle w:val="Celda"/>
            </w:pPr>
            <w:r>
              <w:t xml:space="preserve">Informe inicial incompleto</w:t>
            </w:r>
          </w:p>
        </w:tc>
        <w:tc>
          <w:tcPr>
            <w:tcW w:w="3213" w:type="dxa"/>
          </w:tcPr>
          <w:p>
            <w:pPr>
              <w:pStyle w:val="Celda"/>
            </w:pPr>
          </w:p>
        </w:tc>
        <w:tc>
          <w:tcPr>
            <w:tcW w:w="3213" w:type="dxa"/>
          </w:tcPr>
          <w:p>
            <w:pPr>
              <w:pStyle w:val="Celda"/>
            </w:pPr>
            <w:r>
              <w:t xml:space="preserve">Sí · No. Qué falta y cuándo se completará.</w:t>
            </w:r>
          </w:p>
        </w:tc>
      </w:tr>
      <w:tr>
        <w:tc>
          <w:tcPr>
            <w:tcW w:w="3213" w:type="dxa"/>
          </w:tcPr>
          <w:p>
            <w:pPr>
              <w:pStyle w:val="Celda"/>
            </w:pPr>
            <w:r>
              <w:t xml:space="preserve">Régimen limitado por notificación sectorial equivalente</w:t>
            </w:r>
          </w:p>
        </w:tc>
        <w:tc>
          <w:tcPr>
            <w:tcW w:w="3213" w:type="dxa"/>
          </w:tcPr>
          <w:p>
            <w:pPr>
              <w:pStyle w:val="Celda"/>
            </w:pPr>
          </w:p>
        </w:tc>
        <w:tc>
          <w:tcPr>
            <w:tcW w:w="3213" w:type="dxa"/>
          </w:tcPr>
          <w:p>
            <w:pPr>
              <w:pStyle w:val="Celda"/>
            </w:pPr>
            <w:r>
              <w:t xml:space="preserve">Sí · No, con justificación (art. 73.9 y 73.10).</w:t>
            </w:r>
          </w:p>
        </w:tc>
      </w:tr>
      <w:tr>
        <w:tc>
          <w:tcPr>
            <w:tcW w:w="3213" w:type="dxa"/>
          </w:tcPr>
          <w:p>
            <w:pPr>
              <w:pStyle w:val="Celda"/>
            </w:pPr>
            <w:r>
              <w:t xml:space="preserve">Formulario usado</w:t>
            </w:r>
          </w:p>
        </w:tc>
        <w:tc>
          <w:tcPr>
            <w:tcW w:w="3213" w:type="dxa"/>
          </w:tcPr>
          <w:p>
            <w:pPr>
              <w:pStyle w:val="Celda"/>
            </w:pPr>
          </w:p>
        </w:tc>
        <w:tc>
          <w:tcPr>
            <w:tcW w:w="3213" w:type="dxa"/>
          </w:tcPr>
          <w:p>
            <w:pPr>
              <w:pStyle w:val="Celda"/>
            </w:pPr>
            <w:r>
              <w:t xml:space="preserve">Plantilla oficial vigente o canal de la autoridad; versión y fecha.</w:t>
            </w:r>
          </w:p>
        </w:tc>
      </w:tr>
      <w:tr>
        <w:tc>
          <w:tcPr>
            <w:tcW w:w="3213" w:type="dxa"/>
          </w:tcPr>
          <w:p>
            <w:pPr>
              <w:pStyle w:val="Celda"/>
            </w:pPr>
            <w:r>
              <w:t xml:space="preserve">Aplicabilidad temporal</w:t>
            </w:r>
          </w:p>
        </w:tc>
        <w:tc>
          <w:tcPr>
            <w:tcW w:w="3213" w:type="dxa"/>
          </w:tcPr>
          <w:p>
            <w:pPr>
              <w:pStyle w:val="Celda"/>
            </w:pPr>
          </w:p>
        </w:tc>
        <w:tc>
          <w:tcPr>
            <w:tcW w:w="3213" w:type="dxa"/>
          </w:tcPr>
          <w:p>
            <w:pPr>
              <w:pStyle w:val="Celda"/>
            </w:pPr>
            <w:r>
              <w:t xml:space="preserve">Las obligaciones de los sistemas de alto riesgo del anexo III se aplican desde el 2 de diciembre de 2027; hasta entonces, el criterio de incidente grave es el umbral interno de S1 y la valoración se documenta (37 §5).</w:t>
            </w:r>
          </w:p>
        </w:tc>
      </w:tr>
    </w:tbl>
    <w:p>
      <w:pPr>
        <w:pStyle w:val="Espacio"/>
      </w:pPr>
    </w:p>
    <w:p>
      <w:pPr>
        <w:pStyle w:val="Separador"/>
      </w:pPr>
    </w:p>
    <w:p>
      <w:pPr>
        <w:pStyle w:val="Heading1"/>
      </w:pPr>
      <w:r>
        <w:t xml:space="preserve">6. Notificación de violación de la seguridad de los datos personales (RGPD)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Autoridad de control competente</w:t>
            </w:r>
          </w:p>
        </w:tc>
        <w:tc>
          <w:tcPr>
            <w:tcW w:w="3213" w:type="dxa"/>
          </w:tcPr>
          <w:p>
            <w:pPr>
              <w:pStyle w:val="Celda"/>
            </w:pPr>
          </w:p>
        </w:tc>
        <w:tc>
          <w:tcPr>
            <w:tcW w:w="3213" w:type="dxa"/>
          </w:tcPr>
          <w:p>
            <w:pPr>
              <w:pStyle w:val="Celda"/>
            </w:pPr>
            <w:r>
              <w:t xml:space="preserve">En España, la Agencia Española de Protección de Datos, salvo tratamientos transfronterizos con otra autoridad principal.</w:t>
            </w:r>
          </w:p>
        </w:tc>
      </w:tr>
      <w:tr>
        <w:tc>
          <w:tcPr>
            <w:tcW w:w="3213" w:type="dxa"/>
          </w:tcPr>
          <w:p>
            <w:pPr>
              <w:pStyle w:val="Celda"/>
            </w:pPr>
            <w:r>
              <w:t xml:space="preserve">Fecha y hora en que se tiene constancia</w:t>
            </w:r>
          </w:p>
        </w:tc>
        <w:tc>
          <w:tcPr>
            <w:tcW w:w="3213" w:type="dxa"/>
          </w:tcPr>
          <w:p>
            <w:pPr>
              <w:pStyle w:val="Celda"/>
            </w:pPr>
          </w:p>
        </w:tc>
        <w:tc>
          <w:tcPr>
            <w:tcW w:w="3213" w:type="dxa"/>
          </w:tcPr>
          <w:p>
            <w:pPr>
              <w:pStyle w:val="Celda"/>
            </w:pPr>
          </w:p>
        </w:tc>
      </w:tr>
      <w:tr>
        <w:tc>
          <w:tcPr>
            <w:tcW w:w="3213" w:type="dxa"/>
          </w:tcPr>
          <w:p>
            <w:pPr>
              <w:pStyle w:val="Celda"/>
            </w:pPr>
            <w:r>
              <w:t xml:space="preserve">Fecha límite de 72 horas</w:t>
            </w:r>
          </w:p>
        </w:tc>
        <w:tc>
          <w:tcPr>
            <w:tcW w:w="3213" w:type="dxa"/>
          </w:tcPr>
          <w:p>
            <w:pPr>
              <w:pStyle w:val="Celda"/>
            </w:pPr>
          </w:p>
        </w:tc>
        <w:tc>
          <w:tcPr>
            <w:tcW w:w="3213" w:type="dxa"/>
          </w:tcPr>
          <w:p>
            <w:pPr>
              <w:pStyle w:val="Celda"/>
            </w:pPr>
            <w:r>
              <w:t xml:space="preserve">Si se notifica después, motivos del retraso.</w:t>
            </w:r>
          </w:p>
        </w:tc>
      </w:tr>
      <w:tr>
        <w:tc>
          <w:tcPr>
            <w:tcW w:w="3213" w:type="dxa"/>
          </w:tcPr>
          <w:p>
            <w:pPr>
              <w:pStyle w:val="Celda"/>
            </w:pPr>
            <w:r>
              <w:t xml:space="preserve">Contenido</w:t>
            </w:r>
          </w:p>
        </w:tc>
        <w:tc>
          <w:tcPr>
            <w:tcW w:w="3213" w:type="dxa"/>
          </w:tcPr>
          <w:p>
            <w:pPr>
              <w:pStyle w:val="Celda"/>
            </w:pPr>
          </w:p>
        </w:tc>
        <w:tc>
          <w:tcPr>
            <w:tcW w:w="3213" w:type="dxa"/>
          </w:tcPr>
          <w:p>
            <w:pPr>
              <w:pStyle w:val="Celda"/>
            </w:pPr>
            <w:r>
              <w:t xml:space="preserve">Naturaleza de la violación; categorías y número aproximado de interesados y de registros; contacto del delegado de protección de datos; consecuencias probables; medidas adoptadas o propuestas, incluidas las de mitigación. Si no se dispone de toda la información, se facilita por fases.</w:t>
            </w:r>
          </w:p>
        </w:tc>
      </w:tr>
      <w:tr>
        <w:tc>
          <w:tcPr>
            <w:tcW w:w="3213" w:type="dxa"/>
          </w:tcPr>
          <w:p>
            <w:pPr>
              <w:pStyle w:val="Celda"/>
            </w:pPr>
            <w:r>
              <w:t xml:space="preserve">Encargado del tratamiento implicado</w:t>
            </w:r>
          </w:p>
        </w:tc>
        <w:tc>
          <w:tcPr>
            <w:tcW w:w="3213" w:type="dxa"/>
          </w:tcPr>
          <w:p>
            <w:pPr>
              <w:pStyle w:val="Celda"/>
            </w:pPr>
          </w:p>
        </w:tc>
        <w:tc>
          <w:tcPr>
            <w:tcW w:w="3213" w:type="dxa"/>
          </w:tcPr>
          <w:p>
            <w:pPr>
              <w:pStyle w:val="Celda"/>
            </w:pPr>
            <w:r>
              <w:t xml:space="preserve">Fecha en que notificó a la compañía.</w:t>
            </w:r>
          </w:p>
        </w:tc>
      </w:tr>
      <w:tr>
        <w:tc>
          <w:tcPr>
            <w:tcW w:w="3213" w:type="dxa"/>
          </w:tcPr>
          <w:p>
            <w:pPr>
              <w:pStyle w:val="Celda"/>
            </w:pPr>
            <w:r>
              <w:t xml:space="preserve">Documentación interna de la brecha</w:t>
            </w:r>
          </w:p>
        </w:tc>
        <w:tc>
          <w:tcPr>
            <w:tcW w:w="3213" w:type="dxa"/>
          </w:tcPr>
          <w:p>
            <w:pPr>
              <w:pStyle w:val="Celda"/>
            </w:pPr>
          </w:p>
        </w:tc>
        <w:tc>
          <w:tcPr>
            <w:tcW w:w="3213" w:type="dxa"/>
          </w:tcPr>
          <w:p>
            <w:pPr>
              <w:pStyle w:val="Celda"/>
            </w:pPr>
            <w:r>
              <w:t xml:space="preserve">Todas las brechas se documentan, se notifiquen o no.</w:t>
            </w:r>
          </w:p>
        </w:tc>
      </w:tr>
    </w:tbl>
    <w:p>
      <w:pPr>
        <w:pStyle w:val="Espacio"/>
      </w:pPr>
    </w:p>
    <w:p>
      <w:pPr>
        <w:pStyle w:val="Separador"/>
      </w:pPr>
    </w:p>
    <w:p>
      <w:pPr>
        <w:pStyle w:val="Heading1"/>
      </w:pPr>
      <w:r>
        <w:t xml:space="preserve">7. Notificaciones DORA y NIS2</w:t>
      </w:r>
    </w:p>
    <w:p>
      <w:r>
        <w:t xml:space="preserve">Solo por remisión: se usan los formularios y canales oficiales. Esta tabla sigue las fases y los plazos de 37 §5.</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Régimen</w:t>
            </w:r>
          </w:p>
        </w:tc>
        <w:tc>
          <w:tcPr>
            <w:tcW w:w="1606" w:type="dxa"/>
            <w:shd w:val="clear" w:color="auto" w:fill="F2DFCE"/>
          </w:tcPr>
          <w:p>
            <w:pPr>
              <w:pStyle w:val="Celda"/>
            </w:pPr>
            <w:r>
              <w:rPr>
                <w:b/>
              </w:rPr>
              <w:t xml:space="preserve">Fase</w:t>
            </w:r>
          </w:p>
        </w:tc>
        <w:tc>
          <w:tcPr>
            <w:tcW w:w="1606" w:type="dxa"/>
            <w:shd w:val="clear" w:color="auto" w:fill="F2DFCE"/>
          </w:tcPr>
          <w:p>
            <w:pPr>
              <w:pStyle w:val="Celda"/>
            </w:pPr>
            <w:r>
              <w:rPr>
                <w:b/>
              </w:rPr>
              <w:t xml:space="preserve">Plazo de referencia (37 §5)</w:t>
            </w:r>
          </w:p>
        </w:tc>
        <w:tc>
          <w:tcPr>
            <w:tcW w:w="1606" w:type="dxa"/>
            <w:shd w:val="clear" w:color="auto" w:fill="F2DFCE"/>
          </w:tcPr>
          <w:p>
            <w:pPr>
              <w:pStyle w:val="Celda"/>
            </w:pPr>
            <w:r>
              <w:rPr>
                <w:b/>
              </w:rPr>
              <w:t xml:space="preserve">Fecha límite</w:t>
            </w:r>
          </w:p>
        </w:tc>
        <w:tc>
          <w:tcPr>
            <w:tcW w:w="1606" w:type="dxa"/>
            <w:shd w:val="clear" w:color="auto" w:fill="F2DFCE"/>
          </w:tcPr>
          <w:p>
            <w:pPr>
              <w:pStyle w:val="Celda"/>
            </w:pPr>
            <w:r>
              <w:rPr>
                <w:b/>
              </w:rPr>
              <w:t xml:space="preserve">Enviada (fecha y hora)</w:t>
            </w:r>
          </w:p>
        </w:tc>
        <w:tc>
          <w:tcPr>
            <w:tcW w:w="1606" w:type="dxa"/>
            <w:shd w:val="clear" w:color="auto" w:fill="F2DFCE"/>
          </w:tcPr>
          <w:p>
            <w:pPr>
              <w:pStyle w:val="Celda"/>
            </w:pPr>
            <w:r>
              <w:rPr>
                <w:b/>
              </w:rPr>
              <w:t xml:space="preserve">Referencia de la autoridad</w:t>
            </w:r>
          </w:p>
        </w:tc>
      </w:tr>
      <w:tr>
        <w:tc>
          <w:tcPr>
            <w:tcW w:w="1606" w:type="dxa"/>
          </w:tcPr>
          <w:p>
            <w:pPr>
              <w:pStyle w:val="Celda"/>
            </w:pPr>
            <w:r>
              <w:t xml:space="preserve">DORA</w:t>
            </w:r>
          </w:p>
        </w:tc>
        <w:tc>
          <w:tcPr>
            <w:tcW w:w="1606" w:type="dxa"/>
          </w:tcPr>
          <w:p>
            <w:pPr>
              <w:pStyle w:val="Celda"/>
            </w:pPr>
            <w:r>
              <w:t xml:space="preserve">Notificación inicial</w:t>
            </w:r>
          </w:p>
        </w:tc>
        <w:tc>
          <w:tcPr>
            <w:tcW w:w="1606" w:type="dxa"/>
          </w:tcPr>
          <w:p>
            <w:pPr>
              <w:pStyle w:val="Celda"/>
            </w:pPr>
            <w:r>
              <w:t xml:space="preserve">4 horas desde la clasificación como grave y no más de 24 horas desde que se tiene conocimiento</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Informe intermedio</w:t>
            </w:r>
          </w:p>
        </w:tc>
        <w:tc>
          <w:tcPr>
            <w:tcW w:w="1606" w:type="dxa"/>
          </w:tcPr>
          <w:p>
            <w:pPr>
              <w:pStyle w:val="Celda"/>
            </w:pPr>
            <w:r>
              <w:t xml:space="preserve">72 horas desde la notificación inicial</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Informe final</w:t>
            </w:r>
          </w:p>
        </w:tc>
        <w:tc>
          <w:tcPr>
            <w:tcW w:w="1606" w:type="dxa"/>
          </w:tcPr>
          <w:p>
            <w:pPr>
              <w:pStyle w:val="Celda"/>
            </w:pPr>
            <w:r>
              <w:t xml:space="preserve">Un mes después del último informe intermedio</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DORA</w:t>
            </w:r>
          </w:p>
        </w:tc>
        <w:tc>
          <w:tcPr>
            <w:tcW w:w="1606" w:type="dxa"/>
          </w:tcPr>
          <w:p>
            <w:pPr>
              <w:pStyle w:val="Celda"/>
            </w:pPr>
            <w:r>
              <w:t xml:space="preserve">Información a clientes</w:t>
            </w:r>
          </w:p>
        </w:tc>
        <w:tc>
          <w:tcPr>
            <w:tcW w:w="1606" w:type="dxa"/>
          </w:tcPr>
          <w:p>
            <w:pPr>
              <w:pStyle w:val="Celda"/>
            </w:pPr>
            <w:r>
              <w:t xml:space="preserve">Cuando el incidente afecta a sus intereses financieros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Alerta temprana</w:t>
            </w:r>
          </w:p>
        </w:tc>
        <w:tc>
          <w:tcPr>
            <w:tcW w:w="1606" w:type="dxa"/>
          </w:tcPr>
          <w:p>
            <w:pPr>
              <w:pStyle w:val="Celda"/>
            </w:pPr>
            <w:r>
              <w:t xml:space="preserve">24 horas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Notificación del incidente</w:t>
            </w:r>
          </w:p>
        </w:tc>
        <w:tc>
          <w:tcPr>
            <w:tcW w:w="1606" w:type="dxa"/>
          </w:tcPr>
          <w:p>
            <w:pPr>
              <w:pStyle w:val="Celda"/>
            </w:pPr>
            <w:r>
              <w:t xml:space="preserve">72 horas</w:t>
            </w: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NIS2</w:t>
            </w:r>
          </w:p>
        </w:tc>
        <w:tc>
          <w:tcPr>
            <w:tcW w:w="1606" w:type="dxa"/>
          </w:tcPr>
          <w:p>
            <w:pPr>
              <w:pStyle w:val="Celda"/>
            </w:pPr>
            <w:r>
              <w:t xml:space="preserve">Informe final</w:t>
            </w:r>
          </w:p>
        </w:tc>
        <w:tc>
          <w:tcPr>
            <w:tcW w:w="1606" w:type="dxa"/>
          </w:tcPr>
          <w:p>
            <w:pPr>
              <w:pStyle w:val="Celda"/>
            </w:pPr>
            <w:r>
              <w:t xml:space="preserve">Un mes después de la notificación</w:t>
            </w: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Para las entidades financieras, DORA actúa como norma sectorial respecto de NIS2 en la notificación de incidentes; el régimen se confirma en el documento 34.</w:t>
      </w:r>
    </w:p>
    <w:p>
      <w:pPr>
        <w:pStyle w:val="Separador"/>
      </w:pPr>
    </w:p>
    <w:p>
      <w:pPr>
        <w:pStyle w:val="Heading1"/>
      </w:pPr>
      <w:r>
        <w:t xml:space="preserve">8. Comunicación a personas afectadas</w:t>
      </w:r>
    </w:p>
    <w:p>
      <w:r>
        <w:t xml:space="preserve">Obligatoria cuando el RGPD la exige (probable alto riesgo para las personas) y recomendable cuando el incidente afecta a sus decisiones o intereses aunque ninguna norma la exija </w:t>
      </w:r>
      <w:r>
        <w:rPr>
          <w:b/>
        </w:rPr>
        <w:t xml:space="preserve">(Enterprise)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Elemento del mensaje</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Qué ha ocurrido</w:t>
            </w:r>
          </w:p>
        </w:tc>
        <w:tc>
          <w:tcPr>
            <w:tcW w:w="3213" w:type="dxa"/>
          </w:tcPr>
          <w:p>
            <w:pPr>
              <w:pStyle w:val="Celda"/>
            </w:pPr>
          </w:p>
        </w:tc>
        <w:tc>
          <w:tcPr>
            <w:tcW w:w="3213" w:type="dxa"/>
          </w:tcPr>
          <w:p>
            <w:pPr>
              <w:pStyle w:val="Celda"/>
            </w:pPr>
            <w:r>
              <w:t xml:space="preserve">Lenguaje claro y sencillo, sin tecnicismos.</w:t>
            </w:r>
          </w:p>
        </w:tc>
      </w:tr>
      <w:tr>
        <w:tc>
          <w:tcPr>
            <w:tcW w:w="3213" w:type="dxa"/>
          </w:tcPr>
          <w:p>
            <w:pPr>
              <w:pStyle w:val="Celda"/>
            </w:pPr>
            <w:r>
              <w:t xml:space="preserve">Qué datos o decisiones les afectan</w:t>
            </w:r>
          </w:p>
        </w:tc>
        <w:tc>
          <w:tcPr>
            <w:tcW w:w="3213" w:type="dxa"/>
          </w:tcPr>
          <w:p>
            <w:pPr>
              <w:pStyle w:val="Celda"/>
            </w:pPr>
          </w:p>
        </w:tc>
        <w:tc>
          <w:tcPr>
            <w:tcW w:w="3213" w:type="dxa"/>
          </w:tcPr>
          <w:p>
            <w:pPr>
              <w:pStyle w:val="Celda"/>
            </w:pPr>
          </w:p>
        </w:tc>
      </w:tr>
      <w:tr>
        <w:tc>
          <w:tcPr>
            <w:tcW w:w="3213" w:type="dxa"/>
          </w:tcPr>
          <w:p>
            <w:pPr>
              <w:pStyle w:val="Celda"/>
            </w:pPr>
            <w:r>
              <w:t xml:space="preserve">Consecuencias posibles</w:t>
            </w:r>
          </w:p>
        </w:tc>
        <w:tc>
          <w:tcPr>
            <w:tcW w:w="3213" w:type="dxa"/>
          </w:tcPr>
          <w:p>
            <w:pPr>
              <w:pStyle w:val="Celda"/>
            </w:pPr>
          </w:p>
        </w:tc>
        <w:tc>
          <w:tcPr>
            <w:tcW w:w="3213" w:type="dxa"/>
          </w:tcPr>
          <w:p>
            <w:pPr>
              <w:pStyle w:val="Celda"/>
            </w:pPr>
            <w:r>
              <w:t xml:space="preserve">Sin minimizar ni alarmar.</w:t>
            </w:r>
          </w:p>
        </w:tc>
      </w:tr>
      <w:tr>
        <w:tc>
          <w:tcPr>
            <w:tcW w:w="3213" w:type="dxa"/>
          </w:tcPr>
          <w:p>
            <w:pPr>
              <w:pStyle w:val="Celda"/>
            </w:pPr>
            <w:r>
              <w:t xml:space="preserve">Qué ha hecho la compañía</w:t>
            </w:r>
          </w:p>
        </w:tc>
        <w:tc>
          <w:tcPr>
            <w:tcW w:w="3213" w:type="dxa"/>
          </w:tcPr>
          <w:p>
            <w:pPr>
              <w:pStyle w:val="Celda"/>
            </w:pPr>
          </w:p>
        </w:tc>
        <w:tc>
          <w:tcPr>
            <w:tcW w:w="3213" w:type="dxa"/>
          </w:tcPr>
          <w:p>
            <w:pPr>
              <w:pStyle w:val="Celda"/>
            </w:pPr>
            <w:r>
              <w:t xml:space="preserve">Contención y corrección.</w:t>
            </w:r>
          </w:p>
        </w:tc>
      </w:tr>
      <w:tr>
        <w:tc>
          <w:tcPr>
            <w:tcW w:w="3213" w:type="dxa"/>
          </w:tcPr>
          <w:p>
            <w:pPr>
              <w:pStyle w:val="Celda"/>
            </w:pPr>
            <w:r>
              <w:t xml:space="preserve">Qué pueden hacer ellos</w:t>
            </w:r>
          </w:p>
        </w:tc>
        <w:tc>
          <w:tcPr>
            <w:tcW w:w="3213" w:type="dxa"/>
          </w:tcPr>
          <w:p>
            <w:pPr>
              <w:pStyle w:val="Celda"/>
            </w:pPr>
          </w:p>
        </w:tc>
        <w:tc>
          <w:tcPr>
            <w:tcW w:w="3213" w:type="dxa"/>
          </w:tcPr>
          <w:p>
            <w:pPr>
              <w:pStyle w:val="Celda"/>
            </w:pPr>
            <w:r>
              <w:t xml:space="preserve">Medidas de protección recomendadas; revisión humana de decisiones afectadas.</w:t>
            </w:r>
          </w:p>
        </w:tc>
      </w:tr>
      <w:tr>
        <w:tc>
          <w:tcPr>
            <w:tcW w:w="3213" w:type="dxa"/>
          </w:tcPr>
          <w:p>
            <w:pPr>
              <w:pStyle w:val="Celda"/>
            </w:pPr>
            <w:r>
              <w:t xml:space="preserve">Contacto</w:t>
            </w:r>
          </w:p>
        </w:tc>
        <w:tc>
          <w:tcPr>
            <w:tcW w:w="3213" w:type="dxa"/>
          </w:tcPr>
          <w:p>
            <w:pPr>
              <w:pStyle w:val="Celda"/>
            </w:pPr>
          </w:p>
        </w:tc>
        <w:tc>
          <w:tcPr>
            <w:tcW w:w="3213" w:type="dxa"/>
          </w:tcPr>
          <w:p>
            <w:pPr>
              <w:pStyle w:val="Celda"/>
            </w:pPr>
            <w:r>
              <w:t xml:space="preserve">Delegado de protección de datos o punto de contacto específico.</w:t>
            </w:r>
          </w:p>
        </w:tc>
      </w:tr>
      <w:tr>
        <w:tc>
          <w:tcPr>
            <w:tcW w:w="3213" w:type="dxa"/>
          </w:tcPr>
          <w:p>
            <w:pPr>
              <w:pStyle w:val="Celda"/>
            </w:pPr>
            <w:r>
              <w:t xml:space="preserve">Canal y fecha de envío</w:t>
            </w:r>
          </w:p>
        </w:tc>
        <w:tc>
          <w:tcPr>
            <w:tcW w:w="3213" w:type="dxa"/>
          </w:tcPr>
          <w:p>
            <w:pPr>
              <w:pStyle w:val="Celda"/>
            </w:pPr>
          </w:p>
        </w:tc>
        <w:tc>
          <w:tcPr>
            <w:tcW w:w="3213" w:type="dxa"/>
          </w:tcPr>
          <w:p>
            <w:pPr>
              <w:pStyle w:val="Celda"/>
            </w:pPr>
          </w:p>
        </w:tc>
      </w:tr>
    </w:tbl>
    <w:p>
      <w:pPr>
        <w:pStyle w:val="Espacio"/>
      </w:pPr>
    </w:p>
    <w:p>
      <w:r>
        <w:rPr>
          <w:i/>
        </w:rPr>
        <w:t xml:space="preserve">(ejemplo ilustrativo)</w:t>
      </w:r>
      <w:r>
        <w:t xml:space="preserve"> «El 12 de noviembre, durante unos 20 minutos, un error en nuestro asistente de consultas mostró su nombre y su teléfono a otro cliente. Hemos corregido el fallo y el asistente funciona con controles adicionales. No se vieron datos bancarios ni contraseñas. Si recibe llamadas inesperadas en nombre de la compañía, no facilite datos y contacte con nuestro delegado de protección de datos en el canal habitual.»</w:t>
      </w:r>
    </w:p>
    <w:p>
      <w:pPr>
        <w:pStyle w:val="Separador"/>
      </w:pPr>
    </w:p>
    <w:p>
      <w:pPr>
        <w:pStyle w:val="Heading1"/>
      </w:pPr>
      <w:r>
        <w:t xml:space="preserve">9. Comunicación interna y a clientes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Destinatario</w:t>
            </w:r>
          </w:p>
        </w:tc>
        <w:tc>
          <w:tcPr>
            <w:tcW w:w="1606" w:type="dxa"/>
            <w:shd w:val="clear" w:color="auto" w:fill="F2DFCE"/>
          </w:tcPr>
          <w:p>
            <w:pPr>
              <w:pStyle w:val="Celda"/>
            </w:pPr>
            <w:r>
              <w:rPr>
                <w:b/>
              </w:rPr>
              <w:t xml:space="preserve">Momento</w:t>
            </w:r>
          </w:p>
        </w:tc>
        <w:tc>
          <w:tcPr>
            <w:tcW w:w="1606" w:type="dxa"/>
            <w:shd w:val="clear" w:color="auto" w:fill="F2DFCE"/>
          </w:tcPr>
          <w:p>
            <w:pPr>
              <w:pStyle w:val="Celda"/>
            </w:pPr>
            <w:r>
              <w:rPr>
                <w:b/>
              </w:rPr>
              <w:t xml:space="preserve">Contenido mínimo</w:t>
            </w:r>
          </w:p>
        </w:tc>
        <w:tc>
          <w:tcPr>
            <w:tcW w:w="1606" w:type="dxa"/>
            <w:shd w:val="clear" w:color="auto" w:fill="F2DFCE"/>
          </w:tcPr>
          <w:p>
            <w:pPr>
              <w:pStyle w:val="Celda"/>
            </w:pPr>
            <w:r>
              <w:rPr>
                <w:b/>
              </w:rPr>
              <w:t xml:space="preserve">Autor</w:t>
            </w:r>
          </w:p>
        </w:tc>
        <w:tc>
          <w:tcPr>
            <w:tcW w:w="1606" w:type="dxa"/>
            <w:shd w:val="clear" w:color="auto" w:fill="F2DFCE"/>
          </w:tcPr>
          <w:p>
            <w:pPr>
              <w:pStyle w:val="Celda"/>
            </w:pPr>
            <w:r>
              <w:rPr>
                <w:b/>
              </w:rPr>
              <w:t xml:space="preserve">Valida</w:t>
            </w:r>
          </w:p>
        </w:tc>
        <w:tc>
          <w:tcPr>
            <w:tcW w:w="1606" w:type="dxa"/>
            <w:shd w:val="clear" w:color="auto" w:fill="F2DFCE"/>
          </w:tcPr>
          <w:p>
            <w:pPr>
              <w:pStyle w:val="Celda"/>
            </w:pPr>
            <w:r>
              <w:rPr>
                <w:b/>
              </w:rPr>
              <w:t xml:space="preserve">Enviada</w:t>
            </w:r>
          </w:p>
        </w:tc>
      </w:tr>
      <w:tr>
        <w:tc>
          <w:tcPr>
            <w:tcW w:w="1606" w:type="dxa"/>
          </w:tcPr>
          <w:p>
            <w:pPr>
              <w:pStyle w:val="Celda"/>
            </w:pPr>
            <w:r>
              <w:t xml:space="preserve">Comité de IA</w:t>
            </w:r>
          </w:p>
        </w:tc>
        <w:tc>
          <w:tcPr>
            <w:tcW w:w="1606" w:type="dxa"/>
          </w:tcPr>
          <w:p>
            <w:pPr>
              <w:pStyle w:val="Celda"/>
            </w:pPr>
            <w:r>
              <w:t xml:space="preserve">S1: 4 horas · S2: 24 horas (37 §4.3)</w:t>
            </w:r>
          </w:p>
        </w:tc>
        <w:tc>
          <w:tcPr>
            <w:tcW w:w="1606" w:type="dxa"/>
          </w:tcPr>
          <w:p>
            <w:pPr>
              <w:pStyle w:val="Celda"/>
            </w:pPr>
            <w:r>
              <w:t xml:space="preserve">Qué ha ocurrido, a quién afecta, qué se ha contenido, notificaciones hechas o en plazo, decisiones que pueden requerirse</w:t>
            </w:r>
          </w:p>
        </w:tc>
        <w:tc>
          <w:tcPr>
            <w:tcW w:w="1606" w:type="dxa"/>
          </w:tcPr>
          <w:p>
            <w:pPr>
              <w:pStyle w:val="Celda"/>
            </w:pPr>
            <w:r>
              <w:t xml:space="preserve">Coordinador</w:t>
            </w:r>
          </w:p>
        </w:tc>
        <w:tc>
          <w:tcPr>
            <w:tcW w:w="1606" w:type="dxa"/>
          </w:tcPr>
          <w:p>
            <w:pPr>
              <w:pStyle w:val="Celda"/>
            </w:pPr>
            <w:r>
              <w:t xml:space="preserve">Responsable de riesgos de IA</w:t>
            </w:r>
          </w:p>
        </w:tc>
        <w:tc>
          <w:tcPr>
            <w:tcW w:w="1606" w:type="dxa"/>
          </w:tcPr>
          <w:p>
            <w:pPr>
              <w:pStyle w:val="Celda"/>
            </w:pPr>
          </w:p>
        </w:tc>
      </w:tr>
      <w:tr>
        <w:tc>
          <w:tcPr>
            <w:tcW w:w="1606" w:type="dxa"/>
          </w:tcPr>
          <w:p>
            <w:pPr>
              <w:pStyle w:val="Celda"/>
            </w:pPr>
            <w:r>
              <w:t xml:space="preserve">Comisión delegada del consejo</w:t>
            </w:r>
          </w:p>
        </w:tc>
        <w:tc>
          <w:tcPr>
            <w:tcW w:w="1606" w:type="dxa"/>
          </w:tcPr>
          <w:p>
            <w:pPr>
              <w:pStyle w:val="Celda"/>
            </w:pPr>
            <w:r>
              <w:t xml:space="preserve">S1: 24 horas</w:t>
            </w:r>
          </w:p>
        </w:tc>
        <w:tc>
          <w:tcPr>
            <w:tcW w:w="1606" w:type="dxa"/>
          </w:tcPr>
          <w:p>
            <w:pPr>
              <w:pStyle w:val="Celda"/>
            </w:pPr>
            <w:r>
              <w:t xml:space="preserve">Igual que el anterior, con hechos confirmados separados de valoraciones (37 §9)</w:t>
            </w:r>
          </w:p>
        </w:tc>
        <w:tc>
          <w:tcPr>
            <w:tcW w:w="1606" w:type="dxa"/>
          </w:tcPr>
          <w:p>
            <w:pPr>
              <w:pStyle w:val="Celda"/>
            </w:pPr>
            <w:r>
              <w:t xml:space="preserve">Patrocinador de IA</w:t>
            </w:r>
          </w:p>
        </w:tc>
        <w:tc>
          <w:tcPr>
            <w:tcW w:w="1606" w:type="dxa"/>
          </w:tcPr>
          <w:p>
            <w:pPr>
              <w:pStyle w:val="Celda"/>
            </w:pPr>
            <w:r>
              <w:t xml:space="preserve">Comité de IA</w:t>
            </w:r>
          </w:p>
        </w:tc>
        <w:tc>
          <w:tcPr>
            <w:tcW w:w="1606" w:type="dxa"/>
          </w:tcPr>
          <w:p>
            <w:pPr>
              <w:pStyle w:val="Celda"/>
            </w:pPr>
          </w:p>
        </w:tc>
      </w:tr>
      <w:tr>
        <w:tc>
          <w:tcPr>
            <w:tcW w:w="1606" w:type="dxa"/>
          </w:tcPr>
          <w:p>
            <w:pPr>
              <w:pStyle w:val="Celda"/>
            </w:pPr>
            <w:r>
              <w:t xml:space="preserve">Empleados que usan o supervisan el sistema</w:t>
            </w:r>
          </w:p>
        </w:tc>
        <w:tc>
          <w:tcPr>
            <w:tcW w:w="1606" w:type="dxa"/>
          </w:tcPr>
          <w:p>
            <w:pPr>
              <w:pStyle w:val="Celda"/>
            </w:pPr>
            <w:r>
              <w:t xml:space="preserve">Al contener</w:t>
            </w:r>
          </w:p>
        </w:tc>
        <w:tc>
          <w:tcPr>
            <w:tcW w:w="1606" w:type="dxa"/>
          </w:tcPr>
          <w:p>
            <w:pPr>
              <w:pStyle w:val="Celda"/>
            </w:pPr>
            <w:r>
              <w:t xml:space="preserve">Qué cambia en su trabajo, proceso alternativo, a quién consultar</w:t>
            </w:r>
          </w:p>
        </w:tc>
        <w:tc>
          <w:tcPr>
            <w:tcW w:w="1606" w:type="dxa"/>
          </w:tcPr>
          <w:p>
            <w:pPr>
              <w:pStyle w:val="Celda"/>
            </w:pPr>
            <w:r>
              <w:t xml:space="preserve">Responsable de producto de IA</w:t>
            </w:r>
          </w:p>
        </w:tc>
        <w:tc>
          <w:tcPr>
            <w:tcW w:w="1606" w:type="dxa"/>
          </w:tcPr>
          <w:p>
            <w:pPr>
              <w:pStyle w:val="Celda"/>
            </w:pPr>
            <w:r>
              <w:t xml:space="preserve">Comunicación</w:t>
            </w:r>
          </w:p>
        </w:tc>
        <w:tc>
          <w:tcPr>
            <w:tcW w:w="1606" w:type="dxa"/>
          </w:tcPr>
          <w:p>
            <w:pPr>
              <w:pStyle w:val="Celda"/>
            </w:pPr>
          </w:p>
        </w:tc>
      </w:tr>
      <w:tr>
        <w:tc>
          <w:tcPr>
            <w:tcW w:w="1606" w:type="dxa"/>
          </w:tcPr>
          <w:p>
            <w:pPr>
              <w:pStyle w:val="Celda"/>
            </w:pPr>
            <w:r>
              <w:t xml:space="preserve">Clientes afectados (no personas físicas) </w:t>
            </w:r>
            <w:r>
              <w:rPr>
                <w:b/>
              </w:rPr>
              <w:t xml:space="preserve">(Enterprise)</w:t>
            </w:r>
          </w:p>
        </w:tc>
        <w:tc>
          <w:tcPr>
            <w:tcW w:w="1606" w:type="dxa"/>
          </w:tcPr>
          <w:p>
            <w:pPr>
              <w:pStyle w:val="Celda"/>
            </w:pPr>
            <w:r>
              <w:t xml:space="preserve">Según contrato o cuando proceda</w:t>
            </w:r>
          </w:p>
        </w:tc>
        <w:tc>
          <w:tcPr>
            <w:tcW w:w="1606" w:type="dxa"/>
          </w:tcPr>
          <w:p>
            <w:pPr>
              <w:pStyle w:val="Celda"/>
            </w:pPr>
            <w:r>
              <w:t xml:space="preserve">Hechos, efecto en el servicio, medidas, contacto</w:t>
            </w:r>
          </w:p>
        </w:tc>
        <w:tc>
          <w:tcPr>
            <w:tcW w:w="1606" w:type="dxa"/>
          </w:tcPr>
          <w:p>
            <w:pPr>
              <w:pStyle w:val="Celda"/>
            </w:pPr>
            <w:r>
              <w:t xml:space="preserve">Comunicación</w:t>
            </w:r>
          </w:p>
        </w:tc>
        <w:tc>
          <w:tcPr>
            <w:tcW w:w="1606" w:type="dxa"/>
          </w:tcPr>
          <w:p>
            <w:pPr>
              <w:pStyle w:val="Celda"/>
            </w:pPr>
            <w:r>
              <w:t xml:space="preserve">Jurídico</w:t>
            </w:r>
          </w:p>
        </w:tc>
        <w:tc>
          <w:tcPr>
            <w:tcW w:w="1606" w:type="dxa"/>
          </w:tcPr>
          <w:p>
            <w:pPr>
              <w:pStyle w:val="Celda"/>
            </w:pPr>
          </w:p>
        </w:tc>
      </w:tr>
      <w:tr>
        <w:tc>
          <w:tcPr>
            <w:tcW w:w="1606" w:type="dxa"/>
          </w:tcPr>
          <w:p>
            <w:pPr>
              <w:pStyle w:val="Celda"/>
            </w:pPr>
            <w:r>
              <w:t xml:space="preserve">Proveedores implicados</w:t>
            </w:r>
          </w:p>
        </w:tc>
        <w:tc>
          <w:tcPr>
            <w:tcW w:w="1606" w:type="dxa"/>
          </w:tcPr>
          <w:p>
            <w:pPr>
              <w:pStyle w:val="Celda"/>
            </w:pPr>
            <w:r>
              <w:t xml:space="preserve">Al triaje</w:t>
            </w:r>
          </w:p>
        </w:tc>
        <w:tc>
          <w:tcPr>
            <w:tcW w:w="1606" w:type="dxa"/>
          </w:tcPr>
          <w:p>
            <w:pPr>
              <w:pStyle w:val="Celda"/>
            </w:pPr>
            <w:r>
              <w:t xml:space="preserve">Hechos, solicitud de información y de conservación de evidencias (36 §6)</w:t>
            </w:r>
          </w:p>
        </w:tc>
        <w:tc>
          <w:tcPr>
            <w:tcW w:w="1606" w:type="dxa"/>
          </w:tcPr>
          <w:p>
            <w:pPr>
              <w:pStyle w:val="Celda"/>
            </w:pPr>
            <w:r>
              <w:t xml:space="preserve">Responsable técnico de IA</w:t>
            </w:r>
          </w:p>
        </w:tc>
        <w:tc>
          <w:tcPr>
            <w:tcW w:w="1606" w:type="dxa"/>
          </w:tcPr>
          <w:p>
            <w:pPr>
              <w:pStyle w:val="Celda"/>
            </w:pPr>
            <w:r>
              <w:t xml:space="preserve">Jurídico</w:t>
            </w:r>
          </w:p>
        </w:tc>
        <w:tc>
          <w:tcPr>
            <w:tcW w:w="1606" w:type="dxa"/>
          </w:tcPr>
          <w:p>
            <w:pPr>
              <w:pStyle w:val="Celda"/>
            </w:pPr>
          </w:p>
        </w:tc>
      </w:tr>
      <w:tr>
        <w:tc>
          <w:tcPr>
            <w:tcW w:w="1606" w:type="dxa"/>
          </w:tcPr>
          <w:p>
            <w:pPr>
              <w:pStyle w:val="Celda"/>
            </w:pPr>
            <w:r>
              <w:t xml:space="preserve">Comunicación pública </w:t>
            </w:r>
            <w:r>
              <w:rPr>
                <w:b/>
              </w:rPr>
              <w:t xml:space="preserve">(Enterprise)</w:t>
            </w:r>
          </w:p>
        </w:tc>
        <w:tc>
          <w:tcPr>
            <w:tcW w:w="1606" w:type="dxa"/>
          </w:tcPr>
          <w:p>
            <w:pPr>
              <w:pStyle w:val="Celda"/>
            </w:pPr>
            <w:r>
              <w:t xml:space="preserve">Solo si procede</w:t>
            </w:r>
          </w:p>
        </w:tc>
        <w:tc>
          <w:tcPr>
            <w:tcW w:w="1606" w:type="dxa"/>
          </w:tcPr>
          <w:p>
            <w:pPr>
              <w:pStyle w:val="Celda"/>
            </w:pPr>
            <w:r>
              <w:t xml:space="preserve">Mensaje único coordinado</w:t>
            </w:r>
          </w:p>
        </w:tc>
        <w:tc>
          <w:tcPr>
            <w:tcW w:w="1606" w:type="dxa"/>
          </w:tcPr>
          <w:p>
            <w:pPr>
              <w:pStyle w:val="Celda"/>
            </w:pPr>
            <w:r>
              <w:t xml:space="preserve">Comunicación</w:t>
            </w:r>
          </w:p>
        </w:tc>
        <w:tc>
          <w:tcPr>
            <w:tcW w:w="1606" w:type="dxa"/>
          </w:tcPr>
          <w:p>
            <w:pPr>
              <w:pStyle w:val="Celda"/>
            </w:pPr>
            <w:r>
              <w:t xml:space="preserve">Jurídico y patrocinador</w:t>
            </w:r>
          </w:p>
        </w:tc>
        <w:tc>
          <w:tcPr>
            <w:tcW w:w="1606" w:type="dxa"/>
          </w:tcPr>
          <w:p>
            <w:pPr>
              <w:pStyle w:val="Celda"/>
            </w:pPr>
          </w:p>
        </w:tc>
      </w:tr>
    </w:tbl>
    <w:p>
      <w:pPr>
        <w:pStyle w:val="Espacio"/>
      </w:pPr>
    </w:p>
    <w:p>
      <w:pPr>
        <w:pStyle w:val="Separador"/>
      </w:pPr>
    </w:p>
    <w:p>
      <w:pPr>
        <w:pStyle w:val="Heading1"/>
      </w:pPr>
      <w:r>
        <w:t xml:space="preserve">10. Registro de notificaciones y comunicaciones</w:t>
      </w:r>
    </w:p>
    <w:p>
      <w:r>
        <w:t xml:space="preserve">Una fila por envío. Las filas se identifican con el código del incidente y un número de orden (INC-AAAA-NNN · N*nn*).</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Nº</w:t>
            </w:r>
          </w:p>
        </w:tc>
        <w:tc>
          <w:tcPr>
            <w:tcW w:w="1071" w:type="dxa"/>
            <w:shd w:val="clear" w:color="auto" w:fill="F2DFCE"/>
          </w:tcPr>
          <w:p>
            <w:pPr>
              <w:pStyle w:val="Celda"/>
            </w:pPr>
            <w:r>
              <w:rPr>
                <w:b/>
              </w:rPr>
              <w:t xml:space="preserve">Régimen o destinatario</w:t>
            </w:r>
          </w:p>
        </w:tc>
        <w:tc>
          <w:tcPr>
            <w:tcW w:w="1071" w:type="dxa"/>
            <w:shd w:val="clear" w:color="auto" w:fill="F2DFCE"/>
          </w:tcPr>
          <w:p>
            <w:pPr>
              <w:pStyle w:val="Celda"/>
            </w:pPr>
            <w:r>
              <w:rPr>
                <w:b/>
              </w:rPr>
              <w:t xml:space="preserve">Tipo (inicial · intermedio · final · comunicación)</w:t>
            </w:r>
          </w:p>
        </w:tc>
        <w:tc>
          <w:tcPr>
            <w:tcW w:w="1071" w:type="dxa"/>
            <w:shd w:val="clear" w:color="auto" w:fill="F2DFCE"/>
          </w:tcPr>
          <w:p>
            <w:pPr>
              <w:pStyle w:val="Celda"/>
            </w:pPr>
            <w:r>
              <w:rPr>
                <w:b/>
              </w:rPr>
              <w:t xml:space="preserve">Reloj desde (fecha y hora)</w:t>
            </w:r>
          </w:p>
        </w:tc>
        <w:tc>
          <w:tcPr>
            <w:tcW w:w="1071" w:type="dxa"/>
            <w:shd w:val="clear" w:color="auto" w:fill="F2DFCE"/>
          </w:tcPr>
          <w:p>
            <w:pPr>
              <w:pStyle w:val="Celda"/>
            </w:pPr>
            <w:r>
              <w:rPr>
                <w:b/>
              </w:rPr>
              <w:t xml:space="preserve">Fecha límite</w:t>
            </w:r>
          </w:p>
        </w:tc>
        <w:tc>
          <w:tcPr>
            <w:tcW w:w="1071" w:type="dxa"/>
            <w:shd w:val="clear" w:color="auto" w:fill="F2DFCE"/>
          </w:tcPr>
          <w:p>
            <w:pPr>
              <w:pStyle w:val="Celda"/>
            </w:pPr>
            <w:r>
              <w:rPr>
                <w:b/>
              </w:rPr>
              <w:t xml:space="preserve">Enviada (fecha y hora)</w:t>
            </w:r>
          </w:p>
        </w:tc>
        <w:tc>
          <w:tcPr>
            <w:tcW w:w="1071" w:type="dxa"/>
            <w:shd w:val="clear" w:color="auto" w:fill="F2DFCE"/>
          </w:tcPr>
          <w:p>
            <w:pPr>
              <w:pStyle w:val="Celda"/>
            </w:pPr>
            <w:r>
              <w:rPr>
                <w:b/>
              </w:rPr>
              <w:t xml:space="preserve">¿En plazo?</w:t>
            </w:r>
          </w:p>
        </w:tc>
        <w:tc>
          <w:tcPr>
            <w:tcW w:w="1071" w:type="dxa"/>
            <w:shd w:val="clear" w:color="auto" w:fill="F2DFCE"/>
          </w:tcPr>
          <w:p>
            <w:pPr>
              <w:pStyle w:val="Celda"/>
            </w:pPr>
            <w:r>
              <w:rPr>
                <w:b/>
              </w:rPr>
              <w:t xml:space="preserve">Referencia de acuse</w:t>
            </w:r>
          </w:p>
        </w:tc>
        <w:tc>
          <w:tcPr>
            <w:tcW w:w="1071" w:type="dxa"/>
            <w:shd w:val="clear" w:color="auto" w:fill="F2DFCE"/>
          </w:tcPr>
          <w:p>
            <w:pPr>
              <w:pStyle w:val="Celda"/>
            </w:pPr>
            <w:r>
              <w:rPr>
                <w:b/>
              </w:rPr>
              <w:t xml:space="preserve">Responsable</w:t>
            </w:r>
          </w:p>
        </w:tc>
      </w:tr>
      <w:tr>
        <w:tc>
          <w:tcPr>
            <w:tcW w:w="1071" w:type="dxa"/>
          </w:tcPr>
          <w:p>
            <w:pPr>
              <w:pStyle w:val="Celda"/>
            </w:pPr>
            <w:r>
              <w:t xml:space="preserve">N01</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t xml:space="preserve">N02</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r>
      <w:tr>
        <w:tc>
          <w:tcPr>
            <w:tcW w:w="1071" w:type="dxa"/>
          </w:tcPr>
          <w:p>
            <w:pPr>
              <w:pStyle w:val="Celda"/>
            </w:pPr>
            <w:r>
              <w:rPr>
                <w:i/>
              </w:rPr>
              <w:t xml:space="preserve">(ejemplo ilustrativo)</w:t>
            </w:r>
            <w:r>
              <w:t xml:space="preserve"> INC-2026-021 · N01</w:t>
            </w:r>
          </w:p>
        </w:tc>
        <w:tc>
          <w:tcPr>
            <w:tcW w:w="1071" w:type="dxa"/>
          </w:tcPr>
          <w:p>
            <w:pPr>
              <w:pStyle w:val="Celda"/>
            </w:pPr>
            <w:r>
              <w:t xml:space="preserve">RGPD · autoridad de control</w:t>
            </w:r>
          </w:p>
        </w:tc>
        <w:tc>
          <w:tcPr>
            <w:tcW w:w="1071" w:type="dxa"/>
          </w:tcPr>
          <w:p>
            <w:pPr>
              <w:pStyle w:val="Celda"/>
            </w:pPr>
            <w:r>
              <w:t xml:space="preserve">Inicial</w:t>
            </w:r>
          </w:p>
        </w:tc>
        <w:tc>
          <w:tcPr>
            <w:tcW w:w="1071" w:type="dxa"/>
          </w:tcPr>
          <w:p>
            <w:pPr>
              <w:pStyle w:val="Celda"/>
            </w:pPr>
            <w:r>
              <w:t xml:space="preserve">12-11-2026 17:10</w:t>
            </w:r>
          </w:p>
        </w:tc>
        <w:tc>
          <w:tcPr>
            <w:tcW w:w="1071" w:type="dxa"/>
          </w:tcPr>
          <w:p>
            <w:pPr>
              <w:pStyle w:val="Celda"/>
            </w:pPr>
            <w:r>
              <w:t xml:space="preserve">15-11-2026 17:10</w:t>
            </w:r>
          </w:p>
        </w:tc>
        <w:tc>
          <w:tcPr>
            <w:tcW w:w="1071" w:type="dxa"/>
          </w:tcPr>
          <w:p>
            <w:pPr>
              <w:pStyle w:val="Celda"/>
            </w:pPr>
            <w:r>
              <w:t xml:space="preserve">13-11-2026 11:40</w:t>
            </w:r>
          </w:p>
        </w:tc>
        <w:tc>
          <w:tcPr>
            <w:tcW w:w="1071" w:type="dxa"/>
          </w:tcPr>
          <w:p>
            <w:pPr>
              <w:pStyle w:val="Celda"/>
            </w:pPr>
            <w:r>
              <w:t xml:space="preserve">Sí</w:t>
            </w:r>
          </w:p>
        </w:tc>
        <w:tc>
          <w:tcPr>
            <w:tcW w:w="1071" w:type="dxa"/>
          </w:tcPr>
          <w:p>
            <w:pPr>
              <w:pStyle w:val="Celda"/>
            </w:pPr>
            <w:r>
              <w:t xml:space="preserve">Acuse de la sede electrónica</w:t>
            </w:r>
          </w:p>
        </w:tc>
        <w:tc>
          <w:tcPr>
            <w:tcW w:w="1071" w:type="dxa"/>
          </w:tcPr>
          <w:p>
            <w:pPr>
              <w:pStyle w:val="Celda"/>
            </w:pPr>
            <w:r>
              <w:t xml:space="preserve">Delegado de protección de datos</w:t>
            </w:r>
          </w:p>
        </w:tc>
      </w:tr>
    </w:tbl>
    <w:p>
      <w:pPr>
        <w:pStyle w:val="Espacio"/>
      </w:pPr>
    </w:p>
    <w:p>
      <w:r>
        <w:t xml:space="preserve">Una notificación fuera de plazo o omitida abre una no conformidad crítica en P50, además de las que revele el incidente (37 §6).</w:t>
      </w:r>
    </w:p>
    <w:p>
      <w:pPr>
        <w:pStyle w:val="Separador"/>
      </w:pPr>
    </w:p>
    <w:p>
      <w:pPr>
        <w:pStyle w:val="Heading1"/>
      </w:pPr>
      <w:r>
        <w:t xml:space="preserve">11. Criterios de calidad</w:t>
      </w:r>
    </w:p>
    <w:p>
      <w:r>
        <w:t xml:space="preserve">Criterios formales en el documento 21 (G5.17 y R6.06) y proceso en el documento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Se han valorado todos los regímenes en paralelo a la contención, con fecha y hora.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decisión de no notificar está motivada, fechada y validada por asesoría jurídica.</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plazos se calculan desde el momento de conocimiento y están confirmados por asesoría jurídica.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Se han usado los formularios o canales oficiales vigentes cuando existen.</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Las comunicaciones distinguen hechos confirmados de valoraciones en curso y han sido validadas.</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registro permite demostrar para cada envío que se hizo en plazo.</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incumplimientos de plazo tienen no conformidad abierta en P50.</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Valora los regímenes</w:t>
            </w:r>
          </w:p>
        </w:tc>
        <w:tc>
          <w:tcPr>
            <w:tcW w:w="1928" w:type="dxa"/>
          </w:tcPr>
          <w:p>
            <w:pPr>
              <w:pStyle w:val="Celda"/>
            </w:pPr>
            <w:r>
              <w:t xml:space="preserve">Responsable de riesgos de IA y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Valora las brechas y comunica a interesados</w:t>
            </w:r>
          </w:p>
        </w:tc>
        <w:tc>
          <w:tcPr>
            <w:tcW w:w="1928" w:type="dxa"/>
          </w:tcPr>
          <w:p>
            <w:pPr>
              <w:pStyle w:val="Celda"/>
            </w:pPr>
            <w:r>
              <w:t xml:space="preserve">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los hechos</w:t>
            </w:r>
          </w:p>
        </w:tc>
        <w:tc>
          <w:tcPr>
            <w:tcW w:w="1928" w:type="dxa"/>
          </w:tcPr>
          <w:p>
            <w:pPr>
              <w:pStyle w:val="Celda"/>
            </w:pPr>
            <w:r>
              <w:t xml:space="preserve">Coordinador del incidente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Redacta las comunicaciones</w:t>
            </w:r>
          </w:p>
        </w:tc>
        <w:tc>
          <w:tcPr>
            <w:tcW w:w="1928" w:type="dxa"/>
          </w:tcPr>
          <w:p>
            <w:pPr>
              <w:pStyle w:val="Celda"/>
            </w:pPr>
            <w:r>
              <w:t xml:space="preserve">Comunicación corporativa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w:t>
            </w:r>
          </w:p>
        </w:tc>
        <w:tc>
          <w:tcPr>
            <w:tcW w:w="1928" w:type="dxa"/>
          </w:tcPr>
          <w:p>
            <w:pPr>
              <w:pStyle w:val="Celda"/>
            </w:pPr>
            <w:r>
              <w:t xml:space="preserve">Asesoría jurídica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Revisa el registro en R6</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decide no notificar no valida su propia decisión; la validación la hace asesoría jurídica.</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Decisión de notificar con decisión motivada de no notificar, contenido común, notificaciones del Reglamento de IA y del RGPD, remisión a DORA y NIS2, comunicaciones a afectados, internas y a clientes, y registro de plazos según 37 §5.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P51 · Notificaciones y comunicaciones de incidentes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P51 · Notificaciones y comunicaciones de incidentes</dc:title>
  <dc:creator>Fernando García Varela</dc:creator>
  <dc:language>es</dc:language>
  <dc:description>sha256:a3ab4f9ab8a1d194f0f27399dda49b7efaf3e47f168f2984ac244910261edd03</dc:description>
  <cp:keywords>SEVEN-G</cp:keywords>
</cp:coreProperties>
</file>