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Manual de operación</w:t>
      </w:r>
    </w:p>
    <w:p>
      <w:r>
        <w:rPr>
          <w:b/>
        </w:rPr>
        <w:t xml:space="preserve">Reúne lo necesario para operar el sistema de IA en producción de forma estable y controlada: responsables, rutinas, cambios, situaciones habituales, continuidad y registros.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Plantilla P24 · Manual de operación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0.1 (borrador de trabajo)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16-09-2026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Fernando García · SEACHAD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Borrador para revisión.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Cita"/>
      </w:pPr>
      <w:r>
        <w:rPr>
          <w:b/>
        </w:rPr>
        <w:t xml:space="preserve">Aviso legal y exención de responsabilidad.</w:t>
      </w:r>
      <w:r>
        <w:t xml:space="preserve"> SEVEN-G es un marco metodológico de referencia que se ofrece «tal cual» y con fines exclusivamente informativos. No constituye asesoramiento jurídico, regulatorio, financiero ni profesional, ni garantiza el cumplimiento de ninguna norma. Las referencias a regulación general (como el Reglamento Europeo de IA, el RGPD, DORA o NIS2), a normas técnicas y a regulación específica de cada sector o jurisdicción pueden ser incompletas, no aplicar a un caso concreto o quedar desactualizadas por cambios normativos, interpretaciones o criterios de las autoridades posteriores a su fecha de consulta. </w:t>
      </w:r>
      <w:r>
        <w:rPr>
          <w:b/>
        </w:rPr>
        <w:t xml:space="preserve">Cada organización que use SEVEN-G es la única responsable de identificar la normativa que le aplica, verificar su vigencia y certificar su propio cumplimiento regulatorio</w:t>
      </w:r>
      <w:r>
        <w:t xml:space="preserve">, con el asesoramiento cualificado que corresponda. El autor y SEACHAD no asumen responsabilidad alguna por el uso que se haga de este contenido ni por las decisiones que se adopten con él. Los datos, cifras, compañías y casos de los ejemplos son ficticios o ilustrativos.</w:t>
      </w:r>
    </w:p>
    <w:p>
      <w:pPr>
        <w:pStyle w:val="Heading1"/>
      </w:pPr>
      <w:r>
        <w:t xml:space="preserve">1. Instrucciones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Cuándo se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Se redacta en borrador en la fase 5 (requisito de P23) y se aprueba al inicio de la fase 6. Se mantiene vivo durante toda la operación.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rellena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Responsable de operación de IA, con el responsable técnico de IA.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verifica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Oficina de IA en Lite; auditor de IA en Enterprise.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En qué </w:t>
            </w:r>
            <w:r>
              <w:rPr>
                <w:b/>
                <w:i/>
              </w:rPr>
              <w:t xml:space="preserve">gate</w:t>
            </w:r>
            <w:r>
              <w:rPr>
                <w:b/>
              </w:rPr>
              <w:t xml:space="preserve"> se revisa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Requisito previo de G5; se comprueba su vigencia en cada revisión de continuidad R6.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Lite frente a Enterprise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Lite puede omitir los campos marcados </w:t>
            </w:r>
            <w:r>
              <w:rPr>
                <w:b/>
              </w:rPr>
              <w:t xml:space="preserve">(Enterprise)</w:t>
            </w:r>
            <w:r>
              <w:t xml:space="preserve">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Relación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P16 Linaje · P17 Supervisión humana · P18 Seguridad · P19 Reversión · P25 Monitorización y alertas · P26 Respuesta a incidentes · P27 Registro de incidentes y cambios · P28 Seguimiento de valor · documento 52 (Manual de operación de IA).</w:t>
            </w:r>
          </w:p>
        </w:tc>
      </w:tr>
    </w:tbl>
    <w:p>
      <w:pPr>
        <w:pStyle w:val="Espacio"/>
      </w:pPr>
    </w:p>
    <w:p>
      <w:r>
        <w:t xml:space="preserve">Reglas:</w:t>
      </w:r>
    </w:p>
    <w:p>
      <w:pPr>
        <w:pStyle w:val="Lista"/>
      </w:pPr>
      <w:r>
        <w:t xml:space="preserve">• El manual debe poder seguirlo una persona de guardia que </w:t>
      </w:r>
      <w:r>
        <w:rPr>
          <w:b/>
        </w:rPr>
        <w:t xml:space="preserve">no ha participado en la construcción</w:t>
      </w:r>
      <w:r>
        <w:t xml:space="preserve">.</w:t>
      </w:r>
    </w:p>
    <w:p>
      <w:pPr>
        <w:pStyle w:val="Lista"/>
      </w:pPr>
      <w:r>
        <w:t xml:space="preserve">• Los procedimientos técnicos detallados pueden residir en la herramienta de operación de la compañía; aquí se enlazan con su versión.</w:t>
      </w:r>
    </w:p>
    <w:p>
      <w:pPr>
        <w:pStyle w:val="Lista"/>
      </w:pPr>
      <w:r>
        <w:t xml:space="preserve">• Todo cambio en producción se clasifica y se registra en P27 antes de ejecutarse, salvo los de emergencia, que se registran inmediatamente después.</w:t>
      </w:r>
    </w:p>
    <w:p>
      <w:pPr>
        <w:pStyle w:val="Separador"/>
      </w:pPr>
    </w:p>
    <w:p>
      <w:pPr>
        <w:pStyle w:val="Heading1"/>
      </w:pPr>
      <w:r>
        <w:t xml:space="preserve">2. Identificación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 de la iniciativa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IA-AAAA-NNN (T01).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Sistema(s) de 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Identificador en el inventario (T02).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en producción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Modelo, instrucciones y configuración (P16).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 puesta en producción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Según P23.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Intensidad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Lite · Enterprise. Determina la frecuencia de R6: trimestral en Enterprise y semestral en Lite.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Nivel de autonomía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A0 · A1 · A2 · A3.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del documento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Rol y nombre.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DD-MM-AAAA.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Estado del documento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Borrador · Presentado para verificación · Verificado · Aprobado · Sustituido.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3. Descripción operativa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Qué hace el sistema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Resumen de P31, en lenguaje comprensible.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Usuarios y horario de servicio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Quién lo usa y cuándo debe estar disponible.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Niveles de servicio comprometidos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Disponibilidad, tiempo de respuesta, tiempo de resolución.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Dependencias internas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Sistemas y datos de los que depende.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Proveedores y soporte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Proveedor, servicio, canal de soporte y nivel de servicio contratado (P14).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Limitaciones conocidas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Del P16 y P21; qué no debe pedirse al sistema. Se trasladan a las instrucciones internas de uso (P49 §5).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4. Roles y contactos operativos</w:t>
      </w:r>
    </w:p>
    <w:p>
      <w:r>
        <w:t xml:space="preserve">Se indican roles y canales; los datos personales de contacto se mantienen en el directorio corporativo.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Titular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Sustituto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Disponibilidad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Canal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Responsable de operación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Guardia técnica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Responsable técnico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Responsable de producto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Supervisores designados (P17)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Seguridad de la información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Protección de datos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Responsable de riesgos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5. Rutinas operativas</w:t>
      </w:r>
    </w:p>
    <w:p>
      <w:r>
        <w:rPr>
          <w:b/>
        </w:rPr>
        <w:t xml:space="preserve">Frecuencia:</w:t>
      </w:r>
      <w:r>
        <w:t xml:space="preserve"> Continua · Diaria · Semanal · Mensual · Trimestral · Semestral.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Actividad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Frecuencia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Procedimiento o enlace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Registro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Revisar alertas abiertas y su tratamiento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Diaria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Guardia técnica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P25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Herramienta de alertas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Comprobar calidad y actualidad de los datos de entrada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Diaria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Revisar muestra de resultados (supervisión a posteriori)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Según P17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Supervisores designados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P17 bloque 6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Revisar registro de acciones del agente y bloqueos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Semanal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P18 bloque 10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Revisar consumo y coste frente a presupuesto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Mensual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P25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Revisar deriva (también de uso), sesgo y rendimiento frente a referencia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Mensual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P25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Revisar permisos e identidades del sistema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Trimestral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P18 bloques 4 y 5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Actualizar el seguimiento de valor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Según P28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producto de IA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P28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Preparar la revisión de continuidad R6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Trimestral (Enterprise) · Semestral (Lite)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operación de IA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Bloque 10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P29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6. Gestión de cambios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Tipo de cambio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Ejemplos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Pruebas exigidas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Quién aprueba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¿Requiere revisar clasificación, intensidad o riesgos?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rPr>
                <w:b/>
              </w:rPr>
              <w:t xml:space="preserve">Menor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Ajuste de textos de interfaz; umbral de alerta sin efecto en el comportamiento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Verificación funcional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operación de IA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No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rPr>
                <w:b/>
              </w:rPr>
              <w:t xml:space="preserve">Relevante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Nueva versión de modelo, instrucciones o base de conocimiento; nuevas herramientas o permisos del agente; cambio de nivel de autonomía; ampliación de población o finalidad; cambio de proveedor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Regresión, sesgo, seguridad e inyección según el caso; reversión preparada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Según documento 52; si cambia autonomía, finalidad o clasificación, decisión equivalente a G4/G5 y nueva firma (P23)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Sí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rPr>
                <w:b/>
              </w:rPr>
              <w:t xml:space="preserve">Emergencia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Contención de un incidente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Las posibles sin demorar la contención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Coordinador del incidente, con registro inmediato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Se revisa después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7. Situaciones habituales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Situación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Síntoma o alerta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Primera acción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 quién escalar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Degradación del rendimiento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Alerta de rendimiento o aumento de anulaciones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Verificar datos de entrada y versión; valorar disparador de reversión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técnico de IA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P19 · P25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Datos de entrada ausentes o tardíos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Alerta de actualidad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Activar modo degradado si se superan los umbrales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del dato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P19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Proveedor de modelo no disponible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Errores de servicio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Aplicar alternativa prevista; informar a usuarios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operación de IA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P14 · P19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Coste de consumo por encima del umbral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Alerta de coste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Revisar uso anómalo; aplicar el nivel de la cascada de degradación por coste del bloque 8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producto de IA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P18 bloque 7 · documento 52 §10.3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Cambio en lo que piden los usuarios (deriva de uso)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Alerta de consultas fuera del alcance validado o de cambio de temas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Ampliar el conjunto de evaluación con los casos nuevos y evaluar; si el uso cae fuera de la finalidad, limitar el alcance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producto de IA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P25 · documento 52 §4.2.6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Sospecha de inyección de instrucciones o acción anómala del agente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Bloqueos repetidos o acción fuera de finalidad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Valorar interruptor de parada; preservar registros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Seguridad de la información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P18 · P26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Reclamación de una persona afectada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Reclamación recibida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Registrar; activar revisión humana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producto de IA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P17 bloque 8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Posible resultado discriminatorio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Alerta de equidad, de respuestas desiguales en pares contrafactuales o reclamación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Tratar como incidente y clasificar severidad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riesgos de IA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P26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8. Continuidad y modo degradado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Modo degradado disponible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Descripción y cómo se activa (P19).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Proceso sin 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Quién lo ejecuta y con qué capacidad.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Tiempo máximo sin servicio aceptable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Coherente con P19.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Recuperación tras el modo degradado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Comprobaciones antes de volver al funcionamiento normal y quién autoriza.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Cascada de degradación por coste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Solo sistemas con consumo variable. Niveles aplicables (N1 optimización, N2 modelo de respaldo, N3 alcance reducido, N4 sin IA), disparador de cada uno (por ejemplo, N1 al 80 % y N2 al 100 % del presupuesto), quién los activa y usos excluidos de N2 (documento 52 §10.3).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Modelo de respaldo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Identificador en P16, resultado de su evaluación antes de G5 y calidad mínima exigida en P25.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9. Accesos, registros y conservación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Gestión de altas y bajas de usuarios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Procedimiento y responsable.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Revisión periódica de accesos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Frecuencia y evidencia.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Registros que se conservan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Registros de inferencia, acciones del agente, validaciones humanas, cambios, alertas.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Plazo de conservación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No inferior al que exija la regulación aplicable (documento 34).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Vigilancia exigida por la regulación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se vigila tras la puesta en producción, quién lo hace y cómo se informa al proveedor o a la autoridad cuando proceda (documento 34).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10. Revisión de continuidad (R6)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Frecuencia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Al menos trimestral en Enterprise y semestral en Lite (01 §6.8).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Próxima fecha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Información que se prepara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Valor realizado frente a hipótesis (P28), estabilidad (P25), incidentes y cambios (P27), cumplimiento y vigencia de la clasificación de riesgo e intensidad (P04, P11, P12).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Criterio para proponer adelantar G7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Desviaciones relevantes de valor, riesgo o cumplimiento.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11. Criterios de calidad</w:t>
      </w:r>
    </w:p>
    <w:p>
      <w:r>
        <w:t xml:space="preserve">Criterios formales de G5 y R6 en el documento 21.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 (Cumple · No cumple · No aplica · Pendiente)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Todos los roles operativos tienen titular y sustituto.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rutinas tienen frecuencia, responsable y registro.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tipos de cambio y su aprobación están definidos y conectados con P27.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situaciones habituales tienen primera acción y escalado.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modo degradado y el proceso sin IA están descritos y son coherentes con P19.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fecha de la próxima R6 está fijada según la intensidad.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En sistemas con consumo variable, la cascada de degradación por coste está definida, no desactiva controles críticos y se ha probado.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12. Aprobación y verificación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Firma o 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operación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Coautor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técnico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Verificador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 (Lite) · Auditor de IA (Enterprise)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Aprobación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Patrocinador (Lite) · Comité de IA (Enterprise), dentro de la decisión de G5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Separación de funciones: el responsable de operación no verifica evidencias de su propia operación (01 §8.1).</w:t>
      </w:r>
    </w:p>
    <w:p>
      <w:pPr>
        <w:pStyle w:val="Separador"/>
      </w:pPr>
    </w:p>
    <w:p>
      <w:pPr>
        <w:pStyle w:val="Heading1"/>
      </w:pPr>
      <w:r>
        <w:t xml:space="preserve">13. Control de versiones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16-09-2026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versión de la plantilla.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18-09-2026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Cascada de degradación por coste y modelo de respaldo en el bloque 8; deriva de uso y pares contrafactuales en las situaciones habituales; criterio de calidad 7.</w:t>
            </w:r>
          </w:p>
        </w:tc>
      </w:tr>
    </w:tbl>
    <w:p>
      <w:pPr>
        <w:pStyle w:val="Espacio"/>
      </w:pPr>
    </w:p>
    <w:sectPr>
      <w:footerReference w:type="default" r:id="rId2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"/>
    </w:pPr>
    <w:r>
      <w:t xml:space="preserve">SEVEN-G · Plantilla P24 · Manual de operación · CC BY 4.0 · Fernando García · SEACHAD · Generada desde la fuente Markdown: no edite la plantilla, rellene una copia.</w:t>
    </w:r>
    <w:r>
      <w:rPr>
        <w:color w:val="66605C"/>
        <w:sz w:val="15"/>
      </w:rPr>
      <w:t xml:space="preserve"> ·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rPr>
        <w:sz w:val="15"/>
      </w:rP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color w:val="1A1817"/>
        <w:sz w:val="20"/>
        <w:szCs w:val="20"/>
        <w:lang w:val="es-E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b/>
      <w:color w:val="1A1817"/>
      <w:sz w:val="40"/>
    </w:rPr>
  </w:style>
  <w:style w:type="paragraph" w:styleId="Heading1">
    <w:name w:val="heading 1"/>
    <w:basedOn w:val="Normal"/>
    <w:next w:val="Normal"/>
    <w:qFormat/>
    <w:pPr>
      <w:keepNext/>
      <w:pBdr>
        <w:top w:val="single" w:sz="12" w:space="4" w:color="990F3D"/>
      </w:pBdr>
      <w:spacing w:before="360" w:after="120"/>
      <w:outlineLvl w:val="0"/>
    </w:pPr>
    <w:rPr>
      <w:b/>
      <w:color w:val="990F3D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680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1"/>
    </w:rPr>
  </w:style>
  <w:style w:type="paragraph" w:styleId="Cita">
    <w:name w:val="Cita SEVEN-G"/>
    <w:basedOn w:val="Normal"/>
    <w:pPr>
      <w:pBdr>
        <w:left w:val="single" w:sz="18" w:space="8" w:color="990F3D"/>
      </w:pBdr>
      <w:shd w:val="clear" w:color="auto" w:fill="FFF1E5"/>
      <w:ind w:left="240" w:right="120"/>
      <w:spacing w:before="120" w:after="160"/>
    </w:pPr>
    <w:rPr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7"/>
    </w:rPr>
  </w:style>
  <w:style w:type="paragraph" w:styleId="Lista">
    <w:name w:val="Lista SEVEN-G"/>
    <w:basedOn w:val="Normal"/>
    <w:pPr>
      <w:ind w:left="360" w:hanging="240"/>
      <w:spacing w:after="60"/>
    </w:pPr>
  </w:style>
  <w:style w:type="paragraph" w:styleId="Lista2">
    <w:name w:val="Lista SEVEN-G 2"/>
    <w:basedOn w:val="Lista"/>
    <w:pPr>
      <w:ind w:left="720" w:hanging="240"/>
    </w:pPr>
  </w:style>
  <w:style w:type="paragraph" w:styleId="Separador">
    <w:name w:val="Separador"/>
    <w:basedOn w:val="Normal"/>
    <w:pPr>
      <w:pBdr>
        <w:bottom w:val="single" w:sz="4" w:space="1" w:color="CCC1B7"/>
      </w:pBdr>
      <w:spacing w:after="120"/>
    </w:pPr>
  </w:style>
  <w:style w:type="paragraph" w:styleId="Espacio">
    <w:name w:val="Espacio"/>
    <w:basedOn w:val="Normal"/>
    <w:pPr>
      <w:spacing w:after="60" w:line="120" w:lineRule="exact"/>
    </w:pPr>
  </w:style>
  <w:style w:type="paragraph" w:styleId="Pie">
    <w:name w:val="footer"/>
    <w:basedOn w:val="Normal"/>
    <w:rPr>
      <w:color w:val="66605C"/>
      <w:sz w:val="15"/>
    </w:rPr>
  </w:style>
  <w:style w:type="table" w:styleId="TablaSG">
    <w:name w:val="Tabla SEVEN-G"/>
    <w:tblPr>
      <w:tblBorders>
        <w:top w:val="single" w:sz="4" w:space="0" w:color="CCC1B7"/>
        <w:left w:val="single" w:sz="4" w:space="0" w:color="CCC1B7"/>
        <w:bottom w:val="single" w:sz="4" w:space="0" w:color="CCC1B7"/>
        <w:right w:val="single" w:sz="4" w:space="0" w:color="CCC1B7"/>
        <w:insideH w:val="single" w:sz="4" w:space="0" w:color="CCC1B7"/>
        <w:insideV w:val="single" w:sz="4" w:space="0" w:color="CCC1B7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SEVEN-G docx.ps1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P24 · Manual de operación</dc:title>
  <dc:creator>Fernando García · SEACHAD</dc:creator>
  <dc:language>es</dc:language>
  <dc:description>sha256:3b27056b5c47e94b4d199d348eeb8139bf81e6371031b3f3b6d09f6eb9aaef49</dc:description>
  <cp:keywords>SEVEN-G</cp:keywords>
</cp:coreProperties>
</file>