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Avisos de transparencia e instrucciones de uso</w:t>
      </w:r>
    </w:p>
    <w:p>
      <w:r>
        <w:rPr>
          <w:b/>
        </w:rPr>
        <w:t xml:space="preserve">Reúne los textos que informan a las personas de que tratan con un sistema de IA o con contenido generado, la información a quienes se ven afectados por sus decisiones y las instrucciones de uso internas para quienes lo usan, con un registro de dónde y desde cuándo se muestra cada aviso.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P49 · Avisos de transparencia e instrucciones de uso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Cita"/>
      </w:pPr>
      <w:r>
        <w:rPr>
          <w:i/>
        </w:rPr>
        <w:t xml:space="preserve">Esta plantilla no constituye asesoramiento jurídico.</w:t>
      </w:r>
      <w:r>
        <w:t xml:space="preserve"> Los textos modelo son orientativos y deben validarse para cada caso. Referencias consultadas en septiembre de 2026; verifíquese su vigencia (documento 34 §3.11).</w:t>
      </w: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Las obligaciones de transparencia del artículo 50 del Reglamento de IA son exigibles desde el 2-08-2026 y se comprueban en G4 y G5; una persona que no sabe que habla con una IA, o que no sabe cómo pedir que una persona revise una decisión que le afecta, es a la vez un incumplimiento y una pérdida de confianza. Las instrucciones de uso internas son la base de una supervisión humana efectiva: quien usa el sistema debe saber qué hace, qué no debe pedirle y cómo avisar de un fallo. Sin un registro de avisos, la compañía no puede demostrar qué texto vio cada persona ni desde cuándo.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 redacta en la fase 4, a partir de P11 §7 (obligaciones de transparencia) y P17 §8 (transparencia y derechos). Se prueba en la fase 5 (P22) y se verifica en G5. Se mantiene viva en la fase 6: todo cambio de texto o de canal se registra en la sección 7.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producto de IA, con el responsable técnico de IA (marcado técnico y presentación en la interfaz), la función de protección de datos y, para los textos a personas trabajadoras, relaciones laborales.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oficina de IA. Enterprise: auditor de IA. El responsable de riesgos de IA emite conformidad sobre la suficiencia de los avisos.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patrocinador de IA, con la validación jurídica de los textos.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Gate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G4 · Diseño (G4.05); G5 · Puesta en producción (G5.15, prueba de que se muestran); R6 (vigencia).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T07 · Clasificador regulatorio (apartados del artículo 50 aplicables, 32 §3.4).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34 §3.7, §3.9 y §3.11; 50 §7 y §8.3; P17 §8; P24.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 Los avisos exigidos por la clasificación son obligatorios en ambas.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Una plantilla por sistema de IA</w:t>
      </w:r>
      <w:r>
        <w:t xml:space="preserve"> (SIA-AAAA-NNN). Se cumplimentan solo los avisos que la sección 3 marca como aplicables.</w:t>
      </w:r>
    </w:p>
    <w:p>
      <w:pPr>
        <w:pStyle w:val="Lista"/>
      </w:pPr>
      <w:r>
        <w:t xml:space="preserve">• La información se facilita de forma </w:t>
      </w:r>
      <w:r>
        <w:rPr>
          <w:b/>
        </w:rPr>
        <w:t xml:space="preserve">clara y distinguible, a más tardar en la primera interacción o exposición</w:t>
      </w:r>
      <w:r>
        <w:t xml:space="preserve"> (artículo 50.5), en el idioma de la persona y con criterios de accesibilidad.</w:t>
      </w:r>
    </w:p>
    <w:p>
      <w:pPr>
        <w:pStyle w:val="Lista"/>
      </w:pPr>
      <w:r>
        <w:t xml:space="preserve">• Los textos entre [corchetes] se sustituyen por los datos del caso. No se publica ningún texto con corchetes pendientes.</w:t>
      </w:r>
    </w:p>
    <w:p>
      <w:pPr>
        <w:pStyle w:val="Lista"/>
      </w:pPr>
      <w:r>
        <w:t xml:space="preserve">• Apoyo: Directrices sobre las obligaciones de transparencia (art. 50) de la Comisión y código de buenas prácticas sobre marcado y etiquetado (34 §3.3).</w:t>
      </w:r>
    </w:p>
    <w:p>
      <w:pPr>
        <w:pStyle w:val="Lista"/>
      </w:pPr>
      <w:r>
        <w:t xml:space="preserve">• Si el sistema realiza reconocimiento de emociones, compruebe antes en P11 §5 que no es una práctica prohibida (inferencia de emociones en el lugar de trabajo o en centros educativos, artículo 5.1.f).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y nombre del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SIA-AAAA-NNN de P05 (T02).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regulatoria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 P11 §8.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Apartados del artículo 50 aplicables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Ninguna · 50.1 · 50.2 · 50.3 · 50.4 (P11 §7; 32 §3.4).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Rol de la compañía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Proveedor · Responsable del despliegue (determina quién debe cada aviso).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Canales en que se usa 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Web, aplicación, teléfono, correo, documentos, herramienta interna.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Borrador · Validación jurídica · Aprobado · Publicado · Sustituido.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Avisos necesarios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Situación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Base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Obligado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¿Aplica?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Texto modelo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Personas que interactúan directamente con el sistema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Reglamento de IA, art. 50.1 (salvo que resulte evidente)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Proveedor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4.1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Contenido sintético de audio, imagen, vídeo o texto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Art. 50.2 (marcado legible por máquina)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Proveedor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4.2 (marcado técnico, P18)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Ultrasuplantaciones y textos publicados para informar al público sobre asuntos de interés público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Art. 50.4 (salvo revisión humana con responsabilidad editorial, para textos)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Responsable del despliegue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4.2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Personas expuestas a reconocimiento de emociones o categorización biométrica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Art. 50.3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Responsable del despliegue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4.3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Personas sujetas a un sistema del anexo III que toma decisiones o ayuda a tomarlas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Art. 26.11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Responsable del despliegue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4.4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Decisiones automatizadas y lógica aplicada; derecho de acceso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RGPD, arts. 13.2.f, 14.2.g, 15.1.h y 22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Responsable del tratamiento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4.4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Explicación de decisiones individuales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Reglamento de IA, art. 86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Responsable del despliegue de alto riesgo del anexo III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4.5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Personas trabajadoras y su representación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Reglamento de IA, art. 26.7; Estatuto de los Trabajadores, art. 64.4.d)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Empleador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4.6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Personas que usan el sistema en la compañía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Instrucciones de uso (arts. 13 y 26.1 en alto riesgo; buena práctica en todos)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Proveedor y responsable del despliegue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Sección 5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Textos modelo</w:t>
      </w:r>
    </w:p>
    <w:p>
      <w:pPr>
        <w:pStyle w:val="Heading2"/>
      </w:pPr>
      <w:r>
        <w:t xml:space="preserve">4.1 Interacción con un sistema de IA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Canal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Texto modelo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Momento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Asistente escrito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«Está hablando con [nombre del asistente], un asistente de inteligencia artificial de [compañía]. Puede cometer errores. Si prefiere que le atienda una persona, escriba [palabra clave] o llame al [canal].»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 abrir la conversación, antes del primer mensaje.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Voz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«Le atiende un asistente automático con inteligencia artificial de [compañía]. Para hablar con una persona, diga [palabra clave] en cualquier momento.»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 inicio de la llamada.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Correo o mensaje generado y enviado sin revisión humana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«Este mensaje ha sido redactado por un sistema de inteligencia artificial de [compañía]. Para cualquier consulta, responda a este mensaje o escriba a [canal].»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el propio mensaje.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4.2 Contenido generado o manipulado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Situación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Texto modelo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Imagen, audio o vídeo que es una ultrasuplantación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«Contenido generado o modificado con inteligencia artificial.»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Visible junto al contenido; forma y excepciones según las directrices de la Comisión sobre el art. 50.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Texto publicado para informar al público sobre asuntos de interés público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«Este texto ha sido generado [o modificado] con inteligencia artificial [y revisado por [rol]].»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 se exige si hay revisión humana con responsabilidad editorial; en ese caso, registre quién la asume.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Marcado legible por máquina del contenido sintético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 es un texto: es una medida técnica del proveedor (metadatos, marcas de agua u otras).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documenta en P18 y se prueba en P22.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4.3 Reconocimiento de emociones o categorización biométrica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Texto modelo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Momento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«En [lugar o servicio], [compañía] utiliza un sistema de inteligencia artificial que [analiza expresiones o la voz para estimar emociones / clasifica a las personas según características biométricas] con la finalidad de [finalidad]. Los datos se tratan conforme a [referencia a la información de protección de datos]. Más información y ejercicio de derechos: [canal].»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Antes de la exposición, en el punto de acceso o en el primer contacto.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4.4 Información a personas afectadas por decisiones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Situación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Texto modelo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Sistema del anexo III que toma o apoya decisiones sobre la persona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«En la [evaluación / tramitación] de su [solicitud], [compañía] utiliza un sistema de inteligencia artificial que [describe lo que hace: calcula una puntuación, ordena, propone]. La decisión final la toma [rol]. Puede pedir una explicación de la decisión, expresar su punto de vista y solicitar que una persona la revise en [canal], en un plazo de [plazo interno].»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Decisión basada únicamente en tratamiento automatizado, cuando esté permitida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«Esta decisión se ha tomado de forma automatizada. Los principales factores considerados son [factores en lenguaje comprensible] y su consecuencia es [efecto]. Tiene derecho a obtener intervención humana, a expresar su punto de vista y a impugnar la decisión en [canal].»</w:t>
            </w:r>
          </w:p>
        </w:tc>
      </w:tr>
    </w:tbl>
    <w:p>
      <w:pPr>
        <w:pStyle w:val="Espacio"/>
      </w:pPr>
    </w:p>
    <w:p>
      <w:r>
        <w:t xml:space="preserve">La información significativa sobre la lógica aplicada se redacta en términos comprensibles y no requiere revelar código fuente (50 §7.3); su alcance se analiza con la Sentencia del TJUE C-203/22 (Dun &amp; Bradstreet Austria) (34 §6.2).</w:t>
      </w:r>
    </w:p>
    <w:p>
      <w:pPr>
        <w:pStyle w:val="Heading2"/>
      </w:pPr>
      <w:r>
        <w:t xml:space="preserve">4.5 Respuesta a una solicitud de explicación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Elemento de la respuesta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Qué decisión se explica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[decisión, fecha y referencia]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Papel del sistema de 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[qué hizo el sistema y qué decidió una persona]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Principales elementos de la decisión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[factores y su peso relativo, en lenguaje comprensible]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Qué puede hacer la persona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[revisión humana, reclamación, plazo y canal]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Quién responde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[rol que revisa, nunca el propio sistema]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4.6 Personas trabajadoras y su representación</w:t>
      </w:r>
    </w:p>
    <w:p>
      <w:r>
        <w:t xml:space="preserve">Se usa la ficha informativa del documento 50 §7.3 (identificación, decisiones afectadas, datos, parámetros y reglas, intervención humana, controles, derechos y cambios). Texto breve de aviso a la plantilla afectada:</w:t>
      </w:r>
    </w:p>
    <w:p>
      <w:r>
        <w:t xml:space="preserve">«Desde el [fecha], en [proceso] se utiliza [nombre del sistema], un sistema de inteligencia artificial que [qué hace]. La decisión final corresponde a [rol]. La representación de las personas trabajadoras ha sido informada el [fecha]. Puede consultar la ficha del sistema en [ubicación] y pedir revisión humana en [canal].»</w:t>
      </w:r>
    </w:p>
    <w:p>
      <w:pPr>
        <w:pStyle w:val="Separador"/>
      </w:pPr>
    </w:p>
    <w:p>
      <w:pPr>
        <w:pStyle w:val="Heading1"/>
      </w:pPr>
      <w:r>
        <w:t xml:space="preserve">5. Instrucciones de uso internas</w:t>
      </w:r>
    </w:p>
    <w:p>
      <w:r>
        <w:t xml:space="preserve">Para las personas que usan o supervisan el sistema. En alto riesgo, se basan en las instrucciones de uso del proveedor (artículo 13) y la compañía debe usar el sistema conforme a ellas (artículo 26.1). Se entregan con la formación del P20 y se enlazan desde el manual de operación (P24).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Apartado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 modelo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es y para qué sirve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«[Nombre del sistema] [qué hace] para [finalidad]. Solo debe usarse para [usos permitidos].»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Coherente con la finalidad prevista (P05).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no debe hacerse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«No lo use para [usos excluidos]. No introduzca [categorías de información no permitidas según la política de uso].»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Documento 31.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Limitaciones conocidas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«Puede equivocarse en [situaciones]. Su rendimiento es menor cuando [condiciones].»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 P16 y P21.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Cómo interpretar el resultado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«El resultado es [una propuesta / una puntuación / un borrador]. Revise siempre [elementos] antes de [acción].»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P17 §7.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Supervisión humana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«Usted debe validar [decisiones]. Puede no usar, corregir o anular el resultado en [función]. No se decide nunca de forma automática sobre [decisiones indelegables].»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P17 §5 y §6.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 de confianza excesiva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«El sistema puede parecer seguro aunque se equivoque. Si el resultado no le parece razonable, no lo aplique y consúltelo.»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P17 §7.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Cómo avisar de un fallo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«Si detecta un error, un resultado discriminatorio, una fuga de información o un comportamiento extraño, comuníquelo en [canal] indicando [datos mínimos]. En caso urgente, [procedimiento de parada o contacto de guardia].»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P26 y P27.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Contacto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[rol responsable y canal]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P24 §4.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[versión del sistema y de estas instrucciones, fecha]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actualiza con cada cambio relevante (P27).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Solicitudes de explicación y revisión </w:t>
      </w:r>
      <w:r>
        <w:rPr>
          <w:b/>
        </w:rPr>
        <w:t xml:space="preserve">(Enterprise)</w:t>
      </w:r>
    </w:p>
    <w:p>
      <w:r>
        <w:t xml:space="preserve">Registro de las solicitudes recibidas por los canales de las secciones 4.4 y 4.5. Sin datos personales identificativos: se usa la referencia del expediente.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 del expediente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 interno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 y fecha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que revisa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¿Cambió la decisión?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Explicación · Revisión humana · Reclamación · Acceso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Sí · No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01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03-02-2027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EXP-00871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Revisión humana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10 días hábiles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Revisada y mantenida, 11-02-2027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Responsable del área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No</w:t>
            </w:r>
          </w:p>
        </w:tc>
      </w:tr>
    </w:tbl>
    <w:p>
      <w:pPr>
        <w:pStyle w:val="Espacio"/>
      </w:pPr>
    </w:p>
    <w:p>
      <w:r>
        <w:t xml:space="preserve">Las reclamaciones y los cambios de decisión alimentan los indicadores de P17 §10 y P25.</w:t>
      </w:r>
    </w:p>
    <w:p>
      <w:pPr>
        <w:pStyle w:val="Separador"/>
      </w:pPr>
    </w:p>
    <w:p>
      <w:pPr>
        <w:pStyle w:val="Heading1"/>
      </w:pPr>
      <w:r>
        <w:t xml:space="preserve">7. Registro de avisos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Aviso (sección)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Canal y ubicación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 del texto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publicación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Prueba en P22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AV01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Superada · No superada · Pendiente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Vigente · Sustituido · Retirado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AV02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AV01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4.1 Asistente escrito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Ventana de chat de la web, antes del primer mensaje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1.1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15-01-2027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Superada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Vigente</w:t>
            </w:r>
          </w:p>
        </w:tc>
      </w:tr>
    </w:tbl>
    <w:p>
      <w:pPr>
        <w:pStyle w:val="Espacio"/>
      </w:pPr>
    </w:p>
    <w:p>
      <w:r>
        <w:t xml:space="preserve">La numeración AVnn es local a cada sistema. Un texto sustituido se conserva con su periodo de vigencia.</w:t>
      </w:r>
    </w:p>
    <w:p>
      <w:pPr>
        <w:pStyle w:val="Separador"/>
      </w:pPr>
    </w:p>
    <w:p>
      <w:pPr>
        <w:pStyle w:val="Heading1"/>
      </w:pPr>
      <w:r>
        <w:t xml:space="preserve">8. Criterios de calidad</w:t>
      </w:r>
    </w:p>
    <w:p>
      <w:r>
        <w:t xml:space="preserve">Los criterios formales están en el documento 21 (G4.05 y G5.15).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avisos aplicables coinciden con P11 §7 y con el rol de la compañía.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aviso se muestra a más tardar en la primera interacción o exposición, de forma clara y accesible.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 quedan textos con [corchetes] sin sustituir y los textos tienen validación jurídica.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personas afectadas por decisiones saben cómo pedir explicación y revisión humana (G4.05).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marcado técnico del contenido sintético está documentado en P18 y probado en P22, cuando aplica.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instrucciones de uso internas cubren finalidad, límites, supervisión humana y cómo avisar de fallos, y se han entregado con la formación.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presencia de cada aviso se ha probado antes de G5 (G5.15) y el registro está al día.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Implanta en la interfaz y marca el contenido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Valida jurídicamente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Asesoría jurídica o cumplimiento; delegado de protección de datos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Emite conformidad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Aprueba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redacta los textos no verifica su presencia en producción.</w:t>
      </w:r>
    </w:p>
    <w:p>
      <w:pPr>
        <w:pStyle w:val="Separador"/>
      </w:pPr>
    </w:p>
    <w:p>
      <w:pPr>
        <w:pStyle w:val="Heading1"/>
      </w:pPr>
      <w:r>
        <w:t xml:space="preserve">10.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Textos modelo y registro de avisos de transparencia del artículo 50, información a personas afectadas por decisiones e instrucciones de uso internas, a partir de 34 §3.7, §3.9 y §3.11, 50 §7, P17 §8 y P24. Referencias consultadas en septiembre de 2026.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P49 · Avisos de transparencia e instrucciones de uso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P49 · Avisos de transparencia e instrucciones de uso</dc:title>
  <dc:creator>Fernando García · SEACHAD</dc:creator>
  <dc:language>es</dc:language>
  <dc:description>sha256:c2e76b15c3526f95e3a670a3c55358cbdcdf1ec51d35d915226a20ee107fc7d1</dc:description>
  <cp:keywords>SEVEN-G</cp:keywords>
</cp:coreProperties>
</file>