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Papeles de trabajo de auditoría</w:t>
      </w:r>
    </w:p>
    <w:p>
      <w:r>
        <w:rPr>
          <w:b/>
        </w:rPr>
        <w:t xml:space="preserve">Documenta cada auditoría de IA de principio a fin: planificación, apertura, pruebas con su muestra y su evidencia, cierre y seguimiento de las recomendaciones.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4819"/>
        <w:gridCol w:w="4819"/>
      </w:tblGrid>
      <w:tr>
        <w:tc>
          <w:tcPr>
            <w:tcW w:w="4819" w:type="dxa"/>
          </w:tcPr>
          <w:p>
            <w:pPr>
              <w:pStyle w:val="Celda"/>
            </w:pPr>
            <w:r>
              <w:t xml:space="preserve">Documento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Plantilla P59 · Papeles de trabajo de auditoría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Versión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0.1 (borrador de trabajo)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Fecha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19-09-2026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Autor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Fernando García · SEACHAD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Estado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Borrador para revisión.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Cita"/>
      </w:pPr>
      <w:r>
        <w:rPr>
          <w:b/>
        </w:rPr>
        <w:t xml:space="preserve">Aviso legal y exención de responsabilidad.</w:t>
      </w:r>
      <w:r>
        <w:t xml:space="preserve"> SEVEN-G es un marco metodológico de referencia que se ofrece «tal cual» y con fines exclusivamente informativos. No constituye asesoramiento jurídico, regulatorio, financiero ni profesional, ni garantiza el cumplimiento de ninguna norma. Las referencias a regulación general (como el Reglamento Europeo de IA, el RGPD, DORA o NIS2), a normas técnicas y a regulación específica de cada sector o jurisdicción pueden ser incompletas, no aplicar a un caso concreto o quedar desactualizadas por cambios normativos, interpretaciones o criterios de las autoridades posteriores a su fecha de consulta. </w:t>
      </w:r>
      <w:r>
        <w:rPr>
          <w:b/>
        </w:rPr>
        <w:t xml:space="preserve">Cada organización que use SEVEN-G es la única responsable de identificar la normativa que le aplica, verificar su vigencia y certificar su propio cumplimiento regulatorio</w:t>
      </w:r>
      <w:r>
        <w:t xml:space="preserve">, con el asesoramiento cualificado que corresponda. El autor y SEACHAD no asumen responsabilidad alguna por el uso que se haga de este contenido ni por las decisiones que se adopten con él. Los datos, cifras, compañías y casos de los ejemplos son ficticios o ilustrativos.</w:t>
      </w:r>
    </w:p>
    <w:p>
      <w:pPr>
        <w:pStyle w:val="Cita"/>
      </w:pPr>
      <w:r>
        <w:rPr>
          <w:b/>
        </w:rPr>
        <w:t xml:space="preserve">Por qué importa.</w:t>
      </w:r>
      <w:r>
        <w:t xml:space="preserve"> Una conclusión de auditoría vale lo que la evidencia que la sostiene. Los papeles de trabajo permiten que otro auditor, la revisión de calidad, el auditor de cuentas o un supervisor reconstruyan qué se probó, sobre qué muestra, con qué resultado y por qué se concluyó así. Sin ellos, un hallazgo se puede discutir como opinión y una conclusión Conforme no demuestra nada. El tamaño de muestra justificado evita concluir sobre tres casos elegidos a conveniencia.</w:t>
      </w:r>
    </w:p>
    <w:p>
      <w:pPr>
        <w:pStyle w:val="Heading1"/>
      </w:pPr>
      <w:r>
        <w:t xml:space="preserve">1. Instrucciones de uso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4819"/>
        <w:gridCol w:w="4819"/>
      </w:tblGrid>
      <w:tr>
        <w:trPr>
          <w:tblHeader/>
        </w:trPr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Aspecto</w:t>
            </w:r>
          </w:p>
        </w:tc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Indicación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Cuándo se usa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En toda auditoría del plan anual (P58) y en las no planificadas: de </w:t>
            </w:r>
            <w:r>
              <w:rPr>
                <w:i/>
              </w:rPr>
              <w:t xml:space="preserve">gate</w:t>
            </w:r>
            <w:r>
              <w:t xml:space="preserve">, de continuidad, del marco, temática, de proveedor y del valor. Se abre en la planificación y se cierra con la última nota de seguimiento.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la rellena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El auditor principal y los auditores del equipo; los expertos técnicos documentan sus pruebas bajo la dirección del auditor principal (38 §3.1).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la verifica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El responsable de auditoría de IA o un auditor distinto revisa los papeles antes del informe (revisión de calidad, 38 §12.2).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decide o aprueba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El auditor principal responde de la conclusión. El informe lo emite con P60.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Etapa, </w:t>
            </w:r>
            <w:r>
              <w:rPr>
                <w:b/>
                <w:i/>
              </w:rPr>
              <w:t xml:space="preserve">gate</w:t>
            </w:r>
            <w:r>
              <w:rPr>
                <w:b/>
              </w:rPr>
              <w:t xml:space="preserve"> o momento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Según el plan anual. En las auditorías de </w:t>
            </w:r>
            <w:r>
              <w:rPr>
                <w:i/>
              </w:rPr>
              <w:t xml:space="preserve">gate</w:t>
            </w:r>
            <w:r>
              <w:t xml:space="preserve"> las etapas se comprimen para respetar el plazo de decisión (38 §6.1): la verificación Enterprise debería concluir en un máximo de 7 días hábiles desde que las evidencias están completas.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Herramienta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No tiene herramienta propia. Las pruebas se apoyan en T01, T02, T03, T08, T10 y T12. Las fórmulas de la sección 7 permiten calcular los tamaños de muestra en una hoja de cálculo.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Documento de referencia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Documento 38 §6 (proceso y programas), §7 (técnicas y muestreo) y §10 (seguimiento); documento 21 §10.3–10.4.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Lite frente a Enterprise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En una auditoría de </w:t>
            </w:r>
            <w:r>
              <w:rPr>
                <w:i/>
              </w:rPr>
              <w:t xml:space="preserve">gate</w:t>
            </w:r>
            <w:r>
              <w:t xml:space="preserve"> Lite por muestra pueden omitirse las secciones 4 y 8 (actas de apertura y cierre), sustituidas por una comunicación escrita. El resto es obligatorio.</w:t>
            </w:r>
          </w:p>
        </w:tc>
      </w:tr>
    </w:tbl>
    <w:p>
      <w:pPr>
        <w:pStyle w:val="Espacio"/>
      </w:pPr>
    </w:p>
    <w:p>
      <w:r>
        <w:t xml:space="preserve">Reglas de cumplimentación:</w:t>
      </w:r>
    </w:p>
    <w:p>
      <w:pPr>
        <w:pStyle w:val="Lista"/>
      </w:pPr>
      <w:r>
        <w:t xml:space="preserve">• La </w:t>
      </w:r>
      <w:r>
        <w:rPr>
          <w:b/>
        </w:rPr>
        <w:t xml:space="preserve">declaración de independencia</w:t>
      </w:r>
      <w:r>
        <w:t xml:space="preserve"> del auditor principal y de cada experto se firma </w:t>
      </w:r>
      <w:r>
        <w:rPr>
          <w:b/>
        </w:rPr>
        <w:t xml:space="preserve">antes</w:t>
      </w:r>
      <w:r>
        <w:t xml:space="preserve"> de empezar, con la plantilla P41, y se cita en la sección 2. Sin ella no se inicia el trabajo.</w:t>
      </w:r>
    </w:p>
    <w:p>
      <w:pPr>
        <w:pStyle w:val="Lista"/>
      </w:pPr>
      <w:r>
        <w:t xml:space="preserve">• Cada prueba tiene su propio papel de trabajo (sección 6), con referencia correlativa dentro de la auditoría: AUD-AAAA-NNN/PT-01, PT-02…</w:t>
      </w:r>
    </w:p>
    <w:p>
      <w:pPr>
        <w:pStyle w:val="Lista"/>
      </w:pPr>
      <w:r>
        <w:t xml:space="preserve">• Siempre que sea posible se analiza la </w:t>
      </w:r>
      <w:r>
        <w:rPr>
          <w:b/>
        </w:rPr>
        <w:t xml:space="preserve">población completa</w:t>
      </w:r>
      <w:r>
        <w:t xml:space="preserve">. Si se muestrea, el tamaño se justifica con la sección 7 y se documenta el método de selección y la semilla.</w:t>
      </w:r>
    </w:p>
    <w:p>
      <w:pPr>
        <w:pStyle w:val="Lista"/>
      </w:pPr>
      <w:r>
        <w:t xml:space="preserve">• Las pruebas técnicas se hacen </w:t>
      </w:r>
      <w:r>
        <w:rPr>
          <w:b/>
        </w:rPr>
        <w:t xml:space="preserve">sin alterar la producción</w:t>
      </w:r>
      <w:r>
        <w:t xml:space="preserve"> y con la versión exacta del sistema anotada (38 §7.3).</w:t>
      </w:r>
    </w:p>
    <w:p>
      <w:pPr>
        <w:pStyle w:val="Lista"/>
      </w:pPr>
      <w:r>
        <w:t xml:space="preserve">• El contraste de hallazgos con el responsable sirve para confirmar hechos, </w:t>
      </w:r>
      <w:r>
        <w:rPr>
          <w:b/>
        </w:rPr>
        <w:t xml:space="preserve">no para negociar la clasificación</w:t>
      </w:r>
      <w:r>
        <w:t xml:space="preserve">.</w:t>
      </w:r>
    </w:p>
    <w:p>
      <w:pPr>
        <w:pStyle w:val="Separador"/>
      </w:pPr>
    </w:p>
    <w:p>
      <w:pPr>
        <w:pStyle w:val="Heading1"/>
      </w:pPr>
      <w:r>
        <w:t xml:space="preserve">2. Identificación del encargo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Código de la auditoría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AUD-AAAA-NNN (P58).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Tipo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rPr>
                <w:i/>
              </w:rPr>
              <w:t xml:space="preserve">Gate</w:t>
            </w:r>
            <w:r>
              <w:t xml:space="preserve"> · Continuidad · Marco · Temática · Proveedor · Valor · Seguimiento · Reauditoría.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Objeto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SIA-AAAA-NNN, IA-AAAA-NNN, proveedor, proceso o tema.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Periodo auditado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DD-MM-AAAA a DD-MM-AAAA.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Auditor principal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Equipo y expertos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Nombre, especialidad y alcance de su trabajo.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Declaraciones de independencia (P41)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Referencia y fecha de cada una; todas anteriores al inicio.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Responsable del objeto auditado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Interlocutor de la auditoría.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Auditorías previas del mismo objeto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Códigos y hallazgos abiertos.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3. Memorando de planificación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Objetivo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Qué conclusión debe permitir la auditoría.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Alcance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Sistemas, versiones, procesos, periodos y ubicaciones incluidos.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Fuera de alcance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Lo que no se audita y por qué.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Criterios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Códigos G*n*.</w:t>
            </w:r>
            <w:r>
              <w:rPr>
                <w:i/>
              </w:rPr>
              <w:t xml:space="preserve">nn</w:t>
            </w:r>
            <w:r>
              <w:t xml:space="preserve"> o R6.</w:t>
            </w:r>
            <w:r>
              <w:rPr>
                <w:i/>
              </w:rPr>
              <w:t xml:space="preserve">nn</w:t>
            </w:r>
            <w:r>
              <w:t xml:space="preserve"> del documento 21, listas LV del documento 22, documentos y normas aplicables.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Información revisada para planificar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Ficha de inventario (P05), registro de riesgos (P12), incidentes (P27, T08), auditorías previas, R6.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Riesgos clave identificados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Qué podría ir mal en el objeto auditado y dónde se concentra la prueba.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Pruebas planificadas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Referencias PT de la sección 5.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Uso del trabajo de terceros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Informes independientes o de otras funciones de aseguramiento en los que se apoya el auditor, con la evaluación de su independencia, competencia, alcance y fecha (38 §7.3 y §12.2).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Accesos y datos necesarios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Con minimización de datos personales.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Calendario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Apertura, trabajo de campo, cierre, borrador, respuesta de la dirección e informe final (plazos orientativos de 38 §6.1).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Solicitud de información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Lista de documentos y registros pedidos, con fecha de entrega.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4. Acta de la reunión de apertura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Fecha y asistentes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Auditoría y responsables del objeto auditado.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Alcance y criterios presentados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Calendario acordado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Accesos concedidos y pendientes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Sistemas, entornos de prueba, registros.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Interlocutores por área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Restricciones comunicadas por el auditado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Si limitan el trabajo, se anotan también como limitación en P60.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5. Programa de pruebas</w:t>
      </w:r>
    </w:p>
    <w:p>
      <w:r>
        <w:t xml:space="preserve">Se marcan las pruebas que aplican al tipo de auditoría y se asigna a cada una su papel de trabajo. En las auditorías temáticas, de proveedor y del valor, el programa se construye con las preguntas del tema (38 §4.1), el documento 36 o las pruebas de 43 §12.3.</w:t>
      </w:r>
    </w:p>
    <w:p>
      <w:pPr>
        <w:pStyle w:val="Heading2"/>
      </w:pPr>
      <w:r>
        <w:t xml:space="preserve">5.1 Auditoría de </w:t>
      </w:r>
      <w:r>
        <w:rPr>
          <w:i/>
        </w:rPr>
        <w:t xml:space="preserve">gate</w:t>
      </w:r>
      <w:r>
        <w:t xml:space="preserve"> (38 §6.2)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#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Prueba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Aplica (Sí · No)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Referencia PT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Estado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1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Completitud de las evidencias obligatorias frente a LV-G*n*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Cumple · No cumple · No aplica · Pendiente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2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Trazabilidad: autor, fecha, versión y verificación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3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Anterioridad de las evidencias a la solicitud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4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Resultados tangibles reejecutados o recalculados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5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Criterios G*n*.</w:t>
            </w:r>
            <w:r>
              <w:rPr>
                <w:i/>
              </w:rPr>
              <w:t xml:space="preserve">nn</w:t>
            </w:r>
            <w:r>
              <w:t xml:space="preserve"> aplicables en Cumple con evidencia válida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6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Criterios por nivel de ambición (01 §7.6)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7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Separación de funciones (P03, T03)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8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Condiciones previas cumplidas o regla de condición vencida aplicada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9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Clasificación, intensidad y aceptación del riesgo residual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10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Controles críticos diseñados o probados (G4 y G5)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11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Firma multinivel sin veto pendiente (G5 Enterprise, P23)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Heading2"/>
      </w:pPr>
      <w:r>
        <w:t xml:space="preserve">5.2 Auditoría de continuidad (38 §6.3)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#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Área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Aplica (Sí · No)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Referencia PT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Estado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1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Inventario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2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Clasificación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3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Monitorización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4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Rendimiento y degradación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5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Supervisión humana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6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Incidentes y cambios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7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Agentes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8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Valor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9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Coste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10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Cumplimiento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11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Revisiones R6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6. Papel de trabajo por prueba</w:t>
      </w:r>
    </w:p>
    <w:p>
      <w:r>
        <w:t xml:space="preserve">Se copia este bloque para cada prueba.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Referencia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AUD-AAAA-NNN/PT-NN.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Prueba y área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Número del programa de la sección 5.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Objetivo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Qué se quiere comprobar.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Criterio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Requisito con referencia exacta (código del documento 21, regla EV, apartado de un documento, plantilla).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Población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Qué elementos forman la población, cuántos son y de qué fuente salen.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Técnica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Revisión de evidencias · Indagación · Observación · Inspección de configuraciones · Reejecución · Análisis de datos · Confirmación externa · Análisis forense de versiones (38 §7.1).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Muestra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Tamaño, cálculo (sección 7), método de selección y semilla; o «población completa».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Procedimiento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Pasos seguidos, de forma que otro auditor pueda repetirlos.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Resultado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Elementos probados, desviaciones encontradas y su naturaleza.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Evidencia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Documentos, extractos, capturas o registros obtenidos, con ubicación en el expediente.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Conclusión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Sin desviaciones · Hallazgo H-NN (clase provisional).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Elaborado por y fecha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Revisado por y fecha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Revisión de calidad.</w:t>
            </w:r>
          </w:p>
        </w:tc>
      </w:tr>
    </w:tbl>
    <w:p>
      <w:pPr>
        <w:pStyle w:val="Espacio"/>
      </w:pPr>
    </w:p>
    <w:p>
      <w:r>
        <w:t xml:space="preserve">Detalle de la muestra: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Elemento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Identificador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Atributo comprobado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Resultado (Cumple · No cumple)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Evidencia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Comentario</w:t>
            </w: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1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2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rPr>
          <w:i/>
        </w:rPr>
        <w:t xml:space="preserve">(ejemplo ilustrativo)</w:t>
      </w:r>
      <w:r>
        <w:t xml:space="preserve"> PT-05 de una auditoría de continuidad: </w:t>
      </w:r>
      <w:r>
        <w:rPr>
          <w:b/>
        </w:rPr>
        <w:t xml:space="preserve">objetivo</w:t>
      </w:r>
      <w:r>
        <w:t xml:space="preserve">, comprobar que la supervisión humana definida en P17 se ejerce sobre las respuestas que el asistente marca como dudosas; </w:t>
      </w:r>
      <w:r>
        <w:rPr>
          <w:b/>
        </w:rPr>
        <w:t xml:space="preserve">población</w:t>
      </w:r>
      <w:r>
        <w:t xml:space="preserve">, 1.240 respuestas marcadas en el periodo según el registro del sistema; </w:t>
      </w:r>
      <w:r>
        <w:rPr>
          <w:b/>
        </w:rPr>
        <w:t xml:space="preserve">muestra</w:t>
      </w:r>
      <w:r>
        <w:t xml:space="preserve">, 29 (confianza del 95 %, tasa tolerable del 10 %), selección aleatoria con semilla 4817; </w:t>
      </w:r>
      <w:r>
        <w:rPr>
          <w:b/>
        </w:rPr>
        <w:t xml:space="preserve">resultado</w:t>
      </w:r>
      <w:r>
        <w:t xml:space="preserve">, 28 con revisión registrada y 1 sin revisión por una caída del turno de noche; </w:t>
      </w:r>
      <w:r>
        <w:rPr>
          <w:b/>
        </w:rPr>
        <w:t xml:space="preserve">conclusión</w:t>
      </w:r>
      <w:r>
        <w:t xml:space="preserve">, hallazgo H-02, no conformidad menor provisional, pendiente de valorar si la desviación es sistemática.</w:t>
      </w:r>
    </w:p>
    <w:p>
      <w:pPr>
        <w:pStyle w:val="Separador"/>
      </w:pPr>
    </w:p>
    <w:p>
      <w:pPr>
        <w:pStyle w:val="Heading1"/>
      </w:pPr>
      <w:r>
        <w:t xml:space="preserve">7. Cálculo del tamaño de muestra</w:t>
      </w:r>
    </w:p>
    <w:p>
      <w:pPr>
        <w:pStyle w:val="Heading2"/>
      </w:pPr>
      <w:r>
        <w:t xml:space="preserve">7.1 Muestreo de atributos para controles</w:t>
      </w:r>
    </w:p>
    <w:p>
      <w:r>
        <w:t xml:space="preserve">Con cero desviaciones esperadas, confianza </w:t>
      </w:r>
      <w:r>
        <w:rPr>
          <w:i/>
        </w:rPr>
        <w:t xml:space="preserve">C</w:t>
      </w:r>
      <w:r>
        <w:t xml:space="preserve"> y tasa tolerable </w:t>
      </w:r>
      <w:r>
        <w:rPr>
          <w:i/>
        </w:rPr>
        <w:t xml:space="preserve">T</w:t>
      </w:r>
      <w:r>
        <w:t xml:space="preserve"> (38 §7.2): </w:t>
      </w:r>
      <w:r>
        <w:rPr>
          <w:i/>
        </w:rPr>
        <w:t xml:space="preserve">n = ln(1 − C) ÷ ln(1 − T)</w:t>
      </w:r>
      <w:r>
        <w:t xml:space="preserve">, redondeado al alza. Con población reducida </w:t>
      </w:r>
      <w:r>
        <w:rPr>
          <w:i/>
        </w:rPr>
        <w:t xml:space="preserve">N</w:t>
      </w:r>
      <w:r>
        <w:t xml:space="preserve">: </w:t>
      </w:r>
      <w:r>
        <w:rPr>
          <w:i/>
        </w:rPr>
        <w:t xml:space="preserve">n' = n ÷ (1 + (n − 1) ÷ N)</w:t>
      </w:r>
      <w:r>
        <w:t xml:space="preserve">, redondeado al alza; si </w:t>
      </w:r>
      <w:r>
        <w:rPr>
          <w:i/>
        </w:rPr>
        <w:t xml:space="preserve">N</w:t>
      </w:r>
      <w:r>
        <w:t xml:space="preserve"> es igual o menor que la muestra, se revisa la población completa.</w:t>
      </w:r>
    </w:p>
    <w:p>
      <w:r>
        <w:t xml:space="preserve">En una hoja de cálculo:</w:t>
      </w:r>
    </w:p>
    <w:p>
      <w:pPr>
        <w:pStyle w:val="Lista"/>
      </w:pPr>
      <w:r>
        <w:t xml:space="preserve">• Tamaño: </w:t>
      </w:r>
      <w:r>
        <w:rPr>
          <w:rFonts w:ascii="Consolas" w:hAnsi="Consolas"/>
          <w:sz w:val="18"/>
        </w:rPr>
        <w:t xml:space="preserve">=REDONDEAR.MAS(LN(1-C)/LN(1-T);0)</w:t>
      </w:r>
    </w:p>
    <w:p>
      <w:pPr>
        <w:pStyle w:val="Lista"/>
      </w:pPr>
      <w:r>
        <w:t xml:space="preserve">• Corrección por población: </w:t>
      </w:r>
      <w:r>
        <w:rPr>
          <w:rFonts w:ascii="Consolas" w:hAnsi="Consolas"/>
          <w:sz w:val="18"/>
        </w:rPr>
        <w:t xml:space="preserve">=SI(N&lt;=n;N;REDONDEAR.MAS(n/(1+(n-1)/N);0))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Confianza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Tasa tolerable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Tamaño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Uso orientativo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90 %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20 %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11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rPr>
                <w:i/>
              </w:rPr>
              <w:t xml:space="preserve">Gates</w:t>
            </w:r>
            <w:r>
              <w:t xml:space="preserve"> Lite de bajo riesgo; controles de riesgo bajo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95 %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20 %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14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Controles de riesgo moderado con población reducida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90 %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10 %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22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Fichas de inventario de uso corporativo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95 %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10 %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29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Controles relevantes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95 %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5 %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59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Controles críticos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99 %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5 %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90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Controles críticos con alta exposición o antecedentes de incidentes</w:t>
            </w:r>
          </w:p>
        </w:tc>
      </w:tr>
    </w:tbl>
    <w:p>
      <w:pPr>
        <w:pStyle w:val="Espacio"/>
      </w:pPr>
    </w:p>
    <w:p>
      <w:pPr>
        <w:pStyle w:val="Heading2"/>
      </w:pPr>
      <w:r>
        <w:t xml:space="preserve">7.2 Controles periódicos</w:t>
      </w:r>
    </w:p>
    <w:p>
      <w:r>
        <w:t xml:space="preserve">Referencia práctica, no estadística: 1 de 1 anual · 2 de 4 trimestrales · 2 a 5 de 12 mensuales · 5 a 15 semanales · 20 a 40 diarios o múltiples al día. El auditor puede aumentar estos tamaños según el riesgo.</w:t>
      </w:r>
    </w:p>
    <w:p>
      <w:pPr>
        <w:pStyle w:val="Heading2"/>
      </w:pPr>
      <w:r>
        <w:t xml:space="preserve">7.3 Estimación de proporciones en resultados de modelos</w:t>
      </w:r>
    </w:p>
    <w:p>
      <w:r>
        <w:t xml:space="preserve">Con confianza del 95 % y proporción más desfavorable (50 %): </w:t>
      </w:r>
      <w:r>
        <w:rPr>
          <w:i/>
        </w:rPr>
        <w:t xml:space="preserve">n = 1,96² × 0,5 × 0,5 ÷ e²</w:t>
      </w:r>
      <w:r>
        <w:t xml:space="preserve">. En una hoja de cálculo: </w:t>
      </w:r>
      <w:r>
        <w:rPr>
          <w:rFonts w:ascii="Consolas" w:hAnsi="Consolas"/>
          <w:sz w:val="18"/>
        </w:rPr>
        <w:t xml:space="preserve">=REDONDEAR.MAS(1,96^2*0,25/e^2;0)</w:t>
      </w:r>
      <w:r>
        <w:t xml:space="preserve"> (± 10 puntos: 97 · ± 5: 385 · ± 3: 1.068). En pruebas de sesgo se calcula el tamaño </w:t>
      </w:r>
      <w:r>
        <w:rPr>
          <w:b/>
        </w:rPr>
        <w:t xml:space="preserve">por grupo</w:t>
      </w:r>
      <w:r>
        <w:t xml:space="preserve">.</w:t>
      </w:r>
    </w:p>
    <w:p>
      <w:pPr>
        <w:pStyle w:val="Heading2"/>
      </w:pPr>
      <w:r>
        <w:t xml:space="preserve">7.4 Registro del cálculo por prueba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rPr>
          <w:tblHeader/>
        </w:trPr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Referencia PT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Tipo de muestreo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Población </w:t>
            </w:r>
            <w:r>
              <w:rPr>
                <w:b/>
                <w:i/>
              </w:rPr>
              <w:t xml:space="preserve">N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Confianza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Tasa tolerable o margen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Tamaño calculado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Tamaño tras corrección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Método de selección y semilla</w:t>
            </w:r>
          </w:p>
        </w:tc>
      </w:tr>
      <w:tr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Atributos · Periódico · Proporción · Dirigida · Población completa</w:t>
            </w: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</w:tr>
      <w:tr>
        <w:tc>
          <w:tcPr>
            <w:tcW w:w="1205" w:type="dxa"/>
          </w:tcPr>
          <w:p>
            <w:pPr>
              <w:pStyle w:val="Celda"/>
            </w:pPr>
            <w:r>
              <w:rPr>
                <w:i/>
              </w:rPr>
              <w:t xml:space="preserve">(ejemplo ilustrativo)</w:t>
            </w:r>
            <w:r>
              <w:t xml:space="preserve"> PT-05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Atributos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1.240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95 %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10 %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29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29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Aleatoria · semilla 4817</w:t>
            </w:r>
          </w:p>
        </w:tc>
      </w:tr>
    </w:tbl>
    <w:p>
      <w:pPr>
        <w:pStyle w:val="Espacio"/>
      </w:pPr>
    </w:p>
    <w:p>
      <w:r>
        <w:t xml:space="preserve">Si aparece una desviación en una muestra diseñada con cero desviaciones esperadas, no se concluye que el control funciona al nivel planificado: se evalúa su causa y, si se amplía la muestra, se replanifica con una tasa esperada distinta de cero y se documenta. La selección dirigida detecta problemas, pero no permite extrapolar.</w:t>
      </w:r>
    </w:p>
    <w:p>
      <w:pPr>
        <w:pStyle w:val="Separador"/>
      </w:pPr>
    </w:p>
    <w:p>
      <w:pPr>
        <w:pStyle w:val="Heading1"/>
      </w:pPr>
      <w:r>
        <w:t xml:space="preserve">8. Contraste de hallazgos y acta de la reunión de cierre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Hallazgo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Comunicado a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Hechos confirmados (Sí · No)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Comentarios del responsable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Posición del auditor</w:t>
            </w: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H-01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Fecha y asistentes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Hallazgos presentados y clasificación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Observación · No conformidad menor · mayor · crítica (38 §8.1).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Resultado provisional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Conforme · Conforme con observaciones · No conforme.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Discrepancias de la dirección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Se recogen en la respuesta de la dirección de P60.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No conformidades críticas comunicadas por escalado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Toda no conformidad crítica se comunica en cuanto se confirma, antes del informe (30, E-5).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Plazos acordados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Borrador, respuesta de la dirección e informe final.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9. Nota de seguimiento de recomendaciones</w:t>
      </w:r>
    </w:p>
    <w:p>
      <w:r>
        <w:t xml:space="preserve">Una nota por verificación (38 §10).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Auditoría de origen y hallazgo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AUD-AAAA-NNN · H-NN · NC-AAAA-NNN (T08).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Clase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Observación · No conformidad menor · mayor · crítica.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Acción comprometida, responsable y plazo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De la respuesta de la dirección en P60.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Verificación realizada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Documental (menor) · De eficacia durante un periodo razonable (mayor y crítica) · Prueba técnica cuando proceda.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Evidencia obtenida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Resultado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Corregido · Corregido sin eficacia demostrada · No corregido · Riesgo aceptado.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Si riesgo aceptado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Órgano que acepta con nivel suficiente (30 §7.2), fecha y acta. No cabe si el incumplimiento es legal.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Si vencida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Escalado según 30 §8.2; una no conformidad mayor no corregida en plazo se reclasifica como crítica si el riesgo que controla es Alto o Crítico.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Estado en T08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Abierta · Cerrada.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Verificado por y fecha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t xml:space="preserve">Cerrar no es implantar: una acción implantada sin evidencia de eficacia no cierra una no conformidad mayor o crítica.</w:t>
      </w:r>
    </w:p>
    <w:p>
      <w:pPr>
        <w:pStyle w:val="Separador"/>
      </w:pPr>
    </w:p>
    <w:p>
      <w:pPr>
        <w:pStyle w:val="Heading1"/>
      </w:pPr>
      <w:r>
        <w:t xml:space="preserve">10. Criterios de calidad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#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Comprobación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Estado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1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Las declaraciones de independencia (P41) son anteriores al inicio y cubren a todo el equipo y a los expertos.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Cumple · No cumple · No aplica · Pendiente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2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El memorando fija objetivo, alcance, criterios y riesgos clave antes del trabajo de campo.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3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Cada prueba tiene papel de trabajo con objetivo, criterio, población, muestra, procedimiento, resultado, evidencia y conclusión.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4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Los tamaños de muestra están justificados y el método de selección es reproducible.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5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Las pruebas de anterioridad comparan fechas de evidencias con los eventos de T01 (38 §6.2, prueba 3).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6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Las pruebas técnicas documentan la versión del sistema y no alteraron la producción.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7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Cada hallazgo se contrastó con el responsable y remite a su papel de trabajo.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8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Las notas de seguimiento verifican la eficacia en las no conformidades mayores y críticas.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11. Aprobación y verificación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Función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Rol en SEVEN-G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Nombre y cargo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Firma o referencia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Elabora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Auditor de IA (auditor principal) y equipo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Aporta pruebas especializadas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Experto técnico de apoyo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Revisa la calidad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Responsable de auditoría de IA u otro auditor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Recibe el acta de cierre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Responsable del objeto auditado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t xml:space="preserve">Separación de funciones: quien ha tenido rol en el diseño, la construcción u operación del objeto, o ha asesorado sobre sus controles en los doce meses anteriores, no elabora ni revisa estos papeles (30, I-10 e I-11).</w:t>
      </w:r>
    </w:p>
    <w:p>
      <w:pPr>
        <w:pStyle w:val="Separador"/>
      </w:pPr>
    </w:p>
    <w:p>
      <w:pPr>
        <w:pStyle w:val="Heading1"/>
      </w:pPr>
      <w:r>
        <w:t xml:space="preserve">12. Control de versiones</w:t>
      </w:r>
    </w:p>
    <w:p>
      <w:r>
        <w:rPr>
          <w:b/>
        </w:rPr>
        <w:t xml:space="preserve">Documento cumplimentado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Versión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Autor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Cambios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rPr>
          <w:b/>
        </w:rPr>
        <w:t xml:space="preserve">Plantilla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Versión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Cambios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0.1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19-09-2026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Primera versión. Aplica el programa de trabajo tipo, los programas de </w:t>
            </w:r>
            <w:r>
              <w:rPr>
                <w:i/>
              </w:rPr>
              <w:t xml:space="preserve">gate</w:t>
            </w:r>
            <w:r>
              <w:t xml:space="preserve"> y de continuidad, las técnicas, las fórmulas de muestreo y el seguimiento de 38 §6, §7 y §10; propone la referencia de papel de trabajo AUD-AAAA-NNN/PT-NN.</w:t>
            </w:r>
          </w:p>
        </w:tc>
      </w:tr>
    </w:tbl>
    <w:p>
      <w:pPr>
        <w:pStyle w:val="Espacio"/>
      </w:pPr>
    </w:p>
    <w:sectPr>
      <w:footerReference w:type="default" r:id="rId2"/>
      <w:pgSz w:w="11906" w:h="16838"/>
      <w:pgMar w:top="1134" w:right="1134" w:bottom="1134" w:left="1134" w:header="567" w:footer="567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pStyle w:val="Pie"/>
    </w:pPr>
    <w:r>
      <w:t xml:space="preserve">SEVEN-G · Plantilla P59 · Papeles de trabajo de auditoría · CC BY 4.0 · Fernando García · SEACHAD · Generada desde la fuente Markdown: no edite la plantilla, rellene una copia.</w:t>
    </w:r>
    <w:r>
      <w:rPr>
        <w:color w:val="66605C"/>
        <w:sz w:val="15"/>
      </w:rPr>
      <w:t xml:space="preserve"> · </w:t>
    </w:r>
    <w:r>
      <w:rPr>
        <w:sz w:val="15"/>
      </w:rPr>
      <w:fldChar w:fldCharType="begin"/>
    </w:r>
    <w:r>
      <w:rPr>
        <w:sz w:val="15"/>
      </w:rPr>
      <w:instrText xml:space="preserve"> PAGE </w:instrText>
    </w:r>
    <w:r>
      <w:rPr>
        <w:sz w:val="15"/>
      </w:rPr>
      <w:fldChar w:fldCharType="separate"/>
    </w:r>
    <w:r>
      <w:rPr>
        <w:sz w:val="15"/>
      </w:rPr>
      <w:t>1</w:t>
    </w:r>
    <w:r>
      <w:rPr>
        <w:sz w:val="15"/>
      </w:rPr>
      <w:fldChar w:fldCharType="end"/>
    </w:r>
  </w:p>
</w:ftr>
</file>

<file path=word/styles.xml><?xml version="1.0" encoding="utf-8"?>
<w:styles xmlns:w="http://schemas.openxmlformats.org/wordprocessingml/2006/main">
  <w:docDefaults>
    <w:rPrDefault>
      <w:rPr>
        <w:rFonts w:ascii="Georgia" w:hAnsi="Georgia" w:eastAsia="Georgia" w:cs="Georgia"/>
        <w:color w:val="1A1817"/>
        <w:sz w:val="20"/>
        <w:szCs w:val="20"/>
        <w:lang w:val="es-ES"/>
      </w:rPr>
    </w:rPrDefault>
    <w:pPrDefault>
      <w:pPr>
        <w:spacing w:after="120" w:line="264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spacing w:after="160"/>
    </w:pPr>
    <w:rPr>
      <w:b/>
      <w:color w:val="1A1817"/>
      <w:sz w:val="40"/>
    </w:rPr>
  </w:style>
  <w:style w:type="paragraph" w:styleId="Heading1">
    <w:name w:val="heading 1"/>
    <w:basedOn w:val="Normal"/>
    <w:next w:val="Normal"/>
    <w:qFormat/>
    <w:pPr>
      <w:keepNext/>
      <w:pBdr>
        <w:top w:val="single" w:sz="12" w:space="4" w:color="990F3D"/>
      </w:pBdr>
      <w:spacing w:before="360" w:after="120"/>
      <w:outlineLvl w:val="0"/>
    </w:pPr>
    <w:rPr>
      <w:b/>
      <w:color w:val="990F3D"/>
      <w:sz w:val="28"/>
    </w:rPr>
  </w:style>
  <w:style w:type="paragraph" w:styleId="Heading2">
    <w:name w:val="heading 2"/>
    <w:basedOn w:val="Normal"/>
    <w:next w:val="Normal"/>
    <w:qFormat/>
    <w:pPr>
      <w:keepNext/>
      <w:spacing w:before="240" w:after="80"/>
      <w:outlineLvl w:val="1"/>
    </w:pPr>
    <w:rPr>
      <w:b/>
      <w:color w:val="0D7680"/>
      <w:sz w:val="24"/>
    </w:rPr>
  </w:style>
  <w:style w:type="paragraph" w:styleId="Heading3">
    <w:name w:val="heading 3"/>
    <w:basedOn w:val="Normal"/>
    <w:next w:val="Normal"/>
    <w:qFormat/>
    <w:pPr>
      <w:keepNext/>
      <w:spacing w:before="200" w:after="60"/>
      <w:outlineLvl w:val="2"/>
    </w:pPr>
    <w:rPr>
      <w:b/>
      <w:sz w:val="21"/>
    </w:rPr>
  </w:style>
  <w:style w:type="paragraph" w:styleId="Cita">
    <w:name w:val="Cita SEVEN-G"/>
    <w:basedOn w:val="Normal"/>
    <w:pPr>
      <w:pBdr>
        <w:left w:val="single" w:sz="18" w:space="8" w:color="990F3D"/>
      </w:pBdr>
      <w:shd w:val="clear" w:color="auto" w:fill="FFF1E5"/>
      <w:ind w:left="240" w:right="120"/>
      <w:spacing w:before="120" w:after="160"/>
    </w:pPr>
    <w:rPr>
      <w:sz w:val="17"/>
    </w:rPr>
  </w:style>
  <w:style w:type="paragraph" w:styleId="Celda">
    <w:name w:val="Celda"/>
    <w:basedOn w:val="Normal"/>
    <w:pPr>
      <w:spacing w:before="20" w:after="20" w:line="240" w:lineRule="auto"/>
    </w:pPr>
    <w:rPr>
      <w:sz w:val="17"/>
    </w:rPr>
  </w:style>
  <w:style w:type="paragraph" w:styleId="Lista">
    <w:name w:val="Lista SEVEN-G"/>
    <w:basedOn w:val="Normal"/>
    <w:pPr>
      <w:ind w:left="360" w:hanging="240"/>
      <w:spacing w:after="60"/>
    </w:pPr>
  </w:style>
  <w:style w:type="paragraph" w:styleId="Lista2">
    <w:name w:val="Lista SEVEN-G 2"/>
    <w:basedOn w:val="Lista"/>
    <w:pPr>
      <w:ind w:left="720" w:hanging="240"/>
    </w:pPr>
  </w:style>
  <w:style w:type="paragraph" w:styleId="Separador">
    <w:name w:val="Separador"/>
    <w:basedOn w:val="Normal"/>
    <w:pPr>
      <w:pBdr>
        <w:bottom w:val="single" w:sz="4" w:space="1" w:color="CCC1B7"/>
      </w:pBdr>
      <w:spacing w:after="120"/>
    </w:pPr>
  </w:style>
  <w:style w:type="paragraph" w:styleId="Espacio">
    <w:name w:val="Espacio"/>
    <w:basedOn w:val="Normal"/>
    <w:pPr>
      <w:spacing w:after="60" w:line="120" w:lineRule="exact"/>
    </w:pPr>
  </w:style>
  <w:style w:type="paragraph" w:styleId="Pie">
    <w:name w:val="footer"/>
    <w:basedOn w:val="Normal"/>
    <w:rPr>
      <w:color w:val="66605C"/>
      <w:sz w:val="15"/>
    </w:rPr>
  </w:style>
  <w:style w:type="table" w:styleId="TablaSG">
    <w:name w:val="Tabla SEVEN-G"/>
    <w:tblPr>
      <w:tblBorders>
        <w:top w:val="single" w:sz="4" w:space="0" w:color="CCC1B7"/>
        <w:left w:val="single" w:sz="4" w:space="0" w:color="CCC1B7"/>
        <w:bottom w:val="single" w:sz="4" w:space="0" w:color="CCC1B7"/>
        <w:right w:val="single" w:sz="4" w:space="0" w:color="CCC1B7"/>
        <w:insideH w:val="single" w:sz="4" w:space="0" w:color="CCC1B7"/>
        <w:insideV w:val="single" w:sz="4" w:space="0" w:color="CCC1B7"/>
      </w:tblBorders>
      <w:tblCellMar>
        <w:top w:w="40" w:type="dxa"/>
        <w:left w:w="80" w:type="dxa"/>
        <w:bottom w:w="40" w:type="dxa"/>
        <w:right w:w="80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SEVEN-G docx.ps1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P59 · Papeles de trabajo de auditoría</dc:title>
  <dc:creator>Fernando García · SEACHAD</dc:creator>
  <dc:language>es</dc:language>
  <dc:description>sha256:eeee169ddcf346162697afa934f0fd93f547978b8f1353160cc319dcaddcc3d4</dc:description>
  <cp:keywords>SEVEN-G</cp:keywords>
</cp:coreProperties>
</file>