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Matriz y registro de riesgos</w:t>
      </w:r>
    </w:p>
    <w:p>
      <w:r>
        <w:rPr>
          <w:b/>
        </w:rPr>
        <w:t xml:space="preserve">Identifica, valora y sigue los riesgos de la iniciativa con escalas comunes, nivel inherente y residual, respuesta y aceptación por el órgano que corresponde.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c>
          <w:tcPr>
            <w:tcW w:w="4819" w:type="dxa"/>
          </w:tcPr>
          <w:p>
            <w:pPr>
              <w:pStyle w:val="Celda"/>
            </w:pPr>
            <w:r>
              <w:t xml:space="preserve">Documento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Plantilla P12 · Matriz y registro de riesgos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Versión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0.1 (borrador de trabajo)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16-09-2026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Fernando García · SEACHAD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Estado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Borrador para revisión.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Cita"/>
      </w:pPr>
      <w:r>
        <w:rPr>
          <w:b/>
        </w:rPr>
        <w:t xml:space="preserve">Aviso legal y exención de responsabilidad.</w:t>
      </w:r>
      <w:r>
        <w:t xml:space="preserve"> SEVEN-G es un marco metodológico de referencia que se ofrece «tal cual» y con fines exclusivamente informativos. No constituye asesoramiento jurídico, regulatorio, financiero ni profesional, ni garantiza el cumplimiento de ninguna norma. Las referencias a regulación general (como el Reglamento Europeo de IA, el RGPD, DORA o NIS2), a normas técnicas y a regulación específica de cada sector o jurisdicción pueden ser incompletas, no aplicar a un caso concreto o quedar desactualizadas por cambios normativos, interpretaciones o criterios de las autoridades posteriores a su fecha de consulta. </w:t>
      </w:r>
      <w:r>
        <w:rPr>
          <w:b/>
        </w:rPr>
        <w:t xml:space="preserve">Cada organización que use SEVEN-G es la única responsable de identificar la normativa que le aplica, verificar su vigencia y certificar su propio cumplimiento regulatorio</w:t>
      </w:r>
      <w:r>
        <w:t xml:space="preserve">, con el asesoramiento cualificado que corresponda. El autor y SEACHAD no asumen responsabilidad alguna por el uso que se haga de este contenido ni por las decisiones que se adopten con él. Los datos, cifras, compañías y casos de los ejemplos son ficticios o ilustrativos.</w:t>
      </w:r>
    </w:p>
    <w:p>
      <w:pPr>
        <w:pStyle w:val="Heading1"/>
      </w:pPr>
      <w:r>
        <w:t xml:space="preserve">1. Instrucciones de uso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rPr>
          <w:tblHeader/>
        </w:trPr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Aspecto</w:t>
            </w:r>
          </w:p>
        </w:tc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Indicación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Cuándo se usa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Se crea en la fase 3 y es un registro vivo: se actualiza en la fase 5 (registro de riesgos actualizado antes de G5), en la fase 6 y en cada R6, y siempre que se materialice un riesgo, cambie la clasificación o aparezca un riesgo nuevo.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rellena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El responsable de riesgos de IA coordina y valora; el responsable de producto y el responsable técnico identifican riesgos y proponen controles; cada riesgo tiene un responsable.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verifica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Lite: responsable de riesgos en G3 y G5; si él ha elaborado el registro, verifica la oficina de IA o el auditor de IA. Enterprise: auditor de IA.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decide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La aceptación del riesgo residual la decide el órgano de la sección 6 según el nivel. El </w:t>
            </w:r>
            <w:r>
              <w:rPr>
                <w:i/>
              </w:rPr>
              <w:t xml:space="preserve">gate</w:t>
            </w:r>
            <w:r>
              <w:t xml:space="preserve"> lo decide el órgano de 01 §7.5.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Gate en que se revisa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G3 · Viabilidad, G5 · Puesta en producción y R6 · Revisión de continuidad.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Herramienta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T06 · Matriz y registro de riesgos: vista «Riesgos» y pestaña «Riesgos» de la ficha del registro T01, con los mismos campos, escalas, matriz de calor y reglas de aceptación que esta plantilla, y exportación CSV.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Lite frente a Enterprise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Lite puede omitir las columnas y bloques marcados </w:t>
            </w:r>
            <w:r>
              <w:rPr>
                <w:b/>
              </w:rPr>
              <w:t xml:space="preserve">(Enterprise)</w:t>
            </w:r>
            <w:r>
              <w:t xml:space="preserve">. Las escalas, los niveles inherente y residual, la respuesta y la aceptación son obligatorios en ambas.</w:t>
            </w:r>
          </w:p>
        </w:tc>
      </w:tr>
    </w:tbl>
    <w:p>
      <w:pPr>
        <w:pStyle w:val="Espacio"/>
      </w:pPr>
    </w:p>
    <w:p>
      <w:r>
        <w:t xml:space="preserve">Reglas de cumplimentación:</w:t>
      </w:r>
    </w:p>
    <w:p>
      <w:pPr>
        <w:pStyle w:val="Lista"/>
      </w:pPr>
      <w:r>
        <w:t xml:space="preserve">• Las escalas y los niveles son </w:t>
      </w:r>
      <w:r>
        <w:rPr>
          <w:b/>
        </w:rPr>
        <w:t xml:space="preserve">los de la especificación común §5.1 y el documento 33</w:t>
      </w:r>
      <w:r>
        <w:t xml:space="preserve">. No se modifican por iniciativa.</w:t>
      </w:r>
    </w:p>
    <w:p>
      <w:pPr>
        <w:pStyle w:val="Lista"/>
      </w:pPr>
      <w:r>
        <w:t xml:space="preserve">• El impacto se valora en </w:t>
      </w:r>
      <w:r>
        <w:rPr>
          <w:b/>
        </w:rPr>
        <w:t xml:space="preserve">cinco ejes</w:t>
      </w:r>
      <w:r>
        <w:t xml:space="preserve"> y se toma el </w:t>
      </w:r>
      <w:r>
        <w:rPr>
          <w:b/>
        </w:rPr>
        <w:t xml:space="preserve">mayor</w:t>
      </w:r>
      <w:r>
        <w:t xml:space="preserve">.</w:t>
      </w:r>
    </w:p>
    <w:p>
      <w:pPr>
        <w:pStyle w:val="Lista"/>
      </w:pPr>
      <w:r>
        <w:t xml:space="preserve">• El nivel se calcula </w:t>
      </w:r>
      <w:r>
        <w:rPr>
          <w:b/>
        </w:rPr>
        <w:t xml:space="preserve">inherente</w:t>
      </w:r>
      <w:r>
        <w:t xml:space="preserve"> (sin controles) y </w:t>
      </w:r>
      <w:r>
        <w:rPr>
          <w:b/>
        </w:rPr>
        <w:t xml:space="preserve">residual</w:t>
      </w:r>
      <w:r>
        <w:t xml:space="preserve"> (con controles eficaces). Un control solo reduce el residual si existe y funciona; los controles previstos se indican aparte.</w:t>
      </w:r>
    </w:p>
    <w:p>
      <w:pPr>
        <w:pStyle w:val="Lista"/>
      </w:pPr>
      <w:r>
        <w:t xml:space="preserve">• Un riesgo residual </w:t>
      </w:r>
      <w:r>
        <w:rPr>
          <w:b/>
        </w:rPr>
        <w:t xml:space="preserve">Crítico</w:t>
      </w:r>
      <w:r>
        <w:t xml:space="preserve"> sin aprobación del consejo o de su comisión delegada </w:t>
      </w:r>
      <w:r>
        <w:rPr>
          <w:b/>
        </w:rPr>
        <w:t xml:space="preserve">bloquea G3 y G5</w:t>
      </w:r>
      <w:r>
        <w:t xml:space="preserve">.</w:t>
      </w:r>
    </w:p>
    <w:p>
      <w:pPr>
        <w:pStyle w:val="Lista"/>
      </w:pPr>
      <w:r>
        <w:t xml:space="preserve">• Los riesgos tipo del catálogo del documento 33 (formato RT-&lt;CAT&gt;-NN) se usan como punto de partida para no omitir riesgos conocidos.</w:t>
      </w:r>
    </w:p>
    <w:p>
      <w:pPr>
        <w:pStyle w:val="Separador"/>
      </w:pPr>
    </w:p>
    <w:p>
      <w:pPr>
        <w:pStyle w:val="Heading1"/>
      </w:pPr>
      <w:r>
        <w:t xml:space="preserve">2. Identificación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Código de la iniciativa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IA-AAAA-NNN.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Sistemas de IA cubiertos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Códigos de P05.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Clasificación regulatoria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Taxonomía de 03 §3.3 (P11).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Intensidad y nivel de ambición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Versión del documento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 de la última revisión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DD-MM-AAAA.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Próxima revisión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Fecha de la siguiente R6 o del siguiente </w:t>
            </w:r>
            <w:r>
              <w:rPr>
                <w:i/>
              </w:rPr>
              <w:t xml:space="preserve">gate</w:t>
            </w:r>
            <w:r>
              <w:t xml:space="preserve">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Umbrales económicos de impacto aplicables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Referencia a los aprobados en C2 (documento 13).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3. Escalas</w:t>
      </w:r>
    </w:p>
    <w:p>
      <w:pPr>
        <w:pStyle w:val="Heading2"/>
      </w:pPr>
      <w:r>
        <w:t xml:space="preserve">3.1 Probabilidad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Valor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Nombre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Referencia orientativa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Rara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Menos de una vez en 5 años o &lt; 5 % en el horizonte de la iniciativa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Improbable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Una vez cada 2–5 años o 5–20 %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Posible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Una vez cada 1–2 años o 20–50 %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Probable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Varias veces al año o 50–80 %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Casi segura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Mensual o más, o &gt; 80 %</w:t>
            </w:r>
          </w:p>
        </w:tc>
      </w:tr>
    </w:tbl>
    <w:p>
      <w:pPr>
        <w:pStyle w:val="Espacio"/>
      </w:pPr>
    </w:p>
    <w:p>
      <w:pPr>
        <w:pStyle w:val="Heading2"/>
      </w:pPr>
      <w:r>
        <w:t xml:space="preserve">3.2 Impacto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rPr>
          <w:tblHeader/>
        </w:trPr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Valor</w:t>
            </w:r>
          </w:p>
        </w:tc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Nombre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Insignificante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Menor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Moderado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Grave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Crítico</w:t>
            </w:r>
          </w:p>
        </w:tc>
      </w:tr>
    </w:tbl>
    <w:p>
      <w:pPr>
        <w:pStyle w:val="Espacio"/>
      </w:pPr>
    </w:p>
    <w:p>
      <w:r>
        <w:t xml:space="preserve">Ejes de valoración (se toma el mayor):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Eje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Qué se valora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Económico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Pérdidas, sobrecostes, valor no materializado.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Umbrales en euros fijados por la compañía en C2, en proporción a su tamaño.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Personas y derechos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Perjuicio a clientes, empleados u otras personas; discriminación; seguridad física.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Regulatorio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Incumplimientos, sanciones, requerimientos del supervisor.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Operativo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Interrupción o degradación de procesos y servicios.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Reputacional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Pérdida de confianza de clientes, mercado o sociedad.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Heading2"/>
      </w:pPr>
      <w:r>
        <w:t xml:space="preserve">3.3 Nivel de riesgo</w:t>
      </w:r>
    </w:p>
    <w:p>
      <w:r>
        <w:rPr>
          <w:b/>
        </w:rPr>
        <w:t xml:space="preserve">Nivel = Probabilidad × Impacto</w:t>
      </w:r>
      <w:r>
        <w:t xml:space="preserve">: </w:t>
      </w:r>
      <w:r>
        <w:rPr>
          <w:b/>
        </w:rPr>
        <w:t xml:space="preserve">Bajo</w:t>
      </w:r>
      <w:r>
        <w:t xml:space="preserve"> 1–4 · </w:t>
      </w:r>
      <w:r>
        <w:rPr>
          <w:b/>
        </w:rPr>
        <w:t xml:space="preserve">Medio</w:t>
      </w:r>
      <w:r>
        <w:t xml:space="preserve"> 5–9 · </w:t>
      </w:r>
      <w:r>
        <w:rPr>
          <w:b/>
        </w:rPr>
        <w:t xml:space="preserve">Alto</w:t>
      </w:r>
      <w:r>
        <w:t xml:space="preserve"> 10–15 · </w:t>
      </w:r>
      <w:r>
        <w:rPr>
          <w:b/>
        </w:rPr>
        <w:t xml:space="preserve">Crítico</w:t>
      </w:r>
      <w:r>
        <w:t xml:space="preserve"> 16–25.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Probabilidad \ Impacto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1 Insignificante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2 Menor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3 Moderado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4 Grave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5 Crítico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rPr>
                <w:b/>
              </w:rPr>
              <w:t xml:space="preserve">5 Casi segura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5 Medio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10 Alto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15 Alto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20 Crítico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25 Crítico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rPr>
                <w:b/>
              </w:rPr>
              <w:t xml:space="preserve">4 Probable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4 Bajo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8 Medio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12 Alto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16 Crítico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20 Crítico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rPr>
                <w:b/>
              </w:rPr>
              <w:t xml:space="preserve">3 Posible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3 Bajo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6 Medio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9 Medio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12 Alto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15 Alto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rPr>
                <w:b/>
              </w:rPr>
              <w:t xml:space="preserve">2 Improbable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2 Bajo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4 Bajo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6 Medio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8 Medio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10 Alto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rPr>
                <w:b/>
              </w:rPr>
              <w:t xml:space="preserve">1 Rara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1 Bajo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2 Bajo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3 Bajo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4 Bajo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5 Medio</w:t>
            </w:r>
          </w:p>
        </w:tc>
      </w:tr>
    </w:tbl>
    <w:p>
      <w:pPr>
        <w:pStyle w:val="Espacio"/>
      </w:pPr>
    </w:p>
    <w:p>
      <w:r>
        <w:t xml:space="preserve">En una hoja de cálculo: </w:t>
      </w:r>
      <w:r>
        <w:rPr>
          <w:rFonts w:ascii="Consolas" w:hAnsi="Consolas"/>
          <w:sz w:val="18"/>
        </w:rPr>
        <w:t xml:space="preserve">=SI(P*I&gt;=16;"Crítico";SI(P*I&gt;=10;"Alto";SI(P*I&gt;=5;"Medio";"Bajo")))</w:t>
      </w:r>
      <w:r>
        <w:t xml:space="preserve">.</w:t>
      </w:r>
    </w:p>
    <w:p>
      <w:pPr>
        <w:pStyle w:val="Separador"/>
      </w:pPr>
    </w:p>
    <w:p>
      <w:pPr>
        <w:pStyle w:val="Heading1"/>
      </w:pPr>
      <w:r>
        <w:t xml:space="preserve">4. Registro de riesgos</w:t>
      </w:r>
    </w:p>
    <w:p>
      <w:pPr>
        <w:pStyle w:val="Heading2"/>
      </w:pPr>
      <w:r>
        <w:t xml:space="preserve">4.1 Identificación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/>
        </w:trPr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Nº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Riesgo (causa, evento y consecuencia)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Categoría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Riesgo tipo de referencia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Sistema o fase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Responsable del riesgo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 de alta</w:t>
            </w: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R01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EST · TEC · DAT · ECO · LEG · ORG · REP · GEN · SEG · TER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Código del catálogo del documento 33, si existe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R02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R01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Por una inyección de instrucciones en el mensaje de un cliente, el asistente revela datos del pedido de otro cliente, con perjuicio para el afectado y posible incumplimiento del RGPD.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GEN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Catálogo GEN del documento 33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Asistente de consultas · fases 5–6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Responsable técnico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20-11-2026</w:t>
            </w:r>
          </w:p>
        </w:tc>
      </w:tr>
    </w:tbl>
    <w:p>
      <w:pPr>
        <w:pStyle w:val="Espacio"/>
      </w:pPr>
    </w:p>
    <w:p>
      <w:r>
        <w:t xml:space="preserve">Categorías: EST estratégico · TEC técnico · DAT datos · ECO económico · LEG legal y cumplimiento · ORG organizativo · REP reputacional · GEN IA generativa y agentes · SEG seguridad e IA ofensiva · TER terceros.</w:t>
      </w:r>
    </w:p>
    <w:p>
      <w:pPr>
        <w:pStyle w:val="Heading2"/>
      </w:pPr>
      <w:r>
        <w:t xml:space="preserve">4.2 Valoración inherente y residual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964"/>
        <w:gridCol w:w="964"/>
        <w:gridCol w:w="964"/>
        <w:gridCol w:w="964"/>
        <w:gridCol w:w="964"/>
        <w:gridCol w:w="964"/>
        <w:gridCol w:w="964"/>
        <w:gridCol w:w="964"/>
        <w:gridCol w:w="964"/>
        <w:gridCol w:w="964"/>
      </w:tblGrid>
      <w:tr>
        <w:trPr>
          <w:tblHeader/>
        </w:trPr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Nº</w:t>
            </w:r>
          </w:p>
        </w:tc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 inh.</w:t>
            </w:r>
          </w:p>
        </w:tc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 inh.</w:t>
            </w:r>
          </w:p>
        </w:tc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Eje dominante</w:t>
            </w:r>
          </w:p>
        </w:tc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Nivel inherente</w:t>
            </w:r>
          </w:p>
        </w:tc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Controles existentes y eficaces</w:t>
            </w:r>
          </w:p>
        </w:tc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 res.</w:t>
            </w:r>
          </w:p>
        </w:tc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 res.</w:t>
            </w:r>
          </w:p>
        </w:tc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Nivel residual</w:t>
            </w:r>
          </w:p>
        </w:tc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Tendencia </w:t>
            </w:r>
            <w:r>
              <w:rPr>
                <w:b/>
              </w:rPr>
              <w:t xml:space="preserve">(Enterprise)</w:t>
            </w:r>
          </w:p>
        </w:tc>
      </w:tr>
      <w:tr>
        <w:tc>
          <w:tcPr>
            <w:tcW w:w="964" w:type="dxa"/>
          </w:tcPr>
          <w:p>
            <w:pPr>
              <w:pStyle w:val="Celda"/>
            </w:pPr>
            <w:r>
              <w:t xml:space="preserve">R01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1–5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1–5</w:t>
            </w: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Bajo · Medio · Alto · Crítico</w:t>
            </w: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Sube · Estable · Baja</w:t>
            </w:r>
          </w:p>
        </w:tc>
      </w:tr>
      <w:tr>
        <w:tc>
          <w:tcPr>
            <w:tcW w:w="964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R01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Personas y derechos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16 Crítico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Aislamiento de sesión por cliente; filtro de salida de datos personales; pruebas de inyección con 0 fugas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8 Medio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Baja</w:t>
            </w:r>
          </w:p>
        </w:tc>
      </w:tr>
    </w:tbl>
    <w:p>
      <w:pPr>
        <w:pStyle w:val="Espacio"/>
      </w:pPr>
    </w:p>
    <w:p>
      <w:pPr>
        <w:pStyle w:val="Heading2"/>
      </w:pPr>
      <w:r>
        <w:t xml:space="preserve">4.3 Respuesta y seguimiento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/>
        </w:trPr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Nº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Respuesta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Controles previstos (P13)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Aceptado por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 de aceptación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Próxima revisión</w:t>
            </w: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R01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Evitar · Mitigar · Transferir · Aceptar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Identificado · En tratamiento · Aceptado · Materializado · Cerrado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R01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Mitigar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Monitorización de salidas con alerta (P25)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Patrocinador, con conformidad del responsable de riesgos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15-01-2027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Aceptado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R6 del segundo trimestre de 2027</w:t>
            </w:r>
          </w:p>
        </w:tc>
      </w:tr>
    </w:tbl>
    <w:p>
      <w:pPr>
        <w:pStyle w:val="Espacio"/>
      </w:pPr>
    </w:p>
    <w:p>
      <w:r>
        <w:t xml:space="preserve">Respuestas: </w:t>
      </w:r>
      <w:r>
        <w:rPr>
          <w:b/>
        </w:rPr>
        <w:t xml:space="preserve">Evitar</w:t>
      </w:r>
      <w:r>
        <w:t xml:space="preserve"> (se elimina la causa o la actividad) · </w:t>
      </w:r>
      <w:r>
        <w:rPr>
          <w:b/>
        </w:rPr>
        <w:t xml:space="preserve">Mitigar</w:t>
      </w:r>
      <w:r>
        <w:t xml:space="preserve"> (controles que reducen probabilidad o impacto) · </w:t>
      </w:r>
      <w:r>
        <w:rPr>
          <w:b/>
        </w:rPr>
        <w:t xml:space="preserve">Transferir</w:t>
      </w:r>
      <w:r>
        <w:t xml:space="preserve"> (seguro o contrato; el riesgo reputacional y regulatorio no se transfiere por completo) · </w:t>
      </w:r>
      <w:r>
        <w:rPr>
          <w:b/>
        </w:rPr>
        <w:t xml:space="preserve">Aceptar</w:t>
      </w:r>
      <w:r>
        <w:t xml:space="preserve"> (se asume el residual con aprobación). La lista de estados es propuesta de esta plantilla, a confirmar en el documento 33.</w:t>
      </w:r>
    </w:p>
    <w:p>
      <w:pPr>
        <w:pStyle w:val="Separador"/>
      </w:pPr>
    </w:p>
    <w:p>
      <w:pPr>
        <w:pStyle w:val="Heading1"/>
      </w:pPr>
      <w:r>
        <w:t xml:space="preserve">5. Matriz de calor de la iniciativa</w:t>
      </w:r>
    </w:p>
    <w:p>
      <w:r>
        <w:t xml:space="preserve">Anote en cada celda los números de riesgo según su valoración </w:t>
      </w:r>
      <w:r>
        <w:rPr>
          <w:b/>
        </w:rPr>
        <w:t xml:space="preserve">residual</w:t>
      </w:r>
      <w:r>
        <w:t xml:space="preserve">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Probabilidad \ Impacto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1 Insignificante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2 Menor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3 Moderado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4 Grave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5 Crítico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rPr>
                <w:b/>
              </w:rPr>
              <w:t xml:space="preserve">5 Casi segura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rPr>
                <w:b/>
              </w:rPr>
              <w:t xml:space="preserve">4 Probable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rPr>
                <w:b/>
              </w:rPr>
              <w:t xml:space="preserve">3 Posible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rPr>
                <w:b/>
              </w:rPr>
              <w:t xml:space="preserve">2 Improbable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R01 </w:t>
            </w:r>
            <w:r>
              <w:rPr>
                <w:i/>
              </w:rPr>
              <w:t xml:space="preserve">(ejemplo ilustrativo)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rPr>
                <w:b/>
              </w:rPr>
              <w:t xml:space="preserve">1 Rara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Resumen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Inherente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Residual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Crítico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Alto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Medio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Bajo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6. Aceptación del riesgo residual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Nivel residual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Quién puede aceptarlo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Requisito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rPr>
                <w:b/>
              </w:rPr>
              <w:t xml:space="preserve">Bajo</w:t>
            </w:r>
            <w:r>
              <w:t xml:space="preserve"> (1–4)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Responsable de producto de IA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Con registro.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rPr>
                <w:b/>
              </w:rPr>
              <w:t xml:space="preserve">Medio</w:t>
            </w:r>
            <w:r>
              <w:t xml:space="preserve"> (5–9)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Patrocinador de IA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Con conformidad del responsable de riesgos.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rPr>
                <w:b/>
              </w:rPr>
              <w:t xml:space="preserve">Alto</w:t>
            </w:r>
            <w:r>
              <w:t xml:space="preserve"> (10–15)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Comité de IA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Con conformidad del responsable de riesgos y plan de mitigación (P13). Aplica también en intensidad Lite.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rPr>
                <w:b/>
              </w:rPr>
              <w:t xml:space="preserve">Crítico</w:t>
            </w:r>
            <w:r>
              <w:t xml:space="preserve"> (16–25)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No se acepta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Excepcionalmente, solo el consejo o su comisión delegada, dentro del apetito de riesgo aprobado en C2. Sin esa aprobación bloquea G3 y G5.</w:t>
            </w:r>
          </w:p>
        </w:tc>
      </w:tr>
    </w:tbl>
    <w:p>
      <w:pPr>
        <w:pStyle w:val="Espacio"/>
      </w:pP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Nº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Nivel residual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Órgano que acepta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Referencia del acta o registro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Vigencia de la aceptación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Hasta la próxima R6 o hasta el cambio que la invalide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7. Riesgos de cartera </w:t>
      </w:r>
      <w:r>
        <w:rPr>
          <w:b/>
        </w:rPr>
        <w:t xml:space="preserve">(Enterprise)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Riesgos compartidos con otras iniciativas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Mismo proveedor, mismo modelo, mismos datos o misma función crítica.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Concentración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Si la suma de exposiciones supera el apetito de riesgo, se informa al comité de IA.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Riesgos que deben elevarse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Riesgos Altos o Críticos y riesgos concentrados.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8. Historial de revisiones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Momento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 principales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Riesgos nuevos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Riesgos cerrados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Revisado por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Fase 3 · G5 · R6 · Evento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9. Criterios de calidad</w:t>
      </w:r>
    </w:p>
    <w:p>
      <w:r>
        <w:t xml:space="preserve">Los criterios formales están en el documento 21 (ver criterios G3.xx, G5.xx y R6.xx) y la metodología en el documento 33.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Comprobación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Se ha contrastado el registro con el catálogo de riesgos tipo, incluidos GEN, SEG y TER cuando apliquen.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Cumple · No cumple · No aplica · Pendiente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Cada riesgo describe causa, evento y consecuencia, y tiene responsable.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Las escalas usadas son las comunes y el impacto toma el mayor de los cinco ejes.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Se calculan nivel inherente y residual; el residual solo considera controles existentes y eficaces.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Cada riesgo tiene respuesta; los de Mitigar tienen controles en P13.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 aceptación la firma el órgano que corresponde al nivel residual.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7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No hay riesgos residuales Críticos sin aprobación del consejo o de su comisión delegada.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8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El registro está actualizado en el momento del </w:t>
            </w:r>
            <w:r>
              <w:rPr>
                <w:i/>
              </w:rPr>
              <w:t xml:space="preserve">gate</w:t>
            </w:r>
            <w:r>
              <w:t xml:space="preserve"> o de la revisión.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10. Aprobación y verificación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Función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Rol en SEVEN-G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Nombre y cargo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Firma o referencia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Coordina y valora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de riesgos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Identifica y propone controles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de producto y responsable técnico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Verifica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Oficina de IA o auditor de IA (Lite, si elabora riesgos) · Auditor de IA (Enterprise)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Acepta el residual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Según la sección 6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Decide el </w:t>
            </w:r>
            <w:r>
              <w:rPr>
                <w:i/>
              </w:rPr>
              <w:t xml:space="preserve">gate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Órgano de 01 §7.5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Separación de funciones: quien acepta un riesgo no lo ha valorado; el responsable de riesgos emite conformidad, pero no acepta riesgos de nivel Medio o superior.</w:t>
      </w:r>
    </w:p>
    <w:p>
      <w:pPr>
        <w:pStyle w:val="Separador"/>
      </w:pPr>
    </w:p>
    <w:p>
      <w:pPr>
        <w:pStyle w:val="Heading1"/>
      </w:pPr>
      <w:r>
        <w:t xml:space="preserve">11. Control de versiones</w:t>
      </w:r>
    </w:p>
    <w:p>
      <w:r>
        <w:rPr>
          <w:b/>
        </w:rPr>
        <w:t xml:space="preserve">Documento cumplimentado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Autor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rPr>
          <w:b/>
        </w:rPr>
        <w:t xml:space="preserve">Plantilla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0.1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16-09-2026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Primera versión. Aplica las escalas, niveles, respuestas, aceptación y categorías de la especificación común §5.1.</w:t>
            </w:r>
          </w:p>
        </w:tc>
      </w:tr>
    </w:tbl>
    <w:p>
      <w:pPr>
        <w:pStyle w:val="Espacio"/>
      </w:pPr>
    </w:p>
    <w:sectPr>
      <w:footerReference w:type="default" r:id="rId2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Pie"/>
    </w:pPr>
    <w:r>
      <w:t xml:space="preserve">SEVEN-G · Plantilla P12 · Matriz y registro de riesgos · CC BY 4.0 · Fernando García · SEACHAD · Generada desde la fuente Markdown: no edite la plantilla, rellene una copia.</w:t>
    </w:r>
    <w:r>
      <w:rPr>
        <w:color w:val="66605C"/>
        <w:sz w:val="15"/>
      </w:rPr>
      <w:t xml:space="preserve"> · </w:t>
    </w:r>
    <w:r>
      <w:rPr>
        <w:sz w:val="15"/>
      </w:rPr>
      <w:fldChar w:fldCharType="begin"/>
    </w:r>
    <w:r>
      <w:rPr>
        <w:sz w:val="15"/>
      </w:rPr>
      <w:instrText xml:space="preserve"> PAGE </w:instrText>
    </w:r>
    <w:r>
      <w:rPr>
        <w:sz w:val="15"/>
      </w:rPr>
      <w:fldChar w:fldCharType="separate"/>
    </w:r>
    <w:r>
      <w:rPr>
        <w:sz w:val="15"/>
      </w:rPr>
      <w:t>1</w:t>
    </w:r>
    <w:r>
      <w:rPr>
        <w:sz w:val="15"/>
      </w:rP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Georgia" w:hAnsi="Georgia" w:eastAsia="Georgia" w:cs="Georgia"/>
        <w:color w:val="1A1817"/>
        <w:sz w:val="20"/>
        <w:szCs w:val="20"/>
        <w:lang w:val="es-ES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160"/>
    </w:pPr>
    <w:rPr>
      <w:b/>
      <w:color w:val="1A1817"/>
      <w:sz w:val="40"/>
    </w:rPr>
  </w:style>
  <w:style w:type="paragraph" w:styleId="Heading1">
    <w:name w:val="heading 1"/>
    <w:basedOn w:val="Normal"/>
    <w:next w:val="Normal"/>
    <w:qFormat/>
    <w:pPr>
      <w:keepNext/>
      <w:pBdr>
        <w:top w:val="single" w:sz="12" w:space="4" w:color="990F3D"/>
      </w:pBdr>
      <w:spacing w:before="360" w:after="120"/>
      <w:outlineLvl w:val="0"/>
    </w:pPr>
    <w:rPr>
      <w:b/>
      <w:color w:val="990F3D"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80"/>
      <w:outlineLvl w:val="1"/>
    </w:pPr>
    <w:rPr>
      <w:b/>
      <w:color w:val="0D7680"/>
      <w:sz w:val="24"/>
    </w:rPr>
  </w:style>
  <w:style w:type="paragraph" w:styleId="Heading3">
    <w:name w:val="heading 3"/>
    <w:basedOn w:val="Normal"/>
    <w:next w:val="Normal"/>
    <w:qFormat/>
    <w:pPr>
      <w:keepNext/>
      <w:spacing w:before="200" w:after="60"/>
      <w:outlineLvl w:val="2"/>
    </w:pPr>
    <w:rPr>
      <w:b/>
      <w:sz w:val="21"/>
    </w:rPr>
  </w:style>
  <w:style w:type="paragraph" w:styleId="Cita">
    <w:name w:val="Cita SEVEN-G"/>
    <w:basedOn w:val="Normal"/>
    <w:pPr>
      <w:pBdr>
        <w:left w:val="single" w:sz="18" w:space="8" w:color="990F3D"/>
      </w:pBdr>
      <w:shd w:val="clear" w:color="auto" w:fill="FFF1E5"/>
      <w:ind w:left="240" w:right="120"/>
      <w:spacing w:before="120" w:after="160"/>
    </w:pPr>
    <w:rPr>
      <w:sz w:val="17"/>
    </w:rPr>
  </w:style>
  <w:style w:type="paragraph" w:styleId="Celda">
    <w:name w:val="Celda"/>
    <w:basedOn w:val="Normal"/>
    <w:pPr>
      <w:spacing w:before="20" w:after="20" w:line="240" w:lineRule="auto"/>
    </w:pPr>
    <w:rPr>
      <w:sz w:val="17"/>
    </w:rPr>
  </w:style>
  <w:style w:type="paragraph" w:styleId="Lista">
    <w:name w:val="Lista SEVEN-G"/>
    <w:basedOn w:val="Normal"/>
    <w:pPr>
      <w:ind w:left="360" w:hanging="240"/>
      <w:spacing w:after="60"/>
    </w:pPr>
  </w:style>
  <w:style w:type="paragraph" w:styleId="Lista2">
    <w:name w:val="Lista SEVEN-G 2"/>
    <w:basedOn w:val="Lista"/>
    <w:pPr>
      <w:ind w:left="720" w:hanging="240"/>
    </w:pPr>
  </w:style>
  <w:style w:type="paragraph" w:styleId="Separador">
    <w:name w:val="Separador"/>
    <w:basedOn w:val="Normal"/>
    <w:pPr>
      <w:pBdr>
        <w:bottom w:val="single" w:sz="4" w:space="1" w:color="CCC1B7"/>
      </w:pBdr>
      <w:spacing w:after="120"/>
    </w:pPr>
  </w:style>
  <w:style w:type="paragraph" w:styleId="Espacio">
    <w:name w:val="Espacio"/>
    <w:basedOn w:val="Normal"/>
    <w:pPr>
      <w:spacing w:after="60" w:line="120" w:lineRule="exact"/>
    </w:pPr>
  </w:style>
  <w:style w:type="paragraph" w:styleId="Pie">
    <w:name w:val="footer"/>
    <w:basedOn w:val="Normal"/>
    <w:rPr>
      <w:color w:val="66605C"/>
      <w:sz w:val="15"/>
    </w:rPr>
  </w:style>
  <w:style w:type="table" w:styleId="TablaSG">
    <w:name w:val="Tabla SEVEN-G"/>
    <w:tblPr>
      <w:tblBorders>
        <w:top w:val="single" w:sz="4" w:space="0" w:color="CCC1B7"/>
        <w:left w:val="single" w:sz="4" w:space="0" w:color="CCC1B7"/>
        <w:bottom w:val="single" w:sz="4" w:space="0" w:color="CCC1B7"/>
        <w:right w:val="single" w:sz="4" w:space="0" w:color="CCC1B7"/>
        <w:insideH w:val="single" w:sz="4" w:space="0" w:color="CCC1B7"/>
        <w:insideV w:val="single" w:sz="4" w:space="0" w:color="CCC1B7"/>
      </w:tblBorders>
      <w:tblCellMar>
        <w:top w:w="40" w:type="dxa"/>
        <w:left w:w="80" w:type="dxa"/>
        <w:bottom w:w="40" w:type="dxa"/>
        <w:right w:w="8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SEVEN-G docx.ps1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P12 · Matriz y registro de riesgos</dc:title>
  <dc:creator>Fernando García · SEACHAD</dc:creator>
  <dc:language>es</dc:language>
  <dc:description>sha256:0122e0456714b4d4877bfe8aaffa8fc4d98b4ec2d0bd9af9e0589dcf04e0bfd5</dc:description>
  <cp:keywords>SEVEN-G</cp:keywords>
</cp:coreProperties>
</file>