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Registro de arquitectura</w:t>
      </w:r>
    </w:p>
    <w:p>
      <w:r>
        <w:rPr>
          <w:b/>
        </w:rPr>
        <w:t xml:space="preserve">Documenta la arquitectura de la solución, las decisiones de diseño con sus alternativas y la trazabilidad entre los riesgos y requisitos de la fase 3 y los controles diseñados.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P15 · Registro de arquitectura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4 (Diseño de la solución), antes de G4. Se mantiene vivo en las fases 5 y 6: todo cambio de arquitectura relevante añade una decisión y actualiza la versión.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técnico de IA, que responde y realiza el trabajo en la fase 4. Consulta a seguridad de la información, al responsable de operación y al responsable de riesgos.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técnico con conformidad de riesgos (01 §7.5). Enterprise: comité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· Diseño. Se comprueba de nuevo en G5 (lo construido coincide con lo diseñado) y en R6 (cambios).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tiene herramienta propia; se enlaza como evidencia en T03.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y bloques marcados </w:t>
            </w:r>
            <w:r>
              <w:rPr>
                <w:b/>
              </w:rPr>
              <w:t xml:space="preserve">(Enterprise)</w:t>
            </w:r>
            <w:r>
              <w:t xml:space="preserve">. La visión general, los componentes, las decisiones y la trazabilidad de controles son obligatorios en ambas.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arquitectura debe cubrir los </w:t>
      </w:r>
      <w:r>
        <w:rPr>
          <w:b/>
        </w:rPr>
        <w:t xml:space="preserve">controles exigidos por la clasificación de riesgo</w:t>
      </w:r>
      <w:r>
        <w:t xml:space="preserve"> y los riesgos de la fase 3 deben tener </w:t>
      </w:r>
      <w:r>
        <w:rPr>
          <w:b/>
        </w:rPr>
        <w:t xml:space="preserve">control diseñado</w:t>
      </w:r>
      <w:r>
        <w:t xml:space="preserve"> (01 §6.6).</w:t>
      </w:r>
    </w:p>
    <w:p>
      <w:pPr>
        <w:pStyle w:val="Lista"/>
      </w:pPr>
      <w:r>
        <w:t xml:space="preserve">• Debe existir un </w:t>
      </w:r>
      <w:r>
        <w:rPr>
          <w:b/>
        </w:rPr>
        <w:t xml:space="preserve">mecanismo de parada</w:t>
      </w:r>
      <w:r>
        <w:t xml:space="preserve"> y una vía de reversión (P19).</w:t>
      </w:r>
    </w:p>
    <w:p>
      <w:pPr>
        <w:pStyle w:val="Lista"/>
      </w:pPr>
      <w:r>
        <w:t xml:space="preserve">• Los diagramas se adjuntan como fichero enlazado o como bloque Mermaid; no se dibujan en texto.</w:t>
      </w:r>
    </w:p>
    <w:p>
      <w:pPr>
        <w:pStyle w:val="Lista"/>
      </w:pPr>
      <w:r>
        <w:t xml:space="preserve">• Este registro resume y enlaza: el linaje de datos y modelos va en P16, la supervisión humana en P17, la seguridad en P18, la reversión en P19 y la monitorización en P25.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Sistemas de IA cubiertos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de P05.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regulatoria e 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P11 y P04.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· A1 · A2 · A3.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Visión general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de la solución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hace, para quién y cómo se integra en el proceso, en lenguaje comprensible.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Diagrama de contexto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al diagrama: usuarios, sistemas externos, proveedores y límites de la solución.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Diagrama de componentes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 al diagrama de componentes y flujos principales.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 de esta 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incluye el diseño y qué se deja para versiones posteriores.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Restricciones de P02 aplicadas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Plataformas obligatorias, ubicación de datos, autonomía máxima, líneas rojas.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Componentes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Proveedor o equipo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Entorno de alojamiento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 que trata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Criticidad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Modelo · Orquestación · Datos · Integración · Interfaz · Control · Monitorización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Baja · Media · Alta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Modelo de lenguaje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Redactar respuestas a partir de la información del pedido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Modelo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Proveedor X (P14, N2)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Versión fijada por contrato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Nube del proveedor, región de la UE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Texto de la consulta y datos del pedido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Alta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Servicio de consulta de pedidos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Devolver solo los pedidos del cliente autenticado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Integración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Equipo interno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Nube corporativa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Datos del pedido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Alta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Filtro de salida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Bloquear datos personales ajenos al cliente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Control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Equipo interno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Nube corporativa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Respuesta generada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Alta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Modelos</w:t>
      </w:r>
    </w:p>
    <w:p>
      <w:r>
        <w:t xml:space="preserve">Resumen; el detalle de versiones, datos de entrenamiento y evaluaciones va en P16.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Modelo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Origen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selección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Evaluación realizada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Sustituto previsto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ML predictivo · IA generativa · Agente · Otro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Propio · Terceros · Código abierto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Métricas y fecha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Flujos de datos e integraciones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Flujo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Origen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Datos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Protección en tránsito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Transferencia fuera del EEE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Tiempo real · Por lotes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Sí · No</w:t>
            </w:r>
          </w:p>
        </w:tc>
      </w:tr>
    </w:tbl>
    <w:p>
      <w:pPr>
        <w:pStyle w:val="Espacio"/>
      </w:pPr>
    </w:p>
    <w:p>
      <w:r>
        <w:t xml:space="preserve">Detalle de fuentes, transformaciones y versiones en P16.</w:t>
      </w:r>
    </w:p>
    <w:p>
      <w:pPr>
        <w:pStyle w:val="Separador"/>
      </w:pPr>
    </w:p>
    <w:p>
      <w:pPr>
        <w:pStyle w:val="Heading1"/>
      </w:pPr>
      <w:r>
        <w:t xml:space="preserve">7. Decisiones de arquitectura</w:t>
      </w:r>
    </w:p>
    <w:p>
      <w:r>
        <w:t xml:space="preserve">Una fila por decisión relevante. Las decisiones no se borran: si se sustituyen, se marca la anterior como sustituida.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Contexto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Alternativas consideradas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de la elección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Consecuencias y riesgos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DA-01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Propuesta · Aprobada · Sustituida por DA-NN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DA-01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El modelo no accede directamente al sistema de pedidos; recibe solo los datos devueltos por un servicio intermedio.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Riesgo de fuga de datos de otros clientes (P12, R01).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Acceso directo del modelo mediante herramienta; recuperación sobre un índice con todos los pedidos.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Limita por diseño los datos disponibles a los del cliente autenticado.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Mayor latencia; mantenimiento del servicio intermedio.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20-01-2027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Aprobada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Trazabilidad de riesgos, obligaciones y controles</w:t>
      </w:r>
    </w:p>
    <w:p>
      <w:r>
        <w:t xml:space="preserve">Cada riesgo de P12 que requiera tratamiento y cada obligación de P11 debe tener al menos un control diseñado.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u obligación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Origen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Control diseñado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 de detalle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probará en la fase 5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P12 R.. · P11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P16 · P17 · P18 · P19 · P25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Fuga de datos de otro cliente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P12 R01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Servicio intermedio con filtrado por cliente autenticado y filtro de salida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Servicio de consulta de pedidos; filtro de salida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P18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300 ataques de inyección sin fugas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Informar de que se conversa con un sistema de IA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P11 §10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Aviso al inicio de cada conversación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Interfaz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P17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Revisión funcional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Requisitos no funcionales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se mide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Componente responsable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Disponibilidad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Tiempo de respuesta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Capacidad y volumen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Coste por transacción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Registro de actividad y trazabilidad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Qué se registra, dónde y cuánto tiempo se conserva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Accesibilidad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Supervisión, seguridad, operación y reversibilidad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Puntos de supervisión humana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Dónde interviene una persona y qué no se delega nunca. Detalle en P17.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Identidad y permisos del sistema o del agente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Cuentas, permisos mínimos, límites de actuación. Detalle en P18.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Mecanismo de parada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detiene el sistema, quién puede hacerlo y en cuánto tiempo.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vuelve a la versión anterior o al proceso sin IA. Detalle en P19.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Monitorización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Métricas técnicas, de calidad, de coste y de seguridad. Detalle en P25.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Entornos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Desarrollo, pruebas, preproducción y producción; separación de datos.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Gestión de cambios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aprueban cambios de modelo, instrucciones o configuración.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Coste de operación estimado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recurrente anual (€)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Supuestos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 respecto de P10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Licencias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Consumo de modelos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Cómputo e infraestructura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Personas de operación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Proveedores y servicios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Control y cumplimiento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el coste recurrente supera el de P10 de forma relevante, se actualiza P08 y se informa en G4.</w:t>
      </w:r>
    </w:p>
    <w:p>
      <w:pPr>
        <w:pStyle w:val="Separador"/>
      </w:pPr>
    </w:p>
    <w:p>
      <w:pPr>
        <w:pStyle w:val="Heading1"/>
      </w:pPr>
      <w:r>
        <w:t xml:space="preserve">12. Criterios de calidad</w:t>
      </w:r>
    </w:p>
    <w:p>
      <w:r>
        <w:t xml:space="preserve">Los criterios formales de G4 están en el documento 21 (ver criterios G4.xx).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visión general y los diagramas enlazados reflejan la solución completa, incluidos proveedores.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componente tiene responsable, versión, alojamiento y datos que trata.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relevantes tienen alternativas y motivo.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riesgo de P12 que requiere tratamiento y toda obligación de P11 tiene control diseñado y forma de prueba.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 mecanismo de parada y vía de reversión.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permisos del sistema o del agente se limitan a lo necesario y no superan la autonomía máxima de P02.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restricciones de P02 (ubicación, plataformas, líneas rojas) se respetan.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P16, P17, P18, P19 y P25 existen y son coherentes con este registro.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 y responde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 · responsable de operación de IA · 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Emite 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con conformidad de riesgos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en Lite, el responsable técnico decide G4 sobre su propio diseño solo porque 01 §7.5 lo permite con conformidad de riesgos y verificación independiente de la oficina de IA; ambas deben constar antes de la decisión.</w:t>
      </w:r>
    </w:p>
    <w:p>
      <w:pPr>
        <w:pStyle w:val="Separador"/>
      </w:pPr>
    </w:p>
    <w:p>
      <w:pPr>
        <w:pStyle w:val="Heading1"/>
      </w:pPr>
      <w:r>
        <w:t xml:space="preserve">14.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Registro de componentes, decisiones de arquitectura y trazabilidad de riesgos y obligaciones a controles, alineado con 01 §6.6.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P15 · Registro de arquitectura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P15 · Registro de arquitectura</dc:title>
  <dc:creator>Fernando García · SEACHAD</dc:creator>
  <dc:language>es</dc:language>
  <dc:description>sha256:06d15cb520d9aa2cacf2cbdaf1ab2d203be1a596acf3d4fca4ac1013f706ee08</dc:description>
  <cp:keywords>SEVEN-G</cp:keywords>
</cp:coreProperties>
</file>