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Informe de entrega</w:t>
      </w:r>
    </w:p>
    <w:p>
      <w:r>
        <w:rPr>
          <w:b/>
        </w:rPr>
        <w:t xml:space="preserve">Deja constancia de qué se ha construido o integrado frente al diseño aprobado en G4, con qué coste y plazo, y en qué estado se entrega a la operación.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P21 · Informe de entrega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5 (Entrega y validación), al terminar la construcción o integración y antes de solicitar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técnico de IA, con el responsable de producto de IA. Si hay proveedor, este aporta la información, pero el informe lo firma el responsable técnico de la compañía.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riesgos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G5 · Puesta en producción.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P15–P20 (diseño aprobado) · P22 Resultados de validación y del piloto · P23 Firma de puesta en producción · P24 Manual de operación · P29 Registro de decisión de G4 (condiciones) · documentos 42 (Costes) y 53 (Construcción de soluciones).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El informe compara lo entregado con </w:t>
      </w:r>
      <w:r>
        <w:rPr>
          <w:b/>
        </w:rPr>
        <w:t xml:space="preserve">lo aprobado</w:t>
      </w:r>
      <w:r>
        <w:t xml:space="preserve">, no con lo que se pensaba hacer al final. Todo cambio frente al diseño se declara y se justifica.</w:t>
      </w:r>
    </w:p>
    <w:p>
      <w:pPr>
        <w:pStyle w:val="Lista"/>
      </w:pPr>
      <w:r>
        <w:t xml:space="preserve">• Las condiciones impuestas en G4 se verifican aquí; una condición vencida sin cumplir convierte el resultado en Iterar (01 §7.4, regla 4).</w:t>
      </w:r>
    </w:p>
    <w:p>
      <w:pPr>
        <w:pStyle w:val="Lista"/>
      </w:pPr>
      <w:r>
        <w:t xml:space="preserve">• Los costes reales se expresan en euros por categoría de coste y se distingue la inversión del coste recurrente.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entregada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de modelo, instrucciones y configuración (P16).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Proveedores que han intervenido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referencia a P14.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Resumen de la entrega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se ha entregado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tres a cinco líneas, en lenguaje comprensible.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Diferencias principales con el diseño aprobado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del bloque 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para la puesta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Preparado · Preparado con pendientes no críticos · No preparado.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Pendientes críticos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existen, el estado no puede ser "Preparado".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Alcance entregado frente al diseño aprobado</w:t>
      </w:r>
    </w:p>
    <w:p>
      <w:r>
        <w:rPr>
          <w:b/>
        </w:rPr>
        <w:t xml:space="preserve">Estado:</w:t>
      </w:r>
      <w:r>
        <w:t xml:space="preserve"> Entregado según diseño · Entregado con cambios · No entregado.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 del diseño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de diseño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 y justificación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¿Afecta a riesgos, supervisión o seguridad? (Sí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Aprobación del cambio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Arquitectura e integraciones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Datos y modelos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P16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Supervisión humana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P17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Controles de seguridad y de agentes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P18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Mecanismo de reversión e interruptor de parada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P19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Formación y adopción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P20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Monitorización y alertas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Integración con el sistema del proveedor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Entregado con cambios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 sustituye la conexión en tiempo real por carga cada hora por limitaciones del proveedor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Sí: retraso de hasta una hora en los datos de entrada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técnico con conformidad de riesgos</w:t>
            </w:r>
          </w:p>
        </w:tc>
      </w:tr>
    </w:tbl>
    <w:p>
      <w:pPr>
        <w:pStyle w:val="Espacio"/>
      </w:pPr>
    </w:p>
    <w:p>
      <w:r>
        <w:t xml:space="preserve">Si un cambio afecta a riesgos, supervisión humana o seguridad, debe actualizarse la evidencia de diseño correspondiente y el registro de riesgos (P12) antes de G5.</w:t>
      </w:r>
    </w:p>
    <w:p>
      <w:pPr>
        <w:pStyle w:val="Separador"/>
      </w:pPr>
    </w:p>
    <w:p>
      <w:pPr>
        <w:pStyle w:val="Heading1"/>
      </w:pPr>
      <w:r>
        <w:t xml:space="preserve">5. Condiciones pendientes de </w:t>
      </w:r>
      <w:r>
        <w:rPr>
          <w:i/>
        </w:rPr>
        <w:t xml:space="preserve">gates</w:t>
      </w:r>
      <w:r>
        <w:t xml:space="preserve"> anteriores</w:t>
      </w:r>
    </w:p>
    <w:p>
      <w:r>
        <w:rPr>
          <w:b/>
        </w:rPr>
        <w:t xml:space="preserve">Estado:</w:t>
      </w:r>
      <w:r>
        <w:t xml:space="preserve"> Cumplida · No cumplida · Vencida.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de origen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Documentación entregada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Documento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Entregado (Sí · No · No aplica)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Documentación técnica del sistema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Linaje de datos y modelos actualizado (P16)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Manual de usuario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Manual de operación en borrador (P24)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Configuración de monitorización y alertas (P25)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Plan de respuesta a incidentes (P26)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Documentación técnica exigida por la regulación para sistemas de alto riesgo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Referencia al mapeo regulatorio (documento 34).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Documentación y garantías del proveedor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Costes reales frente a previstos</w:t>
      </w:r>
    </w:p>
    <w:p>
      <w:r>
        <w:t xml:space="preserve">Importes en euros. "Previsto" es lo aprobado en G3 (P10) o, si se actualizó, en G4.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 de coste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prevista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real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recurrente anual previsto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recurrente anual actualizado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Desviación y explicación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Licencias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Consumo de modelos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Cómputo e infraestructura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Datos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Personas de construcción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Personas de operación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Proveedores y servicios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Control y cumplimiento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Adopción y formación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Total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el coste recurrente actualizado cambia el valor neto anual esperado, se recalcula en P22 y se señala al decisor del </w:t>
      </w:r>
      <w:r>
        <w:rPr>
          <w:i/>
        </w:rPr>
        <w:t xml:space="preserve">gate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8. Plazos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Hito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real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Días de desviación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Causa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Aprobación de G4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Inicio de la construcción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Fin de la construcción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Inicio del piloto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Solicitud de G5 prevista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la fase 5 supera el plazo de referencia aprobado en C2 (03 §3.6), indique los periodos en espera y su motivo.</w:t>
      </w:r>
    </w:p>
    <w:p>
      <w:pPr>
        <w:pStyle w:val="Separador"/>
      </w:pPr>
    </w:p>
    <w:p>
      <w:pPr>
        <w:pStyle w:val="Heading1"/>
      </w:pPr>
      <w:r>
        <w:t xml:space="preserve">9. Limitaciones conocidas, deuda técnica y riesgos abiertos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(Limitación · Deuda técnica · Riesgo abierto)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Efecto en operación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Tratamiento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Los reentrenamientos requieren intervención manual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Deuda técnica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Mayor dependencia de dos personas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Automatizar antes del segundo R6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Traspaso a la operación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 responsable de operación de IA ha recibido y revisado la documentación.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Accesos, credenciales y permisos de operación configurados y revisados.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Alertas conectadas a los destinatarios de guardia.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Personal de operación formado en reversión e interruptor de parada.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Acuerdos de soporte con proveedores vigentes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Inventario de sistemas de IA actualizado con la versión entregada.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de G5 en el documento 21; lista LV-G5 en el documento 22.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elemento del diseño tiene estado de entrega y los cambios están justificados y aprobados.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que afectan a riesgos, supervisión o seguridad han actualizado sus evidencias.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condiciones de </w:t>
            </w:r>
            <w:r>
              <w:rPr>
                <w:i/>
              </w:rPr>
              <w:t xml:space="preserve">gates</w:t>
            </w:r>
            <w:r>
              <w:t xml:space="preserve"> anteriores están cumplidas o se ha registrado su vencimiento.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costes reales están por categoría, separando inversión y coste recurrente.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limitaciones y riesgos abiertos tienen tratamiento y responsable.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traspaso a operación está completo o sus pendientes no son críticos.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Recepción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no forma parte del equipo que construye.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P21 · Informe de entrega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P21 · Informe de entrega</dc:title>
  <dc:creator>Fernando García · SEACHAD</dc:creator>
  <dc:language>es</dc:language>
  <dc:description>sha256:5233dbb96b69aaef1c804e9441d9143839d5fbabf3933fb5e558d309feb9e256</dc:description>
  <cp:keywords>SEVEN-G</cp:keywords>
</cp:coreProperties>
</file>