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Scale or retire decision</w:t>
      </w:r>
    </w:p>
    <w:p>
      <w:r>
        <w:rPr>
          <w:b/>
        </w:rPr>
        <w:t xml:space="preserve">Substantiates the G7 decision —scale, iterate or retire— with evidence, plans the retirement where appropriate and captures the lessons learned.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P30 · Scale or retire decision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7 (Evolution or retirement), before G7. Also when an R6 continuity review brings G7 forward due to relevant deviations, and in the regularisation of systems pre-dating the adoption of the framework (01 §14).</w:t>
            </w:r>
          </w:p>
        </w:tc>
      </w:tr>
      <w:tr>
        <w:tc>
          <w:tcPr>
            <w:tcW w:w="4819" w:type="dxa"/>
          </w:tcPr>
          <w:p>
            <w:pPr>
              <w:pStyle w:val="Celda"/>
            </w:pPr>
            <w:r>
              <w:rPr>
                <w:b/>
              </w:rPr>
              <w:t xml:space="preserve">Who completes it</w:t>
            </w:r>
          </w:p>
        </w:tc>
        <w:tc>
          <w:tcPr>
            <w:tcW w:w="4819" w:type="dxa"/>
          </w:tcPr>
          <w:p>
            <w:pPr>
              <w:pStyle w:val="Celda"/>
            </w:pPr>
            <w:r>
              <w:t xml:space="preserve">AI Product Owner (evidence, options and lessons), with the AI Operations Owner (retirement plan).</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Who decides</w:t>
            </w:r>
          </w:p>
        </w:tc>
        <w:tc>
          <w:tcPr>
            <w:tcW w:w="4819" w:type="dxa"/>
          </w:tcPr>
          <w:p>
            <w:pPr>
              <w:pStyle w:val="Celda"/>
            </w:pPr>
            <w:r>
              <w:t xml:space="preserve">Sponsor at Lite intensity; AI Committee at Enterprise intensity. Scaling a Transform initiative also requires board approval (01 §7.5). The decision is recorded in P29.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retirement plan (block 8) is always completed when the outcome is Retire.</w:t>
            </w:r>
          </w:p>
        </w:tc>
      </w:tr>
      <w:tr>
        <w:tc>
          <w:tcPr>
            <w:tcW w:w="4819" w:type="dxa"/>
          </w:tcPr>
          <w:p>
            <w:pPr>
              <w:pStyle w:val="Celda"/>
            </w:pPr>
            <w:r>
              <w:rPr>
                <w:b/>
              </w:rPr>
              <w:t xml:space="preserve">Tool</w:t>
            </w:r>
          </w:p>
        </w:tc>
        <w:tc>
          <w:tcPr>
            <w:tcW w:w="4819" w:type="dxa"/>
          </w:tcPr>
          <w:p>
            <w:pPr>
              <w:pStyle w:val="Celda"/>
            </w:pPr>
            <w:r>
              <w:t xml:space="preserve">T22 Retirement manager.</w:t>
            </w:r>
          </w:p>
        </w:tc>
      </w:tr>
      <w:tr>
        <w:tc>
          <w:tcPr>
            <w:tcW w:w="4819" w:type="dxa"/>
          </w:tcPr>
          <w:p>
            <w:pPr>
              <w:pStyle w:val="Celda"/>
            </w:pPr>
            <w:r>
              <w:rPr>
                <w:b/>
              </w:rPr>
              <w:t xml:space="preserve">Relationship</w:t>
            </w:r>
          </w:p>
        </w:tc>
        <w:tc>
          <w:tcPr>
            <w:tcW w:w="4819" w:type="dxa"/>
          </w:tcPr>
          <w:p>
            <w:pPr>
              <w:pStyle w:val="Celda"/>
            </w:pPr>
            <w:r>
              <w:t xml:space="preserve">P07 Ambition classification (review in phase 7) · P12 Risk register · P16 Lineage · P20 Adoption and capacity · P27 Incident and change log · P28 Value tracking · P29 </w:t>
            </w:r>
            <w:r>
              <w:rPr>
                <w:i/>
              </w:rPr>
              <w:t xml:space="preserve">Gate</w:t>
            </w:r>
            <w:r>
              <w:t xml:space="preserve"> decision record · document 14 (Portfolio management).</w:t>
            </w:r>
          </w:p>
        </w:tc>
      </w:tr>
    </w:tbl>
    <w:p>
      <w:pPr>
        <w:pStyle w:val="Espacio"/>
      </w:pPr>
    </w:p>
    <w:p>
      <w:r>
        <w:t xml:space="preserve">Rules:</w:t>
      </w:r>
    </w:p>
    <w:p>
      <w:pPr>
        <w:pStyle w:val="Lista"/>
      </w:pPr>
      <w:r>
        <w:t xml:space="preserve">• </w:t>
      </w:r>
      <w:r>
        <w:rPr>
          <w:b/>
        </w:rPr>
        <w:t xml:space="preserve">Evolve or retire:</w:t>
      </w:r>
      <w:r>
        <w:t xml:space="preserve"> no initiative remains in the portfolio without evidence to justify it (01 §3, principle 6).</w:t>
      </w:r>
    </w:p>
    <w:p>
      <w:pPr>
        <w:pStyle w:val="Lista"/>
      </w:pPr>
      <w:r>
        <w:t xml:space="preserve">• Every retirement records the </w:t>
      </w:r>
      <w:r>
        <w:rPr>
          <w:b/>
        </w:rPr>
        <w:t xml:space="preserve">date, reason, deciding body, replacement if any, treatment of data and models, and communication to those affected</w:t>
      </w:r>
      <w:r>
        <w:t xml:space="preserve"> (01 §6.9).</w:t>
      </w:r>
    </w:p>
    <w:p>
      <w:pPr>
        <w:pStyle w:val="Lista"/>
      </w:pPr>
      <w:r>
        <w:t xml:space="preserve">• The initiative only moves to </w:t>
      </w:r>
      <w:r>
        <w:rPr>
          <w:i/>
        </w:rPr>
        <w:t xml:space="preserve">Retired</w:t>
      </w:r>
      <w:r>
        <w:t xml:space="preserve"> status in the register when the retirement plan has been </w:t>
      </w:r>
      <w:r>
        <w:rPr>
          <w:b/>
        </w:rPr>
        <w:t xml:space="preserve">executed and verified</w:t>
      </w:r>
      <w:r>
        <w:t xml:space="preserve"> (03 §3.2).</w:t>
      </w:r>
    </w:p>
    <w:p>
      <w:pPr>
        <w:pStyle w:val="Lista"/>
      </w:pPr>
      <w:r>
        <w:t xml:space="preserve">• A well-founded decision to retire is a valid outcome of the method.</w:t>
      </w:r>
    </w:p>
    <w:p>
      <w:r>
        <w:t xml:space="preserve">This template does not constitute legal advice. The retention and deletion of data must be validated with data protection and legal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Origin of the decision</w:t>
            </w:r>
          </w:p>
        </w:tc>
        <w:tc>
          <w:tcPr>
            <w:tcW w:w="3213" w:type="dxa"/>
          </w:tcPr>
          <w:p>
            <w:pPr>
              <w:pStyle w:val="Celda"/>
            </w:pPr>
          </w:p>
        </w:tc>
        <w:tc>
          <w:tcPr>
            <w:tcW w:w="3213" w:type="dxa"/>
          </w:tcPr>
          <w:p>
            <w:pPr>
              <w:pStyle w:val="Celda"/>
            </w:pPr>
            <w:r>
              <w:t xml:space="preserve">Ordinary G7 · G7 brought forward by R6 · Regularisation · Portfolio decision.</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Summary of the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Magnitude</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Status or source</w:t>
            </w:r>
          </w:p>
        </w:tc>
        <w:tc>
          <w:tcPr>
            <w:tcW w:w="2410" w:type="dxa"/>
            <w:shd w:val="clear" w:color="auto" w:fill="F2DFCE"/>
          </w:tcPr>
          <w:p>
            <w:pPr>
              <w:pStyle w:val="Celda"/>
            </w:pPr>
            <w:r>
              <w:rPr>
                <w:b/>
              </w:rPr>
              <w:t xml:space="preserve">Guidance</w:t>
            </w:r>
          </w:p>
        </w:tc>
      </w:tr>
      <w:tr>
        <w:tc>
          <w:tcPr>
            <w:tcW w:w="2410" w:type="dxa"/>
          </w:tcPr>
          <w:p>
            <w:pPr>
              <w:pStyle w:val="Celda"/>
            </w:pPr>
            <w:r>
              <w:t xml:space="preserve">Realised annual efficiencies (€)</w:t>
            </w:r>
          </w:p>
        </w:tc>
        <w:tc>
          <w:tcPr>
            <w:tcW w:w="2410" w:type="dxa"/>
          </w:tcPr>
          <w:p>
            <w:pPr>
              <w:pStyle w:val="Celda"/>
            </w:pPr>
          </w:p>
        </w:tc>
        <w:tc>
          <w:tcPr>
            <w:tcW w:w="2410" w:type="dxa"/>
          </w:tcPr>
          <w:p>
            <w:pPr>
              <w:pStyle w:val="Celda"/>
            </w:pPr>
            <w:r>
              <w:t xml:space="preserve">Validated · Declared · Estimated</w:t>
            </w:r>
          </w:p>
        </w:tc>
        <w:tc>
          <w:tcPr>
            <w:tcW w:w="2410" w:type="dxa"/>
          </w:tcPr>
          <w:p>
            <w:pPr>
              <w:pStyle w:val="Celda"/>
            </w:pPr>
            <w:r>
              <w:t xml:space="preserve">P28.</w:t>
            </w:r>
          </w:p>
        </w:tc>
      </w:tr>
      <w:tr>
        <w:tc>
          <w:tcPr>
            <w:tcW w:w="2410" w:type="dxa"/>
          </w:tcPr>
          <w:p>
            <w:pPr>
              <w:pStyle w:val="Celda"/>
            </w:pPr>
            <w:r>
              <w:t xml:space="preserve">Realised annual return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Actual annual recurring cost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rPr>
                <w:b/>
              </w:rPr>
              <w:t xml:space="preserve">Annual net value (€)</w:t>
            </w:r>
          </w:p>
        </w:tc>
        <w:tc>
          <w:tcPr>
            <w:tcW w:w="2410" w:type="dxa"/>
          </w:tcPr>
          <w:p>
            <w:pPr>
              <w:pStyle w:val="Celda"/>
            </w:pPr>
          </w:p>
        </w:tc>
        <w:tc>
          <w:tcPr>
            <w:tcW w:w="2410" w:type="dxa"/>
          </w:tcPr>
          <w:p>
            <w:pPr>
              <w:pStyle w:val="Celda"/>
            </w:pPr>
          </w:p>
        </w:tc>
        <w:tc>
          <w:tcPr>
            <w:tcW w:w="2410" w:type="dxa"/>
          </w:tcPr>
          <w:p>
            <w:pPr>
              <w:pStyle w:val="Celda"/>
            </w:pPr>
            <w:r>
              <w:t xml:space="preserve">Efficiencies + return − recurring cost.</w:t>
            </w:r>
          </w:p>
        </w:tc>
      </w:tr>
      <w:tr>
        <w:tc>
          <w:tcPr>
            <w:tcW w:w="2410" w:type="dxa"/>
          </w:tcPr>
          <w:p>
            <w:pPr>
              <w:pStyle w:val="Celda"/>
            </w:pPr>
            <w:r>
              <w:t xml:space="preserve">Proportion of validated value</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Expected annual net value in the hypothesis (€)</w:t>
            </w:r>
          </w:p>
        </w:tc>
        <w:tc>
          <w:tcPr>
            <w:tcW w:w="2410" w:type="dxa"/>
          </w:tcPr>
          <w:p>
            <w:pPr>
              <w:pStyle w:val="Celda"/>
            </w:pPr>
          </w:p>
        </w:tc>
        <w:tc>
          <w:tcPr>
            <w:tcW w:w="2410" w:type="dxa"/>
          </w:tcPr>
          <w:p>
            <w:pPr>
              <w:pStyle w:val="Celda"/>
            </w:pPr>
          </w:p>
        </w:tc>
        <w:tc>
          <w:tcPr>
            <w:tcW w:w="2410" w:type="dxa"/>
          </w:tcPr>
          <w:p>
            <w:pPr>
              <w:pStyle w:val="Celda"/>
            </w:pPr>
            <w:r>
              <w:t xml:space="preserve">P08.</w:t>
            </w:r>
          </w:p>
        </w:tc>
      </w:tr>
      <w:tr>
        <w:tc>
          <w:tcPr>
            <w:tcW w:w="2410" w:type="dxa"/>
          </w:tcPr>
          <w:p>
            <w:pPr>
              <w:pStyle w:val="Celda"/>
            </w:pPr>
            <w:r>
              <w:t xml:space="preserve">Released capacity: realised · reassigned · pending (hours)</w:t>
            </w:r>
          </w:p>
        </w:tc>
        <w:tc>
          <w:tcPr>
            <w:tcW w:w="2410" w:type="dxa"/>
          </w:tcPr>
          <w:p>
            <w:pPr>
              <w:pStyle w:val="Celda"/>
            </w:pPr>
          </w:p>
        </w:tc>
        <w:tc>
          <w:tcPr>
            <w:tcW w:w="2410" w:type="dxa"/>
          </w:tcPr>
          <w:p>
            <w:pPr>
              <w:pStyle w:val="Celda"/>
            </w:pPr>
          </w:p>
        </w:tc>
        <w:tc>
          <w:tcPr>
            <w:tcW w:w="2410" w:type="dxa"/>
          </w:tcPr>
          <w:p>
            <w:pPr>
              <w:pStyle w:val="Celda"/>
            </w:pPr>
            <w:r>
              <w:t xml:space="preserve">P28 block 6; not counted.</w:t>
            </w:r>
          </w:p>
        </w:tc>
      </w:tr>
      <w:tr>
        <w:tc>
          <w:tcPr>
            <w:tcW w:w="2410" w:type="dxa"/>
          </w:tcPr>
          <w:p>
            <w:pPr>
              <w:pStyle w:val="Celda"/>
            </w:pPr>
            <w:r>
              <w:t xml:space="preserve">Total investment made (€)</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 and trend</w:t>
            </w:r>
          </w:p>
        </w:tc>
        <w:tc>
          <w:tcPr>
            <w:tcW w:w="2410" w:type="dxa"/>
          </w:tcPr>
          <w:p>
            <w:pPr>
              <w:pStyle w:val="Celda"/>
            </w:pPr>
          </w:p>
        </w:tc>
        <w:tc>
          <w:tcPr>
            <w:tcW w:w="2410" w:type="dxa"/>
          </w:tcPr>
          <w:p>
            <w:pPr>
              <w:pStyle w:val="Celda"/>
            </w:pPr>
            <w:r>
              <w:t xml:space="preserve">Low · Medium · High · Critical</w:t>
            </w:r>
          </w:p>
        </w:tc>
        <w:tc>
          <w:tcPr>
            <w:tcW w:w="2410" w:type="dxa"/>
          </w:tcPr>
          <w:p>
            <w:pPr>
              <w:pStyle w:val="Celda"/>
            </w:pPr>
            <w:r>
              <w:t xml:space="preserve">P12.</w:t>
            </w:r>
          </w:p>
        </w:tc>
      </w:tr>
      <w:tr>
        <w:tc>
          <w:tcPr>
            <w:tcW w:w="2410" w:type="dxa"/>
          </w:tcPr>
          <w:p>
            <w:pPr>
              <w:pStyle w:val="Celda"/>
            </w:pPr>
            <w:r>
              <w:t xml:space="preserve">S1–S2 incidents since go-live</w:t>
            </w:r>
          </w:p>
        </w:tc>
        <w:tc>
          <w:tcPr>
            <w:tcW w:w="2410" w:type="dxa"/>
          </w:tcPr>
          <w:p>
            <w:pPr>
              <w:pStyle w:val="Celda"/>
            </w:pPr>
          </w:p>
        </w:tc>
        <w:tc>
          <w:tcPr>
            <w:tcW w:w="2410" w:type="dxa"/>
          </w:tcPr>
          <w:p>
            <w:pPr>
              <w:pStyle w:val="Celda"/>
            </w:pPr>
          </w:p>
        </w:tc>
        <w:tc>
          <w:tcPr>
            <w:tcW w:w="2410" w:type="dxa"/>
          </w:tcPr>
          <w:p>
            <w:pPr>
              <w:pStyle w:val="Celda"/>
            </w:pPr>
            <w:r>
              <w:t xml:space="preserve">P27.</w:t>
            </w:r>
          </w:p>
        </w:tc>
      </w:tr>
      <w:tr>
        <w:tc>
          <w:tcPr>
            <w:tcW w:w="2410" w:type="dxa"/>
          </w:tcPr>
          <w:p>
            <w:pPr>
              <w:pStyle w:val="Celda"/>
            </w:pPr>
            <w:r>
              <w:t xml:space="preserve">Open nonconformities</w:t>
            </w:r>
          </w:p>
        </w:tc>
        <w:tc>
          <w:tcPr>
            <w:tcW w:w="2410" w:type="dxa"/>
          </w:tcPr>
          <w:p>
            <w:pPr>
              <w:pStyle w:val="Celda"/>
            </w:pP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Adoption against target</w:t>
            </w:r>
          </w:p>
        </w:tc>
        <w:tc>
          <w:tcPr>
            <w:tcW w:w="2410" w:type="dxa"/>
          </w:tcPr>
          <w:p>
            <w:pPr>
              <w:pStyle w:val="Celda"/>
            </w:pP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Currency of the regulatory classification</w:t>
            </w:r>
          </w:p>
        </w:tc>
        <w:tc>
          <w:tcPr>
            <w:tcW w:w="2410" w:type="dxa"/>
          </w:tcPr>
          <w:p>
            <w:pPr>
              <w:pStyle w:val="Celda"/>
            </w:pPr>
          </w:p>
        </w:tc>
        <w:tc>
          <w:tcPr>
            <w:tcW w:w="2410" w:type="dxa"/>
          </w:tcPr>
          <w:p>
            <w:pPr>
              <w:pStyle w:val="Celda"/>
            </w:pPr>
            <w:r>
              <w:t xml:space="preserve">Current · Requires review</w:t>
            </w:r>
          </w:p>
        </w:tc>
        <w:tc>
          <w:tcPr>
            <w:tcW w:w="2410" w:type="dxa"/>
          </w:tcPr>
          <w:p>
            <w:pPr>
              <w:pStyle w:val="Celda"/>
            </w:pPr>
            <w:r>
              <w:t xml:space="preserve">P11.</w:t>
            </w:r>
          </w:p>
        </w:tc>
      </w:tr>
    </w:tbl>
    <w:p>
      <w:pPr>
        <w:pStyle w:val="Espacio"/>
      </w:pPr>
    </w:p>
    <w:p>
      <w:pPr>
        <w:pStyle w:val="Separador"/>
      </w:pPr>
    </w:p>
    <w:p>
      <w:pPr>
        <w:pStyle w:val="Heading1"/>
      </w:pPr>
      <w:r>
        <w:t xml:space="preserve">4. Declared versus actual ambition</w:t>
      </w:r>
    </w:p>
    <w:p>
      <w:r>
        <w:t xml:space="preserve">The five classification questions are answered again using actual evidence (00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Answer in phase 2 (Yes · No)</w:t>
            </w:r>
          </w:p>
        </w:tc>
        <w:tc>
          <w:tcPr>
            <w:tcW w:w="1928" w:type="dxa"/>
            <w:shd w:val="clear" w:color="auto" w:fill="F2DFCE"/>
          </w:tcPr>
          <w:p>
            <w:pPr>
              <w:pStyle w:val="Celda"/>
            </w:pPr>
            <w:r>
              <w:rPr>
                <w:b/>
              </w:rPr>
              <w:t xml:space="preserve">Answer with actual evidence (Yes · No)</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Does it change the value proposition received by the customer or end user?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Is the process redesigned end to end, and not just a task?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Do roles, organisational structure or who makes which decisions change?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Does it generate revenue, services or markets that did not exist before?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Could it be retired without affecting the business model, simply returning to the previous cost?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ambition level</w:t>
            </w:r>
          </w:p>
        </w:tc>
        <w:tc>
          <w:tcPr>
            <w:tcW w:w="3213" w:type="dxa"/>
          </w:tcPr>
          <w:p>
            <w:pPr>
              <w:pStyle w:val="Celda"/>
            </w:pPr>
          </w:p>
        </w:tc>
        <w:tc>
          <w:tcPr>
            <w:tcW w:w="3213" w:type="dxa"/>
          </w:tcPr>
          <w:p>
            <w:pPr>
              <w:pStyle w:val="Celda"/>
            </w:pPr>
            <w:r>
              <w:t xml:space="preserve">Optimise · Augment · Transform. If it differs from the confirmed level, P07 and the register are updated.</w:t>
            </w:r>
          </w:p>
        </w:tc>
      </w:tr>
      <w:tr>
        <w:tc>
          <w:tcPr>
            <w:tcW w:w="3213" w:type="dxa"/>
          </w:tcPr>
          <w:p>
            <w:pPr>
              <w:pStyle w:val="Celda"/>
            </w:pPr>
            <w:r>
              <w:t xml:space="preserve">Compliance with the G7 criterion for the level (01 §7.6)</w:t>
            </w:r>
          </w:p>
        </w:tc>
        <w:tc>
          <w:tcPr>
            <w:tcW w:w="3213" w:type="dxa"/>
          </w:tcPr>
          <w:p>
            <w:pPr>
              <w:pStyle w:val="Celda"/>
            </w:pPr>
          </w:p>
        </w:tc>
        <w:tc>
          <w:tcPr>
            <w:tcW w:w="3213" w:type="dxa"/>
          </w:tcPr>
          <w:p>
            <w:pPr>
              <w:pStyle w:val="Celda"/>
            </w:pPr>
            <w:r>
              <w:t xml:space="preserve">Optimise: realised savings · Augment: sustained performance and reassigned capacity · Transform: measured return and verified change. Status: Met · Not met · Pending.</w:t>
            </w:r>
          </w:p>
        </w:tc>
      </w:tr>
    </w:tbl>
    <w:p>
      <w:pPr>
        <w:pStyle w:val="Espacio"/>
      </w:pPr>
    </w:p>
    <w:p>
      <w:pPr>
        <w:pStyle w:val="Separador"/>
      </w:pPr>
    </w:p>
    <w:p>
      <w:pPr>
        <w:pStyle w:val="Heading1"/>
      </w:pPr>
      <w:r>
        <w:t xml:space="preserve">5. Options assessed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Option</w:t>
            </w:r>
          </w:p>
        </w:tc>
        <w:tc>
          <w:tcPr>
            <w:tcW w:w="1377" w:type="dxa"/>
            <w:shd w:val="clear" w:color="auto" w:fill="F2DFCE"/>
          </w:tcPr>
          <w:p>
            <w:pPr>
              <w:pStyle w:val="Celda"/>
            </w:pPr>
            <w:r>
              <w:rPr>
                <w:b/>
              </w:rPr>
              <w:t xml:space="preserve">Arguments for</w:t>
            </w:r>
          </w:p>
        </w:tc>
        <w:tc>
          <w:tcPr>
            <w:tcW w:w="1377" w:type="dxa"/>
            <w:shd w:val="clear" w:color="auto" w:fill="F2DFCE"/>
          </w:tcPr>
          <w:p>
            <w:pPr>
              <w:pStyle w:val="Celda"/>
            </w:pPr>
            <w:r>
              <w:rPr>
                <w:b/>
              </w:rPr>
              <w:t xml:space="preserve">Arguments against</w:t>
            </w:r>
          </w:p>
        </w:tc>
        <w:tc>
          <w:tcPr>
            <w:tcW w:w="1377" w:type="dxa"/>
            <w:shd w:val="clear" w:color="auto" w:fill="F2DFCE"/>
          </w:tcPr>
          <w:p>
            <w:pPr>
              <w:pStyle w:val="Celda"/>
            </w:pPr>
            <w:r>
              <w:rPr>
                <w:b/>
              </w:rPr>
              <w:t xml:space="preserve">Additional investment (€)</w:t>
            </w:r>
          </w:p>
        </w:tc>
        <w:tc>
          <w:tcPr>
            <w:tcW w:w="1377" w:type="dxa"/>
            <w:shd w:val="clear" w:color="auto" w:fill="F2DFCE"/>
          </w:tcPr>
          <w:p>
            <w:pPr>
              <w:pStyle w:val="Celda"/>
            </w:pPr>
            <w:r>
              <w:rPr>
                <w:b/>
              </w:rPr>
              <w:t xml:space="preserve">Expected additional annual net value (€)</w:t>
            </w:r>
          </w:p>
        </w:tc>
        <w:tc>
          <w:tcPr>
            <w:tcW w:w="1377" w:type="dxa"/>
            <w:shd w:val="clear" w:color="auto" w:fill="F2DFCE"/>
          </w:tcPr>
          <w:p>
            <w:pPr>
              <w:pStyle w:val="Celda"/>
            </w:pPr>
            <w:r>
              <w:rPr>
                <w:b/>
              </w:rPr>
              <w:t xml:space="preserve">Additional net value per euro</w:t>
            </w:r>
          </w:p>
        </w:tc>
        <w:tc>
          <w:tcPr>
            <w:tcW w:w="1377" w:type="dxa"/>
            <w:shd w:val="clear" w:color="auto" w:fill="F2DFCE"/>
          </w:tcPr>
          <w:p>
            <w:pPr>
              <w:pStyle w:val="Celda"/>
            </w:pPr>
            <w:r>
              <w:rPr>
                <w:b/>
              </w:rPr>
              <w:t xml:space="preserve">Timeframe</w:t>
            </w:r>
          </w:p>
        </w:tc>
      </w:tr>
      <w:tr>
        <w:tc>
          <w:tcPr>
            <w:tcW w:w="1377" w:type="dxa"/>
          </w:tcPr>
          <w:p>
            <w:pPr>
              <w:pStyle w:val="Celda"/>
            </w:pPr>
            <w:r>
              <w:t xml:space="preserve">Scale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Iterate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p>
        </w:tc>
      </w:tr>
      <w:tr>
        <w:tc>
          <w:tcPr>
            <w:tcW w:w="1377" w:type="dxa"/>
          </w:tcPr>
          <w:p>
            <w:pPr>
              <w:pStyle w:val="Celda"/>
            </w:pPr>
            <w:r>
              <w:t xml:space="preserve">Retire</w:t>
            </w:r>
          </w:p>
        </w:tc>
        <w:tc>
          <w:tcPr>
            <w:tcW w:w="1377" w:type="dxa"/>
          </w:tcPr>
          <w:p>
            <w:pPr>
              <w:pStyle w:val="Celda"/>
            </w:pPr>
          </w:p>
        </w:tc>
        <w:tc>
          <w:tcPr>
            <w:tcW w:w="1377" w:type="dxa"/>
          </w:tcPr>
          <w:p>
            <w:pPr>
              <w:pStyle w:val="Celda"/>
            </w:pPr>
          </w:p>
        </w:tc>
        <w:tc>
          <w:tcPr>
            <w:tcW w:w="1377" w:type="dxa"/>
          </w:tcPr>
          <w:p>
            <w:pPr>
              <w:pStyle w:val="Celda"/>
            </w:pPr>
            <w:r>
              <w:t xml:space="preserve">Retirement cost</w:t>
            </w:r>
          </w:p>
        </w:tc>
        <w:tc>
          <w:tcPr>
            <w:tcW w:w="1377" w:type="dxa"/>
          </w:tcPr>
          <w:p>
            <w:pPr>
              <w:pStyle w:val="Celda"/>
            </w:pPr>
            <w:r>
              <w:t xml:space="preserve">Recurring cost savings minus value lost</w:t>
            </w:r>
          </w:p>
        </w:tc>
        <w:tc>
          <w:tcPr>
            <w:tcW w:w="1377" w:type="dxa"/>
          </w:tcPr>
          <w:p>
            <w:pPr>
              <w:pStyle w:val="Celda"/>
            </w:pPr>
            <w:r>
              <w:t xml:space="preserve">—</w:t>
            </w:r>
          </w:p>
        </w:tc>
        <w:tc>
          <w:tcPr>
            <w:tcW w:w="1377" w:type="dxa"/>
          </w:tcPr>
          <w:p>
            <w:pPr>
              <w:pStyle w:val="Celda"/>
            </w:pPr>
          </w:p>
        </w:tc>
      </w:tr>
    </w:tbl>
    <w:p>
      <w:pPr>
        <w:pStyle w:val="Espacio"/>
      </w:pPr>
    </w:p>
    <w:p>
      <w:r>
        <w:t xml:space="preserve">A scaling potential without additional investment, hypothesis and timeframe is not a data point (measurement rule 4).</w:t>
      </w:r>
    </w:p>
    <w:p>
      <w:pPr>
        <w:pStyle w:val="Separador"/>
      </w:pPr>
    </w:p>
    <w:p>
      <w:pPr>
        <w:pStyle w:val="Heading1"/>
      </w:pPr>
      <w:r>
        <w:t xml:space="preserve">6. Decision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Scale · Iterate · Retire.</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Based on blocks 3 to 5.</w:t>
            </w:r>
          </w:p>
        </w:tc>
      </w:tr>
      <w:tr>
        <w:tc>
          <w:tcPr>
            <w:tcW w:w="3213" w:type="dxa"/>
          </w:tcPr>
          <w:p>
            <w:pPr>
              <w:pStyle w:val="Celda"/>
            </w:pPr>
            <w:r>
              <w:t xml:space="preserve">Coded reason (if Retire)</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Deciding body and date</w:t>
            </w:r>
          </w:p>
        </w:tc>
        <w:tc>
          <w:tcPr>
            <w:tcW w:w="3213" w:type="dxa"/>
          </w:tcPr>
          <w:p>
            <w:pPr>
              <w:pStyle w:val="Celda"/>
            </w:pPr>
          </w:p>
        </w:tc>
        <w:tc>
          <w:tcPr>
            <w:tcW w:w="3213" w:type="dxa"/>
          </w:tcPr>
          <w:p>
            <w:pPr>
              <w:pStyle w:val="Celda"/>
            </w:pPr>
            <w:r>
              <w:t xml:space="preserve">Sponsor (Lite) · AI Committee (Enterprise).</w:t>
            </w:r>
          </w:p>
        </w:tc>
      </w:tr>
      <w:tr>
        <w:tc>
          <w:tcPr>
            <w:tcW w:w="3213" w:type="dxa"/>
          </w:tcPr>
          <w:p>
            <w:pPr>
              <w:pStyle w:val="Celda"/>
            </w:pPr>
            <w:r>
              <w:t xml:space="preserve">Board approval</w:t>
            </w:r>
          </w:p>
        </w:tc>
        <w:tc>
          <w:tcPr>
            <w:tcW w:w="3213" w:type="dxa"/>
          </w:tcPr>
          <w:p>
            <w:pPr>
              <w:pStyle w:val="Celda"/>
            </w:pPr>
          </w:p>
        </w:tc>
        <w:tc>
          <w:tcPr>
            <w:tcW w:w="3213" w:type="dxa"/>
          </w:tcPr>
          <w:p>
            <w:pPr>
              <w:pStyle w:val="Celda"/>
            </w:pPr>
            <w:r>
              <w:t xml:space="preserve">Mandatory for Scale in Transform. Date and reference of the minutes.</w:t>
            </w:r>
          </w:p>
        </w:tc>
      </w:tr>
      <w:tr>
        <w:tc>
          <w:tcPr>
            <w:tcW w:w="3213" w:type="dxa"/>
          </w:tcPr>
          <w:p>
            <w:pPr>
              <w:pStyle w:val="Celda"/>
            </w:pPr>
            <w:r>
              <w:rPr>
                <w:i/>
              </w:rPr>
              <w:t xml:space="preserve">Gate</w:t>
            </w:r>
            <w:r>
              <w:t xml:space="preserve"> decision record</w:t>
            </w:r>
          </w:p>
        </w:tc>
        <w:tc>
          <w:tcPr>
            <w:tcW w:w="3213" w:type="dxa"/>
          </w:tcPr>
          <w:p>
            <w:pPr>
              <w:pStyle w:val="Celda"/>
            </w:pPr>
          </w:p>
        </w:tc>
        <w:tc>
          <w:tcPr>
            <w:tcW w:w="3213" w:type="dxa"/>
          </w:tcPr>
          <w:p>
            <w:pPr>
              <w:pStyle w:val="Celda"/>
            </w:pPr>
            <w:r>
              <w:t xml:space="preserve">Reference to P29.</w:t>
            </w:r>
          </w:p>
        </w:tc>
      </w:tr>
    </w:tbl>
    <w:p>
      <w:pPr>
        <w:pStyle w:val="Espacio"/>
      </w:pPr>
    </w:p>
    <w:p>
      <w:pPr>
        <w:pStyle w:val="Separador"/>
      </w:pPr>
    </w:p>
    <w:p>
      <w:pPr>
        <w:pStyle w:val="Heading1"/>
      </w:pPr>
      <w:r>
        <w:t xml:space="preserve">7. If scaling or iterating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Extended scope (Scale)</w:t>
            </w:r>
          </w:p>
        </w:tc>
        <w:tc>
          <w:tcPr>
            <w:tcW w:w="3213" w:type="dxa"/>
          </w:tcPr>
          <w:p>
            <w:pPr>
              <w:pStyle w:val="Celda"/>
            </w:pPr>
          </w:p>
        </w:tc>
        <w:tc>
          <w:tcPr>
            <w:tcW w:w="3213" w:type="dxa"/>
          </w:tcPr>
          <w:p>
            <w:pPr>
              <w:pStyle w:val="Celda"/>
            </w:pPr>
            <w:r>
              <w:t xml:space="preserve">New areas, countries, users, use cases or functions.</w:t>
            </w:r>
          </w:p>
        </w:tc>
      </w:tr>
      <w:tr>
        <w:tc>
          <w:tcPr>
            <w:tcW w:w="3213" w:type="dxa"/>
          </w:tcPr>
          <w:p>
            <w:pPr>
              <w:pStyle w:val="Celda"/>
            </w:pPr>
            <w:r>
              <w:t xml:space="preserve">New phase 0 (Scale)</w:t>
            </w:r>
          </w:p>
        </w:tc>
        <w:tc>
          <w:tcPr>
            <w:tcW w:w="3213" w:type="dxa"/>
          </w:tcPr>
          <w:p>
            <w:pPr>
              <w:pStyle w:val="Celda"/>
            </w:pPr>
          </w:p>
        </w:tc>
        <w:tc>
          <w:tcPr>
            <w:tcW w:w="3213" w:type="dxa"/>
          </w:tcPr>
          <w:p>
            <w:pPr>
              <w:pStyle w:val="Celda"/>
            </w:pPr>
            <w:r>
              <w:t xml:space="preserve">The extended scope starts a new phase 0 with its charter (P01); its treatment in the register is governed by document 14.</w:t>
            </w:r>
          </w:p>
        </w:tc>
      </w:tr>
      <w:tr>
        <w:tc>
          <w:tcPr>
            <w:tcW w:w="3213" w:type="dxa"/>
          </w:tcPr>
          <w:p>
            <w:pPr>
              <w:pStyle w:val="Celda"/>
            </w:pPr>
            <w:r>
              <w:t xml:space="preserve">Planned changes in intensity or classification (Scale)</w:t>
            </w:r>
          </w:p>
        </w:tc>
        <w:tc>
          <w:tcPr>
            <w:tcW w:w="3213" w:type="dxa"/>
          </w:tcPr>
          <w:p>
            <w:pPr>
              <w:pStyle w:val="Celda"/>
            </w:pPr>
          </w:p>
        </w:tc>
        <w:tc>
          <w:tcPr>
            <w:tcW w:w="3213" w:type="dxa"/>
          </w:tcPr>
          <w:p>
            <w:pPr>
              <w:pStyle w:val="Celda"/>
            </w:pPr>
            <w:r>
              <w:t xml:space="preserve">For example, the extended scope introduces direct exposure to customers.</w:t>
            </w:r>
          </w:p>
        </w:tc>
      </w:tr>
      <w:tr>
        <w:tc>
          <w:tcPr>
            <w:tcW w:w="3213" w:type="dxa"/>
          </w:tcPr>
          <w:p>
            <w:pPr>
              <w:pStyle w:val="Celda"/>
            </w:pPr>
            <w:r>
              <w:t xml:space="preserve">Phase to return to (Iterate)</w:t>
            </w:r>
          </w:p>
        </w:tc>
        <w:tc>
          <w:tcPr>
            <w:tcW w:w="3213" w:type="dxa"/>
          </w:tcPr>
          <w:p>
            <w:pPr>
              <w:pStyle w:val="Celda"/>
            </w:pPr>
          </w:p>
        </w:tc>
        <w:tc>
          <w:tcPr>
            <w:tcW w:w="3213" w:type="dxa"/>
          </w:tcPr>
          <w:p>
            <w:pPr>
              <w:pStyle w:val="Celda"/>
            </w:pPr>
            <w:r>
              <w:t xml:space="preserve">And what must change in order to return to G7.</w:t>
            </w:r>
          </w:p>
        </w:tc>
      </w:tr>
      <w:tr>
        <w:tc>
          <w:tcPr>
            <w:tcW w:w="3213" w:type="dxa"/>
          </w:tcPr>
          <w:p>
            <w:pPr>
              <w:pStyle w:val="Celda"/>
            </w:pPr>
            <w:r>
              <w:t xml:space="preserve">Planned date of the new review (Iterate)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Retirement plan</w:t>
      </w:r>
    </w:p>
    <w:p>
      <w:pPr>
        <w:pStyle w:val="Heading2"/>
      </w:pPr>
      <w:r>
        <w:t xml:space="preserve">8.1 General information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decision</w:t>
            </w:r>
          </w:p>
        </w:tc>
        <w:tc>
          <w:tcPr>
            <w:tcW w:w="3213" w:type="dxa"/>
          </w:tcPr>
          <w:p>
            <w:pPr>
              <w:pStyle w:val="Celda"/>
            </w:pPr>
          </w:p>
        </w:tc>
        <w:tc>
          <w:tcPr>
            <w:tcW w:w="3213" w:type="dxa"/>
          </w:tcPr>
          <w:p>
            <w:pPr>
              <w:pStyle w:val="Celda"/>
            </w:pPr>
          </w:p>
        </w:tc>
      </w:tr>
      <w:tr>
        <w:tc>
          <w:tcPr>
            <w:tcW w:w="3213" w:type="dxa"/>
          </w:tcPr>
          <w:p>
            <w:pPr>
              <w:pStyle w:val="Celda"/>
            </w:pPr>
            <w:r>
              <w:t xml:space="preserve">Effective retirement date</w:t>
            </w:r>
          </w:p>
        </w:tc>
        <w:tc>
          <w:tcPr>
            <w:tcW w:w="3213" w:type="dxa"/>
          </w:tcPr>
          <w:p>
            <w:pPr>
              <w:pStyle w:val="Celda"/>
            </w:pPr>
          </w:p>
        </w:tc>
        <w:tc>
          <w:tcPr>
            <w:tcW w:w="3213" w:type="dxa"/>
          </w:tcPr>
          <w:p>
            <w:pPr>
              <w:pStyle w:val="Celda"/>
            </w:pPr>
            <w:r>
              <w:t xml:space="preserve">Date on which the system ceases to produce effects.</w:t>
            </w:r>
          </w:p>
        </w:tc>
      </w:tr>
      <w:tr>
        <w:tc>
          <w:tcPr>
            <w:tcW w:w="3213" w:type="dxa"/>
          </w:tcPr>
          <w:p>
            <w:pPr>
              <w:pStyle w:val="Celda"/>
            </w:pPr>
            <w:r>
              <w:t xml:space="preserve">Coded reason</w:t>
            </w:r>
          </w:p>
        </w:tc>
        <w:tc>
          <w:tcPr>
            <w:tcW w:w="3213" w:type="dxa"/>
          </w:tcPr>
          <w:p>
            <w:pPr>
              <w:pStyle w:val="Celda"/>
            </w:pPr>
          </w:p>
        </w:tc>
        <w:tc>
          <w:tcPr>
            <w:tcW w:w="3213" w:type="dxa"/>
          </w:tcPr>
          <w:p>
            <w:pPr>
              <w:pStyle w:val="Celda"/>
            </w:pPr>
            <w:r>
              <w:t xml:space="preserve">The one in block 6.</w:t>
            </w:r>
          </w:p>
        </w:tc>
      </w:tr>
      <w:tr>
        <w:tc>
          <w:tcPr>
            <w:tcW w:w="3213" w:type="dxa"/>
          </w:tcPr>
          <w:p>
            <w:pPr>
              <w:pStyle w:val="Celda"/>
            </w:pPr>
            <w:r>
              <w:t xml:space="preserve">Deciding body</w:t>
            </w:r>
          </w:p>
        </w:tc>
        <w:tc>
          <w:tcPr>
            <w:tcW w:w="3213" w:type="dxa"/>
          </w:tcPr>
          <w:p>
            <w:pPr>
              <w:pStyle w:val="Celda"/>
            </w:pPr>
          </w:p>
        </w:tc>
        <w:tc>
          <w:tcPr>
            <w:tcW w:w="3213" w:type="dxa"/>
          </w:tcPr>
          <w:p>
            <w:pPr>
              <w:pStyle w:val="Celda"/>
            </w:pP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Another AI system · Non-AI solution · Manual process · None. Identifier if it is a system.</w:t>
            </w:r>
          </w:p>
        </w:tc>
      </w:tr>
      <w:tr>
        <w:tc>
          <w:tcPr>
            <w:tcW w:w="3213" w:type="dxa"/>
          </w:tcPr>
          <w:p>
            <w:pPr>
              <w:pStyle w:val="Celda"/>
            </w:pPr>
            <w:r>
              <w:t xml:space="preserve">Transition to the replacement</w:t>
            </w:r>
          </w:p>
        </w:tc>
        <w:tc>
          <w:tcPr>
            <w:tcW w:w="3213" w:type="dxa"/>
          </w:tcPr>
          <w:p>
            <w:pPr>
              <w:pStyle w:val="Celda"/>
            </w:pPr>
          </w:p>
        </w:tc>
        <w:tc>
          <w:tcPr>
            <w:tcW w:w="3213" w:type="dxa"/>
          </w:tcPr>
          <w:p>
            <w:pPr>
              <w:pStyle w:val="Celda"/>
            </w:pPr>
            <w:r>
              <w:t xml:space="preserve">Coexistence period, cut-over criteria and capacity required.</w:t>
            </w:r>
          </w:p>
        </w:tc>
      </w:tr>
      <w:tr>
        <w:tc>
          <w:tcPr>
            <w:tcW w:w="3213" w:type="dxa"/>
          </w:tcPr>
          <w:p>
            <w:pPr>
              <w:pStyle w:val="Celda"/>
            </w:pPr>
            <w:r>
              <w:t xml:space="preserve">Estimated cost of the retirement (€)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Heading2"/>
      </w:pPr>
      <w:r>
        <w:t xml:space="preserve">8.2 Treatment of data and models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Treatment (Retain · Anonymise · Delete · Return · Archive)</w:t>
            </w:r>
          </w:p>
        </w:tc>
        <w:tc>
          <w:tcPr>
            <w:tcW w:w="1606" w:type="dxa"/>
            <w:shd w:val="clear" w:color="auto" w:fill="F2DFCE"/>
          </w:tcPr>
          <w:p>
            <w:pPr>
              <w:pStyle w:val="Celda"/>
            </w:pPr>
            <w:r>
              <w:rPr>
                <w:b/>
              </w:rPr>
              <w:t xml:space="preserve">Basis (legal obligation, audit, legal defence, end of purpose)</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Evidence (for example, deletion certificate, P57 §8)</w:t>
            </w:r>
          </w:p>
        </w:tc>
      </w:tr>
      <w:tr>
        <w:tc>
          <w:tcPr>
            <w:tcW w:w="1606" w:type="dxa"/>
          </w:tcPr>
          <w:p>
            <w:pPr>
              <w:pStyle w:val="Celda"/>
            </w:pPr>
            <w:r>
              <w:t xml:space="preserve">Training data and datasets (P16)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Inference and action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held by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Models and versions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System instructions and configuration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Technical documentation and lifecycle evidence</w:t>
            </w:r>
          </w:p>
        </w:tc>
        <w:tc>
          <w:tcPr>
            <w:tcW w:w="1606" w:type="dxa"/>
          </w:tcPr>
          <w:p>
            <w:pPr>
              <w:pStyle w:val="Celda"/>
            </w:pPr>
            <w:r>
              <w:t xml:space="preserve">Archive</w:t>
            </w:r>
          </w:p>
        </w:tc>
        <w:tc>
          <w:tcPr>
            <w:tcW w:w="1606" w:type="dxa"/>
          </w:tcPr>
          <w:p>
            <w:pPr>
              <w:pStyle w:val="Celda"/>
            </w:pPr>
            <w:r>
              <w:t xml:space="preserve">Audit and traceability</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8.3 Technical and contractual decommissioning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Status (Pending · Done · Verified)</w:t>
            </w:r>
          </w:p>
        </w:tc>
      </w:tr>
      <w:tr>
        <w:tc>
          <w:tcPr>
            <w:tcW w:w="2410" w:type="dxa"/>
          </w:tcPr>
          <w:p>
            <w:pPr>
              <w:pStyle w:val="Celda"/>
            </w:pPr>
            <w:r>
              <w:t xml:space="preserve">Deactivate the system and its integrations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Revoke agent identities, credentials and permissions (P18)</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Cancel licences and access to third-party models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Terminate or adapt contracts; request deletion or return from the supplier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Remove alerts and dashboards, retaining the history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the AI system inventory (T02)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regulatory registrations where appropriate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8.4 Communication to those affected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Internal users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Customers or affected individuals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Employee representatives, where appropriate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Authorities, where appropriate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8.5 People and capacity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People who operated or oversaw the system</w:t>
            </w:r>
          </w:p>
        </w:tc>
        <w:tc>
          <w:tcPr>
            <w:tcW w:w="3213" w:type="dxa"/>
          </w:tcPr>
          <w:p>
            <w:pPr>
              <w:pStyle w:val="Celda"/>
            </w:pPr>
          </w:p>
        </w:tc>
        <w:tc>
          <w:tcPr>
            <w:tcW w:w="3213" w:type="dxa"/>
          </w:tcPr>
          <w:p>
            <w:pPr>
              <w:pStyle w:val="Celda"/>
            </w:pPr>
            <w:r>
              <w:t xml:space="preserve">New assignment.</w:t>
            </w:r>
          </w:p>
        </w:tc>
      </w:tr>
      <w:tr>
        <w:tc>
          <w:tcPr>
            <w:tcW w:w="3213" w:type="dxa"/>
          </w:tcPr>
          <w:p>
            <w:pPr>
              <w:pStyle w:val="Celda"/>
            </w:pPr>
            <w:r>
              <w:t xml:space="preserve">Capacity needed again</w:t>
            </w:r>
          </w:p>
        </w:tc>
        <w:tc>
          <w:tcPr>
            <w:tcW w:w="3213" w:type="dxa"/>
          </w:tcPr>
          <w:p>
            <w:pPr>
              <w:pStyle w:val="Celda"/>
            </w:pPr>
          </w:p>
        </w:tc>
        <w:tc>
          <w:tcPr>
            <w:tcW w:w="3213" w:type="dxa"/>
          </w:tcPr>
          <w:p>
            <w:pPr>
              <w:pStyle w:val="Celda"/>
            </w:pPr>
            <w:r>
              <w:t xml:space="preserve">If the released capacity had been reassigned or realised, how the process is covered.</w:t>
            </w:r>
          </w:p>
        </w:tc>
      </w:tr>
    </w:tbl>
    <w:p>
      <w:pPr>
        <w:pStyle w:val="Espacio"/>
      </w:pPr>
    </w:p>
    <w:p>
      <w:pPr>
        <w:pStyle w:val="Heading2"/>
      </w:pPr>
      <w:r>
        <w:t xml:space="preserve">8.6 Verification of the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Office (Lite) · AI Auditor (Enterprise).</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Executed · Executed with pending items · Not executed.</w:t>
            </w:r>
          </w:p>
        </w:tc>
      </w:tr>
      <w:tr>
        <w:tc>
          <w:tcPr>
            <w:tcW w:w="3213" w:type="dxa"/>
          </w:tcPr>
          <w:p>
            <w:pPr>
              <w:pStyle w:val="Celda"/>
            </w:pPr>
            <w:r>
              <w:t xml:space="preserve">Status in the register</w:t>
            </w:r>
          </w:p>
        </w:tc>
        <w:tc>
          <w:tcPr>
            <w:tcW w:w="3213" w:type="dxa"/>
          </w:tcPr>
          <w:p>
            <w:pPr>
              <w:pStyle w:val="Celda"/>
            </w:pPr>
          </w:p>
        </w:tc>
        <w:tc>
          <w:tcPr>
            <w:tcW w:w="3213" w:type="dxa"/>
          </w:tcPr>
          <w:p>
            <w:pPr>
              <w:pStyle w:val="Celda"/>
            </w:pPr>
            <w:r>
              <w:t xml:space="preserve">Only with </w:t>
            </w:r>
            <w:r>
              <w:rPr>
                <w:i/>
              </w:rPr>
              <w:t xml:space="preserve">Executed</w:t>
            </w:r>
            <w:r>
              <w:t xml:space="preserve"> does it move to </w:t>
            </w:r>
            <w:r>
              <w:rPr>
                <w:i/>
              </w:rPr>
              <w:t xml:space="preserve">Retired</w:t>
            </w:r>
            <w:r>
              <w:t xml:space="preserve">.</w:t>
            </w:r>
          </w:p>
        </w:tc>
      </w:tr>
    </w:tbl>
    <w:p>
      <w:pPr>
        <w:pStyle w:val="Espacio"/>
      </w:pPr>
    </w:p>
    <w:p>
      <w:pPr>
        <w:pStyle w:val="Separador"/>
      </w:pPr>
    </w:p>
    <w:p>
      <w:pPr>
        <w:pStyle w:val="Heading1"/>
      </w:pPr>
      <w:r>
        <w:t xml:space="preserve">9. Lessons learned</w:t>
      </w:r>
    </w:p>
    <w:p>
      <w:r>
        <w:rPr>
          <w:b/>
        </w:rPr>
        <w:t xml:space="preserve">Applicable to:</w:t>
      </w:r>
      <w:r>
        <w:t xml:space="preserve"> This initiative · Portfolio · Company governance framework.</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What happened</w:t>
            </w:r>
          </w:p>
        </w:tc>
        <w:tc>
          <w:tcPr>
            <w:tcW w:w="1377" w:type="dxa"/>
            <w:shd w:val="clear" w:color="auto" w:fill="F2DFCE"/>
          </w:tcPr>
          <w:p>
            <w:pPr>
              <w:pStyle w:val="Celda"/>
            </w:pPr>
            <w:r>
              <w:rPr>
                <w:b/>
              </w:rPr>
              <w:t xml:space="preserve">Why it happened</w:t>
            </w:r>
          </w:p>
        </w:tc>
        <w:tc>
          <w:tcPr>
            <w:tcW w:w="1377" w:type="dxa"/>
            <w:shd w:val="clear" w:color="auto" w:fill="F2DFCE"/>
          </w:tcPr>
          <w:p>
            <w:pPr>
              <w:pStyle w:val="Celda"/>
            </w:pPr>
            <w:r>
              <w:rPr>
                <w:b/>
              </w:rPr>
              <w:t xml:space="preserve">What will be done differently</w:t>
            </w:r>
          </w:p>
        </w:tc>
        <w:tc>
          <w:tcPr>
            <w:tcW w:w="1377" w:type="dxa"/>
            <w:shd w:val="clear" w:color="auto" w:fill="F2DFCE"/>
          </w:tcPr>
          <w:p>
            <w:pPr>
              <w:pStyle w:val="Celda"/>
            </w:pPr>
            <w:r>
              <w:rPr>
                <w:b/>
              </w:rPr>
              <w:t xml:space="preserve">Applicable to</w:t>
            </w:r>
          </w:p>
        </w:tc>
        <w:tc>
          <w:tcPr>
            <w:tcW w:w="1377" w:type="dxa"/>
            <w:shd w:val="clear" w:color="auto" w:fill="F2DFCE"/>
          </w:tcPr>
          <w:p>
            <w:pPr>
              <w:pStyle w:val="Celda"/>
            </w:pPr>
            <w:r>
              <w:rPr>
                <w:b/>
              </w:rPr>
              <w:t xml:space="preserve">Owner for incorporating it</w:t>
            </w:r>
          </w:p>
        </w:tc>
        <w:tc>
          <w:tcPr>
            <w:tcW w:w="1377" w:type="dxa"/>
            <w:shd w:val="clear" w:color="auto" w:fill="F2DFCE"/>
          </w:tcPr>
          <w:p>
            <w:pPr>
              <w:pStyle w:val="Celda"/>
            </w:pPr>
            <w:r>
              <w:rPr>
                <w:b/>
              </w:rPr>
              <w:t xml:space="preserve">Taken to C5? (Yes · No)</w:t>
            </w:r>
          </w:p>
        </w:tc>
      </w:tr>
      <w:tr>
        <w:tc>
          <w:tcPr>
            <w:tcW w:w="1377" w:type="dxa"/>
          </w:tcPr>
          <w:p>
            <w:pPr>
              <w:pStyle w:val="Celda"/>
            </w:pPr>
            <w:r>
              <w:t xml:space="preserve">1 </w:t>
            </w:r>
            <w:r>
              <w:rPr>
                <w:i/>
              </w:rPr>
              <w:t xml:space="preserve">(illustrative example)</w:t>
            </w:r>
          </w:p>
        </w:tc>
        <w:tc>
          <w:tcPr>
            <w:tcW w:w="1377" w:type="dxa"/>
          </w:tcPr>
          <w:p>
            <w:pPr>
              <w:pStyle w:val="Celda"/>
            </w:pPr>
            <w:r>
              <w:t xml:space="preserve">Adoption stalled at 40% of the target</w:t>
            </w:r>
          </w:p>
        </w:tc>
        <w:tc>
          <w:tcPr>
            <w:tcW w:w="1377" w:type="dxa"/>
          </w:tcPr>
          <w:p>
            <w:pPr>
              <w:pStyle w:val="Celda"/>
            </w:pPr>
            <w:r>
              <w:t xml:space="preserve">The tool added a step to the process without removing any</w:t>
            </w:r>
          </w:p>
        </w:tc>
        <w:tc>
          <w:tcPr>
            <w:tcW w:w="1377" w:type="dxa"/>
          </w:tcPr>
          <w:p>
            <w:pPr>
              <w:pStyle w:val="Celda"/>
            </w:pPr>
            <w:r>
              <w:t xml:space="preserve">Redesign the process before building in Augment initiatives</w:t>
            </w:r>
          </w:p>
        </w:tc>
        <w:tc>
          <w:tcPr>
            <w:tcW w:w="1377" w:type="dxa"/>
          </w:tcPr>
          <w:p>
            <w:pPr>
              <w:pStyle w:val="Celda"/>
            </w:pPr>
            <w:r>
              <w:t xml:space="preserve">Portfolio</w:t>
            </w:r>
          </w:p>
        </w:tc>
        <w:tc>
          <w:tcPr>
            <w:tcW w:w="1377" w:type="dxa"/>
          </w:tcPr>
          <w:p>
            <w:pPr>
              <w:pStyle w:val="Celda"/>
            </w:pPr>
            <w:r>
              <w:t xml:space="preserve">AI Office</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p>
      <w:r>
        <w:t xml:space="preserve">Formal G7 criteria in document 21; LV-G7 checklist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value evidence comes from P28, with statuses and validated proportion.</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actual ambition has been reviewed using the five questions.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options have investment, additional net value and timeframe where applicable.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Scale, Iterate or Retire, with a reason, and with a coded reason if it is Retire.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Scaling in Transform has board approval.</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retirement plan covers date, reason, body, replacement, data and models, and communication.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retirement is verified before the initiative is marked as </w:t>
            </w:r>
            <w:r>
              <w:rPr>
                <w:i/>
              </w:rPr>
              <w:t xml:space="preserve">Retired</w:t>
            </w:r>
            <w:r>
              <w:t xml:space="preserv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are lessons learned with an owner.</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Retirement plan</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Decision-maker</w:t>
            </w:r>
          </w:p>
        </w:tc>
        <w:tc>
          <w:tcPr>
            <w:tcW w:w="1928" w:type="dxa"/>
          </w:tcPr>
          <w:p>
            <w:pPr>
              <w:pStyle w:val="Celda"/>
            </w:pPr>
            <w:r>
              <w:t xml:space="preserve">Sponsor (Lite) · AI Committee (Enterprise) · Board (Scale in Transform)</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the decision-maker are not part of the team that builds or operates the system.</w:t>
      </w:r>
    </w:p>
    <w:p>
      <w:pPr>
        <w:pStyle w:val="Separador"/>
      </w:pPr>
    </w:p>
    <w:p>
      <w:pPr>
        <w:pStyle w:val="Heading1"/>
      </w:pPr>
      <w:r>
        <w:t xml:space="preserve">12.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P30 · Scale or retire decision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P30 · Scale or retire decision</dc:title>
  <dc:creator>Fernando García Varela</dc:creator>
  <dc:language>en</dc:language>
  <dc:description>sha256:5cd30b4821decd2350e758332c92db911740311286e0ce37616d2989a52776ed</dc:description>
  <cp:keywords>SEVEN-G</cp:keywords>
</cp:coreProperties>
</file>