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Diseño de gobierno y supervisión humana</w:t>
      </w:r>
    </w:p>
    <w:p>
      <w:r>
        <w:rPr>
          <w:b/>
        </w:rPr>
        <w:t xml:space="preserve">Fija qué decide el sistema, qué valida una persona y qué no se delega nunca, con qué nivel de autonomía y con qué modos de supervisión humana.</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P17 · Diseño de gobierno y supervisión humana</w:t>
            </w:r>
          </w:p>
        </w:tc>
      </w:tr>
      <w:tr>
        <w:tc>
          <w:tcPr>
            <w:tcW w:w="4819" w:type="dxa"/>
          </w:tcPr>
          <w:p>
            <w:pPr>
              <w:pStyle w:val="Celda"/>
            </w:pPr>
            <w:r>
              <w:t xml:space="preserve">Versión</w:t>
            </w:r>
          </w:p>
        </w:tc>
        <w:tc>
          <w:tcPr>
            <w:tcW w:w="4819" w:type="dxa"/>
          </w:tcPr>
          <w:p>
            <w:pPr>
              <w:pStyle w:val="Celda"/>
            </w:pPr>
            <w:r>
              <w:t xml:space="preserve">0.2 (borrador de trabajo)</w:t>
            </w:r>
          </w:p>
        </w:tc>
      </w:tr>
      <w:tr>
        <w:tc>
          <w:tcPr>
            <w:tcW w:w="4819" w:type="dxa"/>
          </w:tcPr>
          <w:p>
            <w:pPr>
              <w:pStyle w:val="Celda"/>
            </w:pPr>
            <w:r>
              <w:t xml:space="preserve">Fecha</w:t>
            </w:r>
          </w:p>
        </w:tc>
        <w:tc>
          <w:tcPr>
            <w:tcW w:w="4819" w:type="dxa"/>
          </w:tcPr>
          <w:p>
            <w:pPr>
              <w:pStyle w:val="Celda"/>
            </w:pPr>
            <w:r>
              <w:t xml:space="preserve">19-10-2026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Fase 4 (Diseño de la solución), antes de solicitar G4. Se revisa en G5 con lo observado en el piloto y en cada R6, o antes si cambia el nivel de autonomía o la población afectada.</w:t>
            </w:r>
          </w:p>
        </w:tc>
      </w:tr>
      <w:tr>
        <w:tc>
          <w:tcPr>
            <w:tcW w:w="4819" w:type="dxa"/>
          </w:tcPr>
          <w:p>
            <w:pPr>
              <w:pStyle w:val="Celda"/>
            </w:pPr>
            <w:r>
              <w:rPr>
                <w:b/>
              </w:rPr>
              <w:t xml:space="preserve">Quién la rellena</w:t>
            </w:r>
          </w:p>
        </w:tc>
        <w:tc>
          <w:tcPr>
            <w:tcW w:w="4819" w:type="dxa"/>
          </w:tcPr>
          <w:p>
            <w:pPr>
              <w:pStyle w:val="Celda"/>
            </w:pPr>
            <w:r>
              <w:t xml:space="preserve">Responsable de producto de IA y responsable técnico de IA, con el área de negocio que usará el sistema.</w:t>
            </w:r>
          </w:p>
        </w:tc>
      </w:tr>
      <w:tr>
        <w:tc>
          <w:tcPr>
            <w:tcW w:w="4819" w:type="dxa"/>
          </w:tcPr>
          <w:p>
            <w:pPr>
              <w:pStyle w:val="Celda"/>
            </w:pPr>
            <w:r>
              <w:rPr>
                <w:b/>
              </w:rPr>
              <w:t xml:space="preserve">Quién la verifica</w:t>
            </w:r>
          </w:p>
        </w:tc>
        <w:tc>
          <w:tcPr>
            <w:tcW w:w="4819" w:type="dxa"/>
          </w:tcPr>
          <w:p>
            <w:pPr>
              <w:pStyle w:val="Celda"/>
            </w:pPr>
            <w:r>
              <w:t xml:space="preserve">Oficina de IA en Lite; auditor de IA en Enterprise. El responsable de riesgos de IA emite conformidad.</w:t>
            </w:r>
          </w:p>
        </w:tc>
      </w:tr>
      <w:tr>
        <w:tc>
          <w:tcPr>
            <w:tcW w:w="4819" w:type="dxa"/>
          </w:tcPr>
          <w:p>
            <w:pPr>
              <w:pStyle w:val="Celda"/>
            </w:pPr>
            <w:r>
              <w:rPr>
                <w:b/>
              </w:rPr>
              <w:t xml:space="preserve">En qué </w:t>
            </w:r>
            <w:r>
              <w:rPr>
                <w:b/>
                <w:i/>
              </w:rPr>
              <w:t xml:space="preserve">gate</w:t>
            </w:r>
            <w:r>
              <w:rPr>
                <w:b/>
              </w:rPr>
              <w:t xml:space="preserve"> se revisa</w:t>
            </w:r>
          </w:p>
        </w:tc>
        <w:tc>
          <w:tcPr>
            <w:tcW w:w="4819" w:type="dxa"/>
          </w:tcPr>
          <w:p>
            <w:pPr>
              <w:pStyle w:val="Celda"/>
            </w:pPr>
            <w:r>
              <w:t xml:space="preserve">G4; se comprueba su funcionamiento real en G5 (P22) y en R6.</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Un sistema con nivel A2 o A3 cuyas acciones afectan a terceros, dinero, datos personales o sistemas de producción es Enterprise (criterio "agentes con capacidad de actuar", 01 §9.2).</w:t>
            </w:r>
          </w:p>
        </w:tc>
      </w:tr>
      <w:tr>
        <w:tc>
          <w:tcPr>
            <w:tcW w:w="4819" w:type="dxa"/>
          </w:tcPr>
          <w:p>
            <w:pPr>
              <w:pStyle w:val="Celda"/>
            </w:pPr>
            <w:r>
              <w:rPr>
                <w:b/>
              </w:rPr>
              <w:t xml:space="preserve">Relación</w:t>
            </w:r>
          </w:p>
        </w:tc>
        <w:tc>
          <w:tcPr>
            <w:tcW w:w="4819" w:type="dxa"/>
          </w:tcPr>
          <w:p>
            <w:pPr>
              <w:pStyle w:val="Celda"/>
            </w:pPr>
            <w:r>
              <w:t xml:space="preserve">P04 Determinación de intensidad · P11 Clasificación regulatoria · P18 Diseño de seguridad · P19 Plan de reversión · P24 Manual de operación · P25 Monitorización · documento 35 (autonomía y controles AG) · documento 52.</w:t>
            </w:r>
          </w:p>
        </w:tc>
      </w:tr>
    </w:tbl>
    <w:p>
      <w:pPr>
        <w:pStyle w:val="Espacio"/>
      </w:pPr>
    </w:p>
    <w:p>
      <w:r>
        <w:t xml:space="preserve">Reglas:</w:t>
      </w:r>
    </w:p>
    <w:p>
      <w:pPr>
        <w:pStyle w:val="Lista"/>
      </w:pPr>
      <w:r>
        <w:t xml:space="preserve">• Los controles de supervisión humana no admiten </w:t>
      </w:r>
      <w:r>
        <w:rPr>
          <w:b/>
        </w:rPr>
        <w:t xml:space="preserve">Continuar con condiciones</w:t>
      </w:r>
      <w:r>
        <w:t xml:space="preserve"> en el </w:t>
      </w:r>
      <w:r>
        <w:rPr>
          <w:i/>
        </w:rPr>
        <w:t xml:space="preserve">gate</w:t>
      </w:r>
      <w:r>
        <w:t xml:space="preserve">: si no están resueltos, el resultado es Iterar (01 §7.3).</w:t>
      </w:r>
    </w:p>
    <w:p>
      <w:pPr>
        <w:pStyle w:val="Lista"/>
      </w:pPr>
      <w:r>
        <w:t xml:space="preserve">• La supervisión se diseña para que una persona pueda </w:t>
      </w:r>
      <w:r>
        <w:rPr>
          <w:b/>
        </w:rPr>
        <w:t xml:space="preserve">entender, corregir, anular e interrumpir</w:t>
      </w:r>
      <w:r>
        <w:t xml:space="preserve">, no solo para que "esté presente".</w:t>
      </w:r>
    </w:p>
    <w:p>
      <w:pPr>
        <w:pStyle w:val="Lista"/>
      </w:pPr>
      <w:r>
        <w:t xml:space="preserve">• Cualquier aumento del nivel de autonomía o de la población afectada debería tratarse como cambio relevante (P27) y someterse a verificación y decisión equivalentes a G4.</w:t>
      </w:r>
    </w:p>
    <w:p>
      <w:r>
        <w:t xml:space="preserve">Esta plantilla no constituye asesoramiento jurídico. Las obligaciones de supervisión humana y de decisiones automatizadas se confirman con el mapeo regulatorio (documento 34).</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Nombre de la iniciativa</w:t>
            </w:r>
          </w:p>
        </w:tc>
        <w:tc>
          <w:tcPr>
            <w:tcW w:w="3213" w:type="dxa"/>
          </w:tcPr>
          <w:p>
            <w:pPr>
              <w:pStyle w:val="Celda"/>
            </w:pPr>
          </w:p>
        </w:tc>
        <w:tc>
          <w:tcPr>
            <w:tcW w:w="3213" w:type="dxa"/>
          </w:tcPr>
          <w:p>
            <w:pPr>
              <w:pStyle w:val="Celda"/>
            </w:pPr>
          </w:p>
        </w:tc>
      </w:tr>
      <w:tr>
        <w:tc>
          <w:tcPr>
            <w:tcW w:w="3213" w:type="dxa"/>
          </w:tcPr>
          <w:p>
            <w:pPr>
              <w:pStyle w:val="Celda"/>
            </w:pPr>
            <w:r>
              <w:t xml:space="preserve">Sistema(s) de IA</w:t>
            </w:r>
          </w:p>
        </w:tc>
        <w:tc>
          <w:tcPr>
            <w:tcW w:w="3213" w:type="dxa"/>
          </w:tcPr>
          <w:p>
            <w:pPr>
              <w:pStyle w:val="Celda"/>
            </w:pPr>
          </w:p>
        </w:tc>
        <w:tc>
          <w:tcPr>
            <w:tcW w:w="3213" w:type="dxa"/>
          </w:tcPr>
          <w:p>
            <w:pPr>
              <w:pStyle w:val="Celda"/>
            </w:pPr>
            <w:r>
              <w:t xml:space="preserve">Identificador en el inventario (T02).</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Nivel de ambición</w:t>
            </w:r>
          </w:p>
        </w:tc>
        <w:tc>
          <w:tcPr>
            <w:tcW w:w="3213" w:type="dxa"/>
          </w:tcPr>
          <w:p>
            <w:pPr>
              <w:pStyle w:val="Celda"/>
            </w:pPr>
          </w:p>
        </w:tc>
        <w:tc>
          <w:tcPr>
            <w:tcW w:w="3213" w:type="dxa"/>
          </w:tcPr>
          <w:p>
            <w:pPr>
              <w:pStyle w:val="Celda"/>
            </w:pPr>
            <w:r>
              <w:t xml:space="preserve">Optimizar · Aumentar · Transformar.</w:t>
            </w:r>
          </w:p>
        </w:tc>
      </w:tr>
      <w:tr>
        <w:tc>
          <w:tcPr>
            <w:tcW w:w="3213" w:type="dxa"/>
          </w:tcPr>
          <w:p>
            <w:pPr>
              <w:pStyle w:val="Celda"/>
            </w:pPr>
            <w:r>
              <w:t xml:space="preserve">Clasificación regulatoria</w:t>
            </w:r>
          </w:p>
        </w:tc>
        <w:tc>
          <w:tcPr>
            <w:tcW w:w="3213" w:type="dxa"/>
          </w:tcPr>
          <w:p>
            <w:pPr>
              <w:pStyle w:val="Celda"/>
            </w:pPr>
          </w:p>
        </w:tc>
        <w:tc>
          <w:tcPr>
            <w:tcW w:w="3213" w:type="dxa"/>
          </w:tcPr>
          <w:p>
            <w:pPr>
              <w:pStyle w:val="Celda"/>
            </w:pPr>
            <w:r>
              <w:t xml:space="preserve">Prohibido · Alto riesgo · Obligaciones de transparencia · Riesgo mínimo · Fuera de ámbito · Pendiente de clasificar.</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Rol y nombre.</w:t>
            </w: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Estado del documento</w:t>
            </w:r>
          </w:p>
        </w:tc>
        <w:tc>
          <w:tcPr>
            <w:tcW w:w="3213" w:type="dxa"/>
          </w:tcPr>
          <w:p>
            <w:pPr>
              <w:pStyle w:val="Celda"/>
            </w:pPr>
          </w:p>
        </w:tc>
        <w:tc>
          <w:tcPr>
            <w:tcW w:w="3213" w:type="dxa"/>
          </w:tcPr>
          <w:p>
            <w:pPr>
              <w:pStyle w:val="Celda"/>
            </w:pPr>
            <w:r>
              <w:t xml:space="preserve">Borrador · Presentado para verificación · Verificado · Aprobado · Sustituido.</w:t>
            </w:r>
          </w:p>
        </w:tc>
      </w:tr>
    </w:tbl>
    <w:p>
      <w:pPr>
        <w:pStyle w:val="Espacio"/>
      </w:pPr>
    </w:p>
    <w:p>
      <w:pPr>
        <w:pStyle w:val="Separador"/>
      </w:pPr>
    </w:p>
    <w:p>
      <w:pPr>
        <w:pStyle w:val="Heading1"/>
      </w:pPr>
      <w:r>
        <w:t xml:space="preserve">3. Contexto de decisión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Proceso o decisión en la que interviene el sistema</w:t>
            </w:r>
          </w:p>
        </w:tc>
        <w:tc>
          <w:tcPr>
            <w:tcW w:w="3213" w:type="dxa"/>
          </w:tcPr>
          <w:p>
            <w:pPr>
              <w:pStyle w:val="Celda"/>
            </w:pPr>
          </w:p>
        </w:tc>
        <w:tc>
          <w:tcPr>
            <w:tcW w:w="3213" w:type="dxa"/>
          </w:tcPr>
          <w:p>
            <w:pPr>
              <w:pStyle w:val="Celda"/>
            </w:pPr>
            <w:r>
              <w:t xml:space="preserve">Descríbalo en lenguaje de negocio (P31).</w:t>
            </w:r>
          </w:p>
        </w:tc>
      </w:tr>
      <w:tr>
        <w:tc>
          <w:tcPr>
            <w:tcW w:w="3213" w:type="dxa"/>
          </w:tcPr>
          <w:p>
            <w:pPr>
              <w:pStyle w:val="Celda"/>
            </w:pPr>
            <w:r>
              <w:t xml:space="preserve">Personas usuarias</w:t>
            </w:r>
          </w:p>
        </w:tc>
        <w:tc>
          <w:tcPr>
            <w:tcW w:w="3213" w:type="dxa"/>
          </w:tcPr>
          <w:p>
            <w:pPr>
              <w:pStyle w:val="Celda"/>
            </w:pPr>
          </w:p>
        </w:tc>
        <w:tc>
          <w:tcPr>
            <w:tcW w:w="3213" w:type="dxa"/>
          </w:tcPr>
          <w:p>
            <w:pPr>
              <w:pStyle w:val="Celda"/>
            </w:pPr>
            <w:r>
              <w:t xml:space="preserve">Quién usa el resultado.</w:t>
            </w:r>
          </w:p>
        </w:tc>
      </w:tr>
      <w:tr>
        <w:tc>
          <w:tcPr>
            <w:tcW w:w="3213" w:type="dxa"/>
          </w:tcPr>
          <w:p>
            <w:pPr>
              <w:pStyle w:val="Celda"/>
            </w:pPr>
            <w:r>
              <w:t xml:space="preserve">Personas afectadas</w:t>
            </w:r>
          </w:p>
        </w:tc>
        <w:tc>
          <w:tcPr>
            <w:tcW w:w="3213" w:type="dxa"/>
          </w:tcPr>
          <w:p>
            <w:pPr>
              <w:pStyle w:val="Celda"/>
            </w:pPr>
          </w:p>
        </w:tc>
        <w:tc>
          <w:tcPr>
            <w:tcW w:w="3213" w:type="dxa"/>
          </w:tcPr>
          <w:p>
            <w:pPr>
              <w:pStyle w:val="Celda"/>
            </w:pPr>
            <w:r>
              <w:t xml:space="preserve">Quién recibe el efecto: clientes, empleados, ciudadanos, proveedores.</w:t>
            </w:r>
          </w:p>
        </w:tc>
      </w:tr>
      <w:tr>
        <w:tc>
          <w:tcPr>
            <w:tcW w:w="3213" w:type="dxa"/>
          </w:tcPr>
          <w:p>
            <w:pPr>
              <w:pStyle w:val="Celda"/>
            </w:pPr>
            <w:r>
              <w:t xml:space="preserve">¿Influye de forma significativa en decisiones sobre personas?</w:t>
            </w:r>
          </w:p>
        </w:tc>
        <w:tc>
          <w:tcPr>
            <w:tcW w:w="3213" w:type="dxa"/>
          </w:tcPr>
          <w:p>
            <w:pPr>
              <w:pStyle w:val="Celda"/>
            </w:pPr>
          </w:p>
        </w:tc>
        <w:tc>
          <w:tcPr>
            <w:tcW w:w="3213" w:type="dxa"/>
          </w:tcPr>
          <w:p>
            <w:pPr>
              <w:pStyle w:val="Celda"/>
            </w:pPr>
            <w:r>
              <w:t xml:space="preserve">Sí · No. Si es Sí, es criterio Enterprise.</w:t>
            </w:r>
          </w:p>
        </w:tc>
      </w:tr>
      <w:tr>
        <w:tc>
          <w:tcPr>
            <w:tcW w:w="3213" w:type="dxa"/>
          </w:tcPr>
          <w:p>
            <w:pPr>
              <w:pStyle w:val="Celda"/>
            </w:pPr>
            <w:r>
              <w:t xml:space="preserve">¿Hay decisiones basadas únicamente en tratamiento automatizado con efectos jurídicos o significativos?</w:t>
            </w:r>
          </w:p>
        </w:tc>
        <w:tc>
          <w:tcPr>
            <w:tcW w:w="3213" w:type="dxa"/>
          </w:tcPr>
          <w:p>
            <w:pPr>
              <w:pStyle w:val="Celda"/>
            </w:pPr>
          </w:p>
        </w:tc>
        <w:tc>
          <w:tcPr>
            <w:tcW w:w="3213" w:type="dxa"/>
          </w:tcPr>
          <w:p>
            <w:pPr>
              <w:pStyle w:val="Celda"/>
            </w:pPr>
            <w:r>
              <w:t xml:space="preserve">Sí · No · Por determinar. Si es Sí o Por determinar, protección de datos debe analizar el artículo 22 del RGPD.</w:t>
            </w:r>
          </w:p>
        </w:tc>
      </w:tr>
      <w:tr>
        <w:tc>
          <w:tcPr>
            <w:tcW w:w="3213" w:type="dxa"/>
          </w:tcPr>
          <w:p>
            <w:pPr>
              <w:pStyle w:val="Celda"/>
            </w:pPr>
            <w:r>
              <w:t xml:space="preserve">Consecuencia de un error del sistema</w:t>
            </w:r>
          </w:p>
        </w:tc>
        <w:tc>
          <w:tcPr>
            <w:tcW w:w="3213" w:type="dxa"/>
          </w:tcPr>
          <w:p>
            <w:pPr>
              <w:pStyle w:val="Celda"/>
            </w:pPr>
          </w:p>
        </w:tc>
        <w:tc>
          <w:tcPr>
            <w:tcW w:w="3213" w:type="dxa"/>
          </w:tcPr>
          <w:p>
            <w:pPr>
              <w:pStyle w:val="Celda"/>
            </w:pPr>
            <w:r>
              <w:t xml:space="preserve">Qué pasa si el resultado es incorrecto y quién lo sufre.</w:t>
            </w:r>
          </w:p>
        </w:tc>
      </w:tr>
      <w:tr>
        <w:tc>
          <w:tcPr>
            <w:tcW w:w="3213" w:type="dxa"/>
          </w:tcPr>
          <w:p>
            <w:pPr>
              <w:pStyle w:val="Celda"/>
            </w:pPr>
            <w:r>
              <w:t xml:space="preserve">Reversibilidad de la decisión o acción</w:t>
            </w:r>
          </w:p>
        </w:tc>
        <w:tc>
          <w:tcPr>
            <w:tcW w:w="3213" w:type="dxa"/>
          </w:tcPr>
          <w:p>
            <w:pPr>
              <w:pStyle w:val="Celda"/>
            </w:pPr>
          </w:p>
        </w:tc>
        <w:tc>
          <w:tcPr>
            <w:tcW w:w="3213" w:type="dxa"/>
          </w:tcPr>
          <w:p>
            <w:pPr>
              <w:pStyle w:val="Celda"/>
            </w:pPr>
            <w:r>
              <w:t xml:space="preserve">Reversible sin coste · Reversible con coste · Irreversible.</w:t>
            </w:r>
          </w:p>
        </w:tc>
      </w:tr>
    </w:tbl>
    <w:p>
      <w:pPr>
        <w:pStyle w:val="Espacio"/>
      </w:pPr>
    </w:p>
    <w:p>
      <w:pPr>
        <w:pStyle w:val="Separador"/>
      </w:pPr>
    </w:p>
    <w:p>
      <w:pPr>
        <w:pStyle w:val="Heading1"/>
      </w:pPr>
      <w:r>
        <w:t xml:space="preserve">4. Nivel de autonomía</w:t>
      </w:r>
    </w:p>
    <w:p>
      <w:r>
        <w:t xml:space="preserve">Marque un único nivel. Los niveles se definen en el documento 35.</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Nivel</w:t>
            </w:r>
          </w:p>
        </w:tc>
        <w:tc>
          <w:tcPr>
            <w:tcW w:w="1928" w:type="dxa"/>
            <w:shd w:val="clear" w:color="auto" w:fill="F2DFCE"/>
          </w:tcPr>
          <w:p>
            <w:pPr>
              <w:pStyle w:val="Celda"/>
            </w:pPr>
            <w:r>
              <w:rPr>
                <w:b/>
              </w:rPr>
              <w:t xml:space="preserve">Nombre</w:t>
            </w:r>
          </w:p>
        </w:tc>
        <w:tc>
          <w:tcPr>
            <w:tcW w:w="1928" w:type="dxa"/>
            <w:shd w:val="clear" w:color="auto" w:fill="F2DFCE"/>
          </w:tcPr>
          <w:p>
            <w:pPr>
              <w:pStyle w:val="Celda"/>
            </w:pPr>
            <w:r>
              <w:rPr>
                <w:b/>
              </w:rPr>
              <w:t xml:space="preserve">Qué hace el sistema</w:t>
            </w:r>
          </w:p>
        </w:tc>
        <w:tc>
          <w:tcPr>
            <w:tcW w:w="1928" w:type="dxa"/>
            <w:shd w:val="clear" w:color="auto" w:fill="F2DFCE"/>
          </w:tcPr>
          <w:p>
            <w:pPr>
              <w:pStyle w:val="Celda"/>
            </w:pPr>
            <w:r>
              <w:rPr>
                <w:b/>
              </w:rPr>
              <w:t xml:space="preserve">Papel humano</w:t>
            </w:r>
          </w:p>
        </w:tc>
        <w:tc>
          <w:tcPr>
            <w:tcW w:w="1928" w:type="dxa"/>
            <w:shd w:val="clear" w:color="auto" w:fill="F2DFCE"/>
          </w:tcPr>
          <w:p>
            <w:pPr>
              <w:pStyle w:val="Celda"/>
            </w:pPr>
            <w:r>
              <w:rPr>
                <w:b/>
              </w:rPr>
              <w:t xml:space="preserve">Marcar</w:t>
            </w:r>
          </w:p>
        </w:tc>
      </w:tr>
      <w:tr>
        <w:tc>
          <w:tcPr>
            <w:tcW w:w="1928" w:type="dxa"/>
          </w:tcPr>
          <w:p>
            <w:pPr>
              <w:pStyle w:val="Celda"/>
            </w:pPr>
            <w:r>
              <w:rPr>
                <w:b/>
              </w:rPr>
              <w:t xml:space="preserve">A0</w:t>
            </w:r>
          </w:p>
        </w:tc>
        <w:tc>
          <w:tcPr>
            <w:tcW w:w="1928" w:type="dxa"/>
          </w:tcPr>
          <w:p>
            <w:pPr>
              <w:pStyle w:val="Celda"/>
            </w:pPr>
            <w:r>
              <w:t xml:space="preserve">Asistencia</w:t>
            </w:r>
          </w:p>
        </w:tc>
        <w:tc>
          <w:tcPr>
            <w:tcW w:w="1928" w:type="dxa"/>
          </w:tcPr>
          <w:p>
            <w:pPr>
              <w:pStyle w:val="Celda"/>
            </w:pPr>
            <w:r>
              <w:t xml:space="preserve">Informa, resume o genera contenido.</w:t>
            </w:r>
          </w:p>
        </w:tc>
        <w:tc>
          <w:tcPr>
            <w:tcW w:w="1928" w:type="dxa"/>
          </w:tcPr>
          <w:p>
            <w:pPr>
              <w:pStyle w:val="Celda"/>
            </w:pPr>
            <w:r>
              <w:t xml:space="preserve">La persona decide y ejecuta.</w:t>
            </w:r>
          </w:p>
        </w:tc>
        <w:tc>
          <w:tcPr>
            <w:tcW w:w="1928" w:type="dxa"/>
          </w:tcPr>
          <w:p>
            <w:pPr>
              <w:pStyle w:val="Celda"/>
            </w:pPr>
            <w:r>
              <w:t xml:space="preserve">☐</w:t>
            </w:r>
          </w:p>
        </w:tc>
      </w:tr>
      <w:tr>
        <w:tc>
          <w:tcPr>
            <w:tcW w:w="1928" w:type="dxa"/>
          </w:tcPr>
          <w:p>
            <w:pPr>
              <w:pStyle w:val="Celda"/>
            </w:pPr>
            <w:r>
              <w:rPr>
                <w:b/>
              </w:rPr>
              <w:t xml:space="preserve">A1</w:t>
            </w:r>
          </w:p>
        </w:tc>
        <w:tc>
          <w:tcPr>
            <w:tcW w:w="1928" w:type="dxa"/>
          </w:tcPr>
          <w:p>
            <w:pPr>
              <w:pStyle w:val="Celda"/>
            </w:pPr>
            <w:r>
              <w:t xml:space="preserve">Recomendación</w:t>
            </w:r>
          </w:p>
        </w:tc>
        <w:tc>
          <w:tcPr>
            <w:tcW w:w="1928" w:type="dxa"/>
          </w:tcPr>
          <w:p>
            <w:pPr>
              <w:pStyle w:val="Celda"/>
            </w:pPr>
            <w:r>
              <w:t xml:space="preserve">Propone una decisión o acción concreta.</w:t>
            </w:r>
          </w:p>
        </w:tc>
        <w:tc>
          <w:tcPr>
            <w:tcW w:w="1928" w:type="dxa"/>
          </w:tcPr>
          <w:p>
            <w:pPr>
              <w:pStyle w:val="Celda"/>
            </w:pPr>
            <w:r>
              <w:t xml:space="preserve">La persona valida cada acción antes de ejecutarla.</w:t>
            </w:r>
          </w:p>
        </w:tc>
        <w:tc>
          <w:tcPr>
            <w:tcW w:w="1928" w:type="dxa"/>
          </w:tcPr>
          <w:p>
            <w:pPr>
              <w:pStyle w:val="Celda"/>
            </w:pPr>
            <w:r>
              <w:t xml:space="preserve">☐</w:t>
            </w:r>
          </w:p>
        </w:tc>
      </w:tr>
      <w:tr>
        <w:tc>
          <w:tcPr>
            <w:tcW w:w="1928" w:type="dxa"/>
          </w:tcPr>
          <w:p>
            <w:pPr>
              <w:pStyle w:val="Celda"/>
            </w:pPr>
            <w:r>
              <w:rPr>
                <w:b/>
              </w:rPr>
              <w:t xml:space="preserve">A2</w:t>
            </w:r>
          </w:p>
        </w:tc>
        <w:tc>
          <w:tcPr>
            <w:tcW w:w="1928" w:type="dxa"/>
          </w:tcPr>
          <w:p>
            <w:pPr>
              <w:pStyle w:val="Celda"/>
            </w:pPr>
            <w:r>
              <w:t xml:space="preserve">Actuación supervisada</w:t>
            </w:r>
          </w:p>
        </w:tc>
        <w:tc>
          <w:tcPr>
            <w:tcW w:w="1928" w:type="dxa"/>
          </w:tcPr>
          <w:p>
            <w:pPr>
              <w:pStyle w:val="Celda"/>
            </w:pPr>
            <w:r>
              <w:t xml:space="preserve">Ejecuta acciones dentro de límites definidos.</w:t>
            </w:r>
          </w:p>
        </w:tc>
        <w:tc>
          <w:tcPr>
            <w:tcW w:w="1928" w:type="dxa"/>
          </w:tcPr>
          <w:p>
            <w:pPr>
              <w:pStyle w:val="Celda"/>
            </w:pPr>
            <w:r>
              <w:t xml:space="preserve">Supervisa, puede interrumpir y revisa a posteriori.</w:t>
            </w:r>
          </w:p>
        </w:tc>
        <w:tc>
          <w:tcPr>
            <w:tcW w:w="1928" w:type="dxa"/>
          </w:tcPr>
          <w:p>
            <w:pPr>
              <w:pStyle w:val="Celda"/>
            </w:pPr>
            <w:r>
              <w:t xml:space="preserve">☐</w:t>
            </w:r>
          </w:p>
        </w:tc>
      </w:tr>
      <w:tr>
        <w:tc>
          <w:tcPr>
            <w:tcW w:w="1928" w:type="dxa"/>
          </w:tcPr>
          <w:p>
            <w:pPr>
              <w:pStyle w:val="Celda"/>
            </w:pPr>
            <w:r>
              <w:rPr>
                <w:b/>
              </w:rPr>
              <w:t xml:space="preserve">A3</w:t>
            </w:r>
          </w:p>
        </w:tc>
        <w:tc>
          <w:tcPr>
            <w:tcW w:w="1928" w:type="dxa"/>
          </w:tcPr>
          <w:p>
            <w:pPr>
              <w:pStyle w:val="Celda"/>
            </w:pPr>
            <w:r>
              <w:t xml:space="preserve">Actuación autónoma</w:t>
            </w:r>
          </w:p>
        </w:tc>
        <w:tc>
          <w:tcPr>
            <w:tcW w:w="1928" w:type="dxa"/>
          </w:tcPr>
          <w:p>
            <w:pPr>
              <w:pStyle w:val="Celda"/>
            </w:pPr>
            <w:r>
              <w:t xml:space="preserve">Ejecuta secuencias de acciones sin revisión individual dentro de límites estrictos.</w:t>
            </w:r>
          </w:p>
        </w:tc>
        <w:tc>
          <w:tcPr>
            <w:tcW w:w="1928" w:type="dxa"/>
          </w:tcPr>
          <w:p>
            <w:pPr>
              <w:pStyle w:val="Celda"/>
            </w:pPr>
            <w:r>
              <w:t xml:space="preserve">Fija límites, supervisa agregados y dispone de interruptor de parada.</w:t>
            </w:r>
          </w:p>
        </w:tc>
        <w:tc>
          <w:tcPr>
            <w:tcW w:w="1928" w:type="dxa"/>
          </w:tcPr>
          <w:p>
            <w:pPr>
              <w:pStyle w:val="Celda"/>
            </w:pPr>
            <w:r>
              <w:t xml:space="preserve">☐</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Justificación del nivel elegido</w:t>
            </w:r>
          </w:p>
        </w:tc>
        <w:tc>
          <w:tcPr>
            <w:tcW w:w="3213" w:type="dxa"/>
          </w:tcPr>
          <w:p>
            <w:pPr>
              <w:pStyle w:val="Celda"/>
            </w:pPr>
          </w:p>
        </w:tc>
        <w:tc>
          <w:tcPr>
            <w:tcW w:w="3213" w:type="dxa"/>
          </w:tcPr>
          <w:p>
            <w:pPr>
              <w:pStyle w:val="Celda"/>
            </w:pPr>
            <w:r>
              <w:t xml:space="preserve">Por qué no basta un nivel inferior. El nivel más bajo que consiga el objetivo es el preferible.</w:t>
            </w:r>
          </w:p>
        </w:tc>
      </w:tr>
      <w:tr>
        <w:tc>
          <w:tcPr>
            <w:tcW w:w="3213" w:type="dxa"/>
          </w:tcPr>
          <w:p>
            <w:pPr>
              <w:pStyle w:val="Celda"/>
            </w:pPr>
            <w:r>
              <w:t xml:space="preserve">Nivel en el piloto</w:t>
            </w:r>
          </w:p>
        </w:tc>
        <w:tc>
          <w:tcPr>
            <w:tcW w:w="3213" w:type="dxa"/>
          </w:tcPr>
          <w:p>
            <w:pPr>
              <w:pStyle w:val="Celda"/>
            </w:pPr>
          </w:p>
        </w:tc>
        <w:tc>
          <w:tcPr>
            <w:tcW w:w="3213" w:type="dxa"/>
          </w:tcPr>
          <w:p>
            <w:pPr>
              <w:pStyle w:val="Celda"/>
            </w:pPr>
            <w:r>
              <w:t xml:space="preserve">Puede ser inferior al objetivo (por ejemplo, A1 en piloto y A2 en producción).</w:t>
            </w:r>
          </w:p>
        </w:tc>
      </w:tr>
      <w:tr>
        <w:tc>
          <w:tcPr>
            <w:tcW w:w="3213" w:type="dxa"/>
          </w:tcPr>
          <w:p>
            <w:pPr>
              <w:pStyle w:val="Celda"/>
            </w:pPr>
            <w:r>
              <w:t xml:space="preserve">Condiciones para subir de nivel </w:t>
            </w:r>
            <w:r>
              <w:rPr>
                <w:b/>
              </w:rPr>
              <w:t xml:space="preserve">(Enterprise)</w:t>
            </w:r>
          </w:p>
        </w:tc>
        <w:tc>
          <w:tcPr>
            <w:tcW w:w="3213" w:type="dxa"/>
          </w:tcPr>
          <w:p>
            <w:pPr>
              <w:pStyle w:val="Celda"/>
            </w:pPr>
          </w:p>
        </w:tc>
        <w:tc>
          <w:tcPr>
            <w:tcW w:w="3213" w:type="dxa"/>
          </w:tcPr>
          <w:p>
            <w:pPr>
              <w:pStyle w:val="Celda"/>
            </w:pPr>
            <w:r>
              <w:t xml:space="preserve">Evidencias necesarias (resultados, tasa de anulación, incidentes) y órgano que lo autoriza.</w:t>
            </w:r>
          </w:p>
        </w:tc>
      </w:tr>
      <w:tr>
        <w:tc>
          <w:tcPr>
            <w:tcW w:w="3213" w:type="dxa"/>
          </w:tcPr>
          <w:p>
            <w:pPr>
              <w:pStyle w:val="Celda"/>
            </w:pPr>
            <w:r>
              <w:t xml:space="preserve">Condiciones para bajar de nivel</w:t>
            </w:r>
          </w:p>
        </w:tc>
        <w:tc>
          <w:tcPr>
            <w:tcW w:w="3213" w:type="dxa"/>
          </w:tcPr>
          <w:p>
            <w:pPr>
              <w:pStyle w:val="Celda"/>
            </w:pPr>
          </w:p>
        </w:tc>
        <w:tc>
          <w:tcPr>
            <w:tcW w:w="3213" w:type="dxa"/>
          </w:tcPr>
          <w:p>
            <w:pPr>
              <w:pStyle w:val="Celda"/>
            </w:pPr>
            <w:r>
              <w:t xml:space="preserve">Umbrales que obligan a reducir autonomía; se trasladan a P19 como modo degradado.</w:t>
            </w:r>
          </w:p>
        </w:tc>
      </w:tr>
    </w:tbl>
    <w:p>
      <w:pPr>
        <w:pStyle w:val="Espacio"/>
      </w:pPr>
    </w:p>
    <w:p>
      <w:pPr>
        <w:pStyle w:val="Separador"/>
      </w:pPr>
    </w:p>
    <w:p>
      <w:pPr>
        <w:pStyle w:val="Heading1"/>
      </w:pPr>
      <w:r>
        <w:t xml:space="preserve">5. Reparto de decisiones</w:t>
      </w:r>
    </w:p>
    <w:p>
      <w:r>
        <w:t xml:space="preserve">Una fila por decisión o acción del proceso. </w:t>
      </w:r>
      <w:r>
        <w:rPr>
          <w:b/>
        </w:rPr>
        <w:t xml:space="preserve">Reparto:</w:t>
      </w:r>
      <w:r>
        <w:t xml:space="preserve"> Decide el sistema · Valida una persona · No se delega nunca.</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Decisión o acción</w:t>
            </w:r>
          </w:p>
        </w:tc>
        <w:tc>
          <w:tcPr>
            <w:tcW w:w="1928" w:type="dxa"/>
            <w:shd w:val="clear" w:color="auto" w:fill="F2DFCE"/>
          </w:tcPr>
          <w:p>
            <w:pPr>
              <w:pStyle w:val="Celda"/>
            </w:pPr>
            <w:r>
              <w:rPr>
                <w:b/>
              </w:rPr>
              <w:t xml:space="preserve">Reparto</w:t>
            </w:r>
          </w:p>
        </w:tc>
        <w:tc>
          <w:tcPr>
            <w:tcW w:w="1928" w:type="dxa"/>
            <w:shd w:val="clear" w:color="auto" w:fill="F2DFCE"/>
          </w:tcPr>
          <w:p>
            <w:pPr>
              <w:pStyle w:val="Celda"/>
            </w:pPr>
            <w:r>
              <w:rPr>
                <w:b/>
              </w:rPr>
              <w:t xml:space="preserve">Justificación</w:t>
            </w:r>
          </w:p>
        </w:tc>
        <w:tc>
          <w:tcPr>
            <w:tcW w:w="1928" w:type="dxa"/>
            <w:shd w:val="clear" w:color="auto" w:fill="F2DFCE"/>
          </w:tcPr>
          <w:p>
            <w:pPr>
              <w:pStyle w:val="Celda"/>
            </w:pPr>
            <w:r>
              <w:rPr>
                <w:b/>
              </w:rPr>
              <w:t xml:space="preserve">Rol que valida o decide</w:t>
            </w:r>
          </w:p>
        </w:tc>
        <w:tc>
          <w:tcPr>
            <w:tcW w:w="1928" w:type="dxa"/>
            <w:shd w:val="clear" w:color="auto" w:fill="F2DFCE"/>
          </w:tcPr>
          <w:p>
            <w:pPr>
              <w:pStyle w:val="Celda"/>
            </w:pPr>
            <w:r>
              <w:rPr>
                <w:b/>
              </w:rPr>
              <w:t xml:space="preserve">Información que necesita quien valida</w:t>
            </w:r>
          </w:p>
        </w:tc>
      </w:tr>
      <w:tr>
        <w:tc>
          <w:tcPr>
            <w:tcW w:w="1928" w:type="dxa"/>
          </w:tcPr>
          <w:p>
            <w:pPr>
              <w:pStyle w:val="Celda"/>
            </w:pPr>
            <w:r>
              <w:t xml:space="preserve">Priorizar la cola de solicitudes entrantes </w:t>
            </w:r>
            <w:r>
              <w:rPr>
                <w:i/>
              </w:rPr>
              <w:t xml:space="preserve">(ejemplo ilustrativo)</w:t>
            </w:r>
          </w:p>
        </w:tc>
        <w:tc>
          <w:tcPr>
            <w:tcW w:w="1928" w:type="dxa"/>
          </w:tcPr>
          <w:p>
            <w:pPr>
              <w:pStyle w:val="Celda"/>
            </w:pPr>
            <w:r>
              <w:t xml:space="preserve">Decide el sistema</w:t>
            </w:r>
          </w:p>
        </w:tc>
        <w:tc>
          <w:tcPr>
            <w:tcW w:w="1928" w:type="dxa"/>
          </w:tcPr>
          <w:p>
            <w:pPr>
              <w:pStyle w:val="Celda"/>
            </w:pPr>
            <w:r>
              <w:t xml:space="preserve">Reversible, sin efecto directo sobre la persona; la tramitación sigue siendo humana</w:t>
            </w:r>
          </w:p>
        </w:tc>
        <w:tc>
          <w:tcPr>
            <w:tcW w:w="1928" w:type="dxa"/>
          </w:tcPr>
          <w:p>
            <w:pPr>
              <w:pStyle w:val="Celda"/>
            </w:pPr>
            <w:r>
              <w:t xml:space="preserve">—</w:t>
            </w:r>
          </w:p>
        </w:tc>
        <w:tc>
          <w:tcPr>
            <w:tcW w:w="1928" w:type="dxa"/>
          </w:tcPr>
          <w:p>
            <w:pPr>
              <w:pStyle w:val="Celda"/>
            </w:pPr>
            <w:r>
              <w:t xml:space="preserve">—</w:t>
            </w:r>
          </w:p>
        </w:tc>
      </w:tr>
      <w:tr>
        <w:tc>
          <w:tcPr>
            <w:tcW w:w="1928" w:type="dxa"/>
          </w:tcPr>
          <w:p>
            <w:pPr>
              <w:pStyle w:val="Celda"/>
            </w:pPr>
            <w:r>
              <w:t xml:space="preserve">Proponer la resolución de una solicitud </w:t>
            </w:r>
            <w:r>
              <w:rPr>
                <w:i/>
              </w:rPr>
              <w:t xml:space="preserve">(ejemplo ilustrativo)</w:t>
            </w:r>
          </w:p>
        </w:tc>
        <w:tc>
          <w:tcPr>
            <w:tcW w:w="1928" w:type="dxa"/>
          </w:tcPr>
          <w:p>
            <w:pPr>
              <w:pStyle w:val="Celda"/>
            </w:pPr>
            <w:r>
              <w:t xml:space="preserve">Valida una persona</w:t>
            </w:r>
          </w:p>
        </w:tc>
        <w:tc>
          <w:tcPr>
            <w:tcW w:w="1928" w:type="dxa"/>
          </w:tcPr>
          <w:p>
            <w:pPr>
              <w:pStyle w:val="Celda"/>
            </w:pPr>
            <w:r>
              <w:t xml:space="preserve">Afecta al solicitante; exige comprobación de documentación</w:t>
            </w:r>
          </w:p>
        </w:tc>
        <w:tc>
          <w:tcPr>
            <w:tcW w:w="1928" w:type="dxa"/>
          </w:tcPr>
          <w:p>
            <w:pPr>
              <w:pStyle w:val="Celda"/>
            </w:pPr>
            <w:r>
              <w:t xml:space="preserve">Gestor de expedientes</w:t>
            </w:r>
          </w:p>
        </w:tc>
        <w:tc>
          <w:tcPr>
            <w:tcW w:w="1928" w:type="dxa"/>
          </w:tcPr>
          <w:p>
            <w:pPr>
              <w:pStyle w:val="Celda"/>
            </w:pPr>
            <w:r>
              <w:t xml:space="preserve">Resultado propuesto, motivos principales y documentos consultados</w:t>
            </w:r>
          </w:p>
        </w:tc>
      </w:tr>
      <w:tr>
        <w:tc>
          <w:tcPr>
            <w:tcW w:w="1928" w:type="dxa"/>
          </w:tcPr>
          <w:p>
            <w:pPr>
              <w:pStyle w:val="Celda"/>
            </w:pPr>
            <w:r>
              <w:t xml:space="preserve">Denegar una solicitud </w:t>
            </w:r>
            <w:r>
              <w:rPr>
                <w:i/>
              </w:rPr>
              <w:t xml:space="preserve">(ejemplo ilustrativo)</w:t>
            </w:r>
          </w:p>
        </w:tc>
        <w:tc>
          <w:tcPr>
            <w:tcW w:w="1928" w:type="dxa"/>
          </w:tcPr>
          <w:p>
            <w:pPr>
              <w:pStyle w:val="Celda"/>
            </w:pPr>
            <w:r>
              <w:t xml:space="preserve">No se delega nunca</w:t>
            </w:r>
          </w:p>
        </w:tc>
        <w:tc>
          <w:tcPr>
            <w:tcW w:w="1928" w:type="dxa"/>
          </w:tcPr>
          <w:p>
            <w:pPr>
              <w:pStyle w:val="Celda"/>
            </w:pPr>
            <w:r>
              <w:t xml:space="preserve">Efecto significativo sobre la persona; requiere motivación humana</w:t>
            </w:r>
          </w:p>
        </w:tc>
        <w:tc>
          <w:tcPr>
            <w:tcW w:w="1928" w:type="dxa"/>
          </w:tcPr>
          <w:p>
            <w:pPr>
              <w:pStyle w:val="Celda"/>
            </w:pPr>
            <w:r>
              <w:t xml:space="preserve">Responsable del área</w:t>
            </w:r>
          </w:p>
        </w:tc>
        <w:tc>
          <w:tcPr>
            <w:tcW w:w="1928" w:type="dxa"/>
          </w:tcPr>
          <w:p>
            <w:pPr>
              <w:pStyle w:val="Celda"/>
            </w:pPr>
            <w:r>
              <w:t xml:space="preserve">Expediente completo</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Decisiones que la compañía ha declarado indelegables en su política corporativa (documento 31) y que aplican a este sistema: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Decisión indelegable</w:t>
            </w:r>
          </w:p>
        </w:tc>
        <w:tc>
          <w:tcPr>
            <w:tcW w:w="3213" w:type="dxa"/>
            <w:shd w:val="clear" w:color="auto" w:fill="F2DFCE"/>
          </w:tcPr>
          <w:p>
            <w:pPr>
              <w:pStyle w:val="Celda"/>
            </w:pPr>
            <w:r>
              <w:rPr>
                <w:b/>
              </w:rPr>
              <w:t xml:space="preserve">Referencia en la política</w:t>
            </w:r>
          </w:p>
        </w:tc>
        <w:tc>
          <w:tcPr>
            <w:tcW w:w="3213" w:type="dxa"/>
            <w:shd w:val="clear" w:color="auto" w:fill="F2DFCE"/>
          </w:tcPr>
          <w:p>
            <w:pPr>
              <w:pStyle w:val="Celda"/>
            </w:pPr>
            <w:r>
              <w:rPr>
                <w:b/>
              </w:rPr>
              <w:t xml:space="preserve">Cómo se garantiza técnicamente</w:t>
            </w:r>
          </w:p>
        </w:tc>
      </w:tr>
      <w:tr>
        <w:tc>
          <w:tcPr>
            <w:tcW w:w="3213" w:type="dxa"/>
          </w:tcPr>
          <w:p>
            <w:pPr>
              <w:pStyle w:val="Celda"/>
            </w:pP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6. Modos de supervisión humana</w:t>
      </w:r>
    </w:p>
    <w:p>
      <w:r>
        <w:rPr>
          <w:b/>
        </w:rPr>
        <w:t xml:space="preserve">Modos:</w:t>
      </w:r>
      <w:r>
        <w:t xml:space="preserve"> Validación previa (una persona aprueba cada resultado antes de que tenga efecto) · Supervisión en tiempo real (una persona observa y puede intervenir mientras el sistema actúa) · Revisión a posteriori por muestreo · Supervisión agregada por indicadores y umbrales.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Modo</w:t>
            </w:r>
          </w:p>
        </w:tc>
        <w:tc>
          <w:tcPr>
            <w:tcW w:w="1377" w:type="dxa"/>
            <w:shd w:val="clear" w:color="auto" w:fill="F2DFCE"/>
          </w:tcPr>
          <w:p>
            <w:pPr>
              <w:pStyle w:val="Celda"/>
            </w:pPr>
            <w:r>
              <w:rPr>
                <w:b/>
              </w:rPr>
              <w:t xml:space="preserve">¿Aplica? (Sí · No)</w:t>
            </w:r>
          </w:p>
        </w:tc>
        <w:tc>
          <w:tcPr>
            <w:tcW w:w="1377" w:type="dxa"/>
            <w:shd w:val="clear" w:color="auto" w:fill="F2DFCE"/>
          </w:tcPr>
          <w:p>
            <w:pPr>
              <w:pStyle w:val="Celda"/>
            </w:pPr>
            <w:r>
              <w:rPr>
                <w:b/>
              </w:rPr>
              <w:t xml:space="preserve">Alcance</w:t>
            </w:r>
          </w:p>
        </w:tc>
        <w:tc>
          <w:tcPr>
            <w:tcW w:w="1377" w:type="dxa"/>
            <w:shd w:val="clear" w:color="auto" w:fill="F2DFCE"/>
          </w:tcPr>
          <w:p>
            <w:pPr>
              <w:pStyle w:val="Celda"/>
            </w:pPr>
            <w:r>
              <w:rPr>
                <w:b/>
              </w:rPr>
              <w:t xml:space="preserve">Rol responsable</w:t>
            </w:r>
          </w:p>
        </w:tc>
        <w:tc>
          <w:tcPr>
            <w:tcW w:w="1377" w:type="dxa"/>
            <w:shd w:val="clear" w:color="auto" w:fill="F2DFCE"/>
          </w:tcPr>
          <w:p>
            <w:pPr>
              <w:pStyle w:val="Celda"/>
            </w:pPr>
            <w:r>
              <w:rPr>
                <w:b/>
              </w:rPr>
              <w:t xml:space="preserve">Frecuencia o tamaño de muestra</w:t>
            </w:r>
          </w:p>
        </w:tc>
        <w:tc>
          <w:tcPr>
            <w:tcW w:w="1377" w:type="dxa"/>
            <w:shd w:val="clear" w:color="auto" w:fill="F2DFCE"/>
          </w:tcPr>
          <w:p>
            <w:pPr>
              <w:pStyle w:val="Celda"/>
            </w:pPr>
            <w:r>
              <w:rPr>
                <w:b/>
              </w:rPr>
              <w:t xml:space="preserve">Criterio de intervención</w:t>
            </w:r>
          </w:p>
        </w:tc>
        <w:tc>
          <w:tcPr>
            <w:tcW w:w="1377" w:type="dxa"/>
            <w:shd w:val="clear" w:color="auto" w:fill="F2DFCE"/>
          </w:tcPr>
          <w:p>
            <w:pPr>
              <w:pStyle w:val="Celda"/>
            </w:pPr>
            <w:r>
              <w:rPr>
                <w:b/>
              </w:rPr>
              <w:t xml:space="preserve">Dónde queda registrado</w:t>
            </w:r>
          </w:p>
        </w:tc>
      </w:tr>
      <w:tr>
        <w:tc>
          <w:tcPr>
            <w:tcW w:w="1377" w:type="dxa"/>
          </w:tcPr>
          <w:p>
            <w:pPr>
              <w:pStyle w:val="Celda"/>
            </w:pPr>
            <w:r>
              <w:t xml:space="preserve">Validación previa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Supervisión en tiempo real</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Revisión a posteriori por muestreo</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Supervisión agregada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t xml:space="preserve">Orientación: A1 exige validación previa; A2 exige al menos supervisión en tiempo real o revisión a posteriori, e interruptor de parada; A3 exige supervisión agregada, límites estrictos (P18) e interruptor de parada probado (P19).</w:t>
      </w:r>
    </w:p>
    <w:p>
      <w:pPr>
        <w:pStyle w:val="Separador"/>
      </w:pPr>
    </w:p>
    <w:p>
      <w:pPr>
        <w:pStyle w:val="Heading1"/>
      </w:pPr>
      <w:r>
        <w:t xml:space="preserve">7. Capacidad efectiva de la persona supervisora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Requisito</w:t>
            </w:r>
          </w:p>
        </w:tc>
        <w:tc>
          <w:tcPr>
            <w:tcW w:w="3213" w:type="dxa"/>
            <w:shd w:val="clear" w:color="auto" w:fill="F2DFCE"/>
          </w:tcPr>
          <w:p>
            <w:pPr>
              <w:pStyle w:val="Celda"/>
            </w:pPr>
            <w:r>
              <w:rPr>
                <w:b/>
              </w:rPr>
              <w:t xml:space="preserve">Cómo se garantiza</w:t>
            </w:r>
          </w:p>
        </w:tc>
        <w:tc>
          <w:tcPr>
            <w:tcW w:w="3213" w:type="dxa"/>
            <w:shd w:val="clear" w:color="auto" w:fill="F2DFCE"/>
          </w:tcPr>
          <w:p>
            <w:pPr>
              <w:pStyle w:val="Celda"/>
            </w:pPr>
            <w:r>
              <w:rPr>
                <w:b/>
              </w:rPr>
              <w:t xml:space="preserve">Evidencia</w:t>
            </w:r>
          </w:p>
        </w:tc>
      </w:tr>
      <w:tr>
        <w:tc>
          <w:tcPr>
            <w:tcW w:w="3213" w:type="dxa"/>
          </w:tcPr>
          <w:p>
            <w:pPr>
              <w:pStyle w:val="Celda"/>
            </w:pPr>
            <w:r>
              <w:t xml:space="preserve">Entiende las capacidades y limitaciones del sistema</w:t>
            </w:r>
          </w:p>
        </w:tc>
        <w:tc>
          <w:tcPr>
            <w:tcW w:w="3213" w:type="dxa"/>
          </w:tcPr>
          <w:p>
            <w:pPr>
              <w:pStyle w:val="Celda"/>
            </w:pPr>
          </w:p>
        </w:tc>
        <w:tc>
          <w:tcPr>
            <w:tcW w:w="3213" w:type="dxa"/>
          </w:tcPr>
          <w:p>
            <w:pPr>
              <w:pStyle w:val="Celda"/>
            </w:pPr>
            <w:r>
              <w:t xml:space="preserve">Formación registrada en P20; limitaciones de P16.</w:t>
            </w:r>
          </w:p>
        </w:tc>
      </w:tr>
      <w:tr>
        <w:tc>
          <w:tcPr>
            <w:tcW w:w="3213" w:type="dxa"/>
          </w:tcPr>
          <w:p>
            <w:pPr>
              <w:pStyle w:val="Celda"/>
            </w:pPr>
            <w:r>
              <w:t xml:space="preserve">Es consciente del riesgo de confiar en exceso en el resultado automático</w:t>
            </w:r>
          </w:p>
        </w:tc>
        <w:tc>
          <w:tcPr>
            <w:tcW w:w="3213" w:type="dxa"/>
          </w:tcPr>
          <w:p>
            <w:pPr>
              <w:pStyle w:val="Celda"/>
            </w:pPr>
          </w:p>
        </w:tc>
        <w:tc>
          <w:tcPr>
            <w:tcW w:w="3213" w:type="dxa"/>
          </w:tcPr>
          <w:p>
            <w:pPr>
              <w:pStyle w:val="Celda"/>
            </w:pPr>
            <w:r>
              <w:t xml:space="preserve">Formación y diseño de la interfaz.</w:t>
            </w:r>
          </w:p>
        </w:tc>
      </w:tr>
      <w:tr>
        <w:tc>
          <w:tcPr>
            <w:tcW w:w="3213" w:type="dxa"/>
          </w:tcPr>
          <w:p>
            <w:pPr>
              <w:pStyle w:val="Celda"/>
            </w:pPr>
            <w:r>
              <w:t xml:space="preserve">Puede interpretar correctamente el resultado</w:t>
            </w:r>
          </w:p>
        </w:tc>
        <w:tc>
          <w:tcPr>
            <w:tcW w:w="3213" w:type="dxa"/>
          </w:tcPr>
          <w:p>
            <w:pPr>
              <w:pStyle w:val="Celda"/>
            </w:pPr>
          </w:p>
        </w:tc>
        <w:tc>
          <w:tcPr>
            <w:tcW w:w="3213" w:type="dxa"/>
          </w:tcPr>
          <w:p>
            <w:pPr>
              <w:pStyle w:val="Celda"/>
            </w:pPr>
            <w:r>
              <w:t xml:space="preserve">Explicación o motivos mostrados junto al resultado.</w:t>
            </w:r>
          </w:p>
        </w:tc>
      </w:tr>
      <w:tr>
        <w:tc>
          <w:tcPr>
            <w:tcW w:w="3213" w:type="dxa"/>
          </w:tcPr>
          <w:p>
            <w:pPr>
              <w:pStyle w:val="Celda"/>
            </w:pPr>
            <w:r>
              <w:t xml:space="preserve">Puede no usar, corregir, anular o revertir el resultado</w:t>
            </w:r>
          </w:p>
        </w:tc>
        <w:tc>
          <w:tcPr>
            <w:tcW w:w="3213" w:type="dxa"/>
          </w:tcPr>
          <w:p>
            <w:pPr>
              <w:pStyle w:val="Celda"/>
            </w:pPr>
          </w:p>
        </w:tc>
        <w:tc>
          <w:tcPr>
            <w:tcW w:w="3213" w:type="dxa"/>
          </w:tcPr>
          <w:p>
            <w:pPr>
              <w:pStyle w:val="Celda"/>
            </w:pPr>
            <w:r>
              <w:t xml:space="preserve">Función disponible y registrada.</w:t>
            </w:r>
          </w:p>
        </w:tc>
      </w:tr>
      <w:tr>
        <w:tc>
          <w:tcPr>
            <w:tcW w:w="3213" w:type="dxa"/>
          </w:tcPr>
          <w:p>
            <w:pPr>
              <w:pStyle w:val="Celda"/>
            </w:pPr>
            <w:r>
              <w:t xml:space="preserve">Puede interrumpir el sistema</w:t>
            </w:r>
          </w:p>
        </w:tc>
        <w:tc>
          <w:tcPr>
            <w:tcW w:w="3213" w:type="dxa"/>
          </w:tcPr>
          <w:p>
            <w:pPr>
              <w:pStyle w:val="Celda"/>
            </w:pPr>
          </w:p>
        </w:tc>
        <w:tc>
          <w:tcPr>
            <w:tcW w:w="3213" w:type="dxa"/>
          </w:tcPr>
          <w:p>
            <w:pPr>
              <w:pStyle w:val="Celda"/>
            </w:pPr>
            <w:r>
              <w:t xml:space="preserve">Interruptor de parada (P18) y quién puede activarlo.</w:t>
            </w:r>
          </w:p>
        </w:tc>
      </w:tr>
      <w:tr>
        <w:tc>
          <w:tcPr>
            <w:tcW w:w="3213" w:type="dxa"/>
          </w:tcPr>
          <w:p>
            <w:pPr>
              <w:pStyle w:val="Celda"/>
            </w:pPr>
            <w:r>
              <w:t xml:space="preserve">Tiene tiempo y carga de trabajo compatibles con la supervisión </w:t>
            </w:r>
            <w:r>
              <w:rPr>
                <w:b/>
              </w:rPr>
              <w:t xml:space="preserve">(Enterprise)</w:t>
            </w:r>
          </w:p>
        </w:tc>
        <w:tc>
          <w:tcPr>
            <w:tcW w:w="3213" w:type="dxa"/>
          </w:tcPr>
          <w:p>
            <w:pPr>
              <w:pStyle w:val="Celda"/>
            </w:pPr>
          </w:p>
        </w:tc>
        <w:tc>
          <w:tcPr>
            <w:tcW w:w="3213" w:type="dxa"/>
          </w:tcPr>
          <w:p>
            <w:pPr>
              <w:pStyle w:val="Celda"/>
            </w:pPr>
            <w:r>
              <w:t xml:space="preserve">Volumen previsto por persona y tiempo por revisión.</w:t>
            </w:r>
          </w:p>
        </w:tc>
      </w:tr>
    </w:tbl>
    <w:p>
      <w:pPr>
        <w:pStyle w:val="Espacio"/>
      </w:pPr>
    </w:p>
    <w:p>
      <w:r>
        <w:t xml:space="preserve">En sistemas de alto riesgo, estos requisitos se contrastan con el artículo 14 del Reglamento Europeo de IA (documento 34).</w:t>
      </w:r>
    </w:p>
    <w:p>
      <w:pPr>
        <w:pStyle w:val="Separador"/>
      </w:pPr>
    </w:p>
    <w:p>
      <w:pPr>
        <w:pStyle w:val="Heading1"/>
      </w:pPr>
      <w:r>
        <w:t xml:space="preserve">8. Transparencia y derechos de las personas afectadas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¿Se informa a las personas de que interactúan con un sistema de IA o de que el contenido es generado?</w:t>
            </w:r>
          </w:p>
        </w:tc>
        <w:tc>
          <w:tcPr>
            <w:tcW w:w="3213" w:type="dxa"/>
          </w:tcPr>
          <w:p>
            <w:pPr>
              <w:pStyle w:val="Celda"/>
            </w:pPr>
          </w:p>
        </w:tc>
        <w:tc>
          <w:tcPr>
            <w:tcW w:w="3213" w:type="dxa"/>
          </w:tcPr>
          <w:p>
            <w:pPr>
              <w:pStyle w:val="Celda"/>
            </w:pPr>
            <w:r>
              <w:t xml:space="preserve">Sí · No · No aplica. Cómo y en qué momento.</w:t>
            </w:r>
          </w:p>
        </w:tc>
      </w:tr>
      <w:tr>
        <w:tc>
          <w:tcPr>
            <w:tcW w:w="3213" w:type="dxa"/>
          </w:tcPr>
          <w:p>
            <w:pPr>
              <w:pStyle w:val="Celda"/>
            </w:pPr>
            <w:r>
              <w:t xml:space="preserve">Información sobre la lógica y los motivos del resultado</w:t>
            </w:r>
          </w:p>
        </w:tc>
        <w:tc>
          <w:tcPr>
            <w:tcW w:w="3213" w:type="dxa"/>
          </w:tcPr>
          <w:p>
            <w:pPr>
              <w:pStyle w:val="Celda"/>
            </w:pPr>
          </w:p>
        </w:tc>
        <w:tc>
          <w:tcPr>
            <w:tcW w:w="3213" w:type="dxa"/>
          </w:tcPr>
          <w:p>
            <w:pPr>
              <w:pStyle w:val="Celda"/>
            </w:pPr>
            <w:r>
              <w:t xml:space="preserve">Qué se explica y a quién.</w:t>
            </w:r>
          </w:p>
        </w:tc>
      </w:tr>
      <w:tr>
        <w:tc>
          <w:tcPr>
            <w:tcW w:w="3213" w:type="dxa"/>
          </w:tcPr>
          <w:p>
            <w:pPr>
              <w:pStyle w:val="Celda"/>
            </w:pPr>
            <w:r>
              <w:t xml:space="preserve">Vía para solicitar revisión humana o impugnar</w:t>
            </w:r>
          </w:p>
        </w:tc>
        <w:tc>
          <w:tcPr>
            <w:tcW w:w="3213" w:type="dxa"/>
          </w:tcPr>
          <w:p>
            <w:pPr>
              <w:pStyle w:val="Celda"/>
            </w:pPr>
          </w:p>
        </w:tc>
        <w:tc>
          <w:tcPr>
            <w:tcW w:w="3213" w:type="dxa"/>
          </w:tcPr>
          <w:p>
            <w:pPr>
              <w:pStyle w:val="Celda"/>
            </w:pPr>
            <w:r>
              <w:t xml:space="preserve">Canal, plazo interno de respuesta y rol que revisa.</w:t>
            </w:r>
          </w:p>
        </w:tc>
      </w:tr>
      <w:tr>
        <w:tc>
          <w:tcPr>
            <w:tcW w:w="3213" w:type="dxa"/>
          </w:tcPr>
          <w:p>
            <w:pPr>
              <w:pStyle w:val="Celda"/>
            </w:pPr>
            <w:r>
              <w:t xml:space="preserve">Registro de reclamaciones relacionadas con el sistema </w:t>
            </w:r>
            <w:r>
              <w:rPr>
                <w:b/>
              </w:rPr>
              <w:t xml:space="preserve">(Enterprise)</w:t>
            </w:r>
          </w:p>
        </w:tc>
        <w:tc>
          <w:tcPr>
            <w:tcW w:w="3213" w:type="dxa"/>
          </w:tcPr>
          <w:p>
            <w:pPr>
              <w:pStyle w:val="Celda"/>
            </w:pPr>
          </w:p>
        </w:tc>
        <w:tc>
          <w:tcPr>
            <w:tcW w:w="3213" w:type="dxa"/>
          </w:tcPr>
          <w:p>
            <w:pPr>
              <w:pStyle w:val="Celda"/>
            </w:pPr>
            <w:r>
              <w:t xml:space="preserve">Dónde se registran y cómo alimentan P25 y P27.</w:t>
            </w:r>
          </w:p>
        </w:tc>
      </w:tr>
      <w:tr>
        <w:tc>
          <w:tcPr>
            <w:tcW w:w="3213" w:type="dxa"/>
          </w:tcPr>
          <w:p>
            <w:pPr>
              <w:pStyle w:val="Celda"/>
            </w:pPr>
            <w:r>
              <w:t xml:space="preserve">Derivación inmediata a una persona (exposición directa)</w:t>
            </w:r>
          </w:p>
        </w:tc>
        <w:tc>
          <w:tcPr>
            <w:tcW w:w="3213" w:type="dxa"/>
          </w:tcPr>
          <w:p>
            <w:pPr>
              <w:pStyle w:val="Celda"/>
            </w:pPr>
          </w:p>
        </w:tc>
        <w:tc>
          <w:tcPr>
            <w:tcW w:w="3213" w:type="dxa"/>
          </w:tcPr>
          <w:p>
            <w:pPr>
              <w:pStyle w:val="Celda"/>
            </w:pPr>
            <w:r>
              <w:t xml:space="preserve">Señales de vulnerabilidad que la disparan, petición expresa, canal y tiempo máximo hasta que atiende una persona (35 §4.6).</w:t>
            </w:r>
          </w:p>
        </w:tc>
      </w:tr>
      <w:tr>
        <w:tc>
          <w:tcPr>
            <w:tcW w:w="3213" w:type="dxa"/>
          </w:tcPr>
          <w:p>
            <w:pPr>
              <w:pStyle w:val="Celda"/>
            </w:pPr>
            <w:r>
              <w:t xml:space="preserve">Registro de derivaciones</w:t>
            </w:r>
          </w:p>
        </w:tc>
        <w:tc>
          <w:tcPr>
            <w:tcW w:w="3213" w:type="dxa"/>
          </w:tcPr>
          <w:p>
            <w:pPr>
              <w:pStyle w:val="Celda"/>
            </w:pPr>
          </w:p>
        </w:tc>
        <w:tc>
          <w:tcPr>
            <w:tcW w:w="3213" w:type="dxa"/>
          </w:tcPr>
          <w:p>
            <w:pPr>
              <w:pStyle w:val="Celda"/>
            </w:pPr>
            <w:r>
              <w:t xml:space="preserve">Dónde se registran motivo, momento y tiempo de atención; se trasladan a P25.</w:t>
            </w:r>
          </w:p>
        </w:tc>
      </w:tr>
    </w:tbl>
    <w:p>
      <w:pPr>
        <w:pStyle w:val="Espacio"/>
      </w:pPr>
    </w:p>
    <w:p>
      <w:r>
        <w:t xml:space="preserve">Textos y registro de avisos en P49.</w:t>
      </w:r>
    </w:p>
    <w:p>
      <w:pPr>
        <w:pStyle w:val="Separador"/>
      </w:pPr>
    </w:p>
    <w:p>
      <w:pPr>
        <w:pStyle w:val="Heading1"/>
      </w:pPr>
      <w:r>
        <w:t xml:space="preserve">9. Responsabilidades y escalado</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Titular</w:t>
            </w:r>
          </w:p>
        </w:tc>
        <w:tc>
          <w:tcPr>
            <w:tcW w:w="1928" w:type="dxa"/>
            <w:shd w:val="clear" w:color="auto" w:fill="F2DFCE"/>
          </w:tcPr>
          <w:p>
            <w:pPr>
              <w:pStyle w:val="Celda"/>
            </w:pPr>
            <w:r>
              <w:rPr>
                <w:b/>
              </w:rPr>
              <w:t xml:space="preserve">Sustituto</w:t>
            </w:r>
          </w:p>
        </w:tc>
        <w:tc>
          <w:tcPr>
            <w:tcW w:w="1928" w:type="dxa"/>
            <w:shd w:val="clear" w:color="auto" w:fill="F2DFCE"/>
          </w:tcPr>
          <w:p>
            <w:pPr>
              <w:pStyle w:val="Celda"/>
            </w:pPr>
            <w:r>
              <w:rPr>
                <w:b/>
              </w:rPr>
              <w:t xml:space="preserve">Responsabilidad en la supervisión</w:t>
            </w:r>
          </w:p>
        </w:tc>
        <w:tc>
          <w:tcPr>
            <w:tcW w:w="1928" w:type="dxa"/>
            <w:shd w:val="clear" w:color="auto" w:fill="F2DFCE"/>
          </w:tcPr>
          <w:p>
            <w:pPr>
              <w:pStyle w:val="Celda"/>
            </w:pPr>
            <w:r>
              <w:rPr>
                <w:b/>
              </w:rPr>
              <w:t xml:space="preserve">Escala a</w:t>
            </w:r>
          </w:p>
        </w:tc>
      </w:tr>
      <w:tr>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r>
              <w:t xml:space="preserve">Diseño del reparto de decisiones y de la adopción</w:t>
            </w:r>
          </w:p>
        </w:tc>
        <w:tc>
          <w:tcPr>
            <w:tcW w:w="1928" w:type="dxa"/>
          </w:tcPr>
          <w:p>
            <w:pPr>
              <w:pStyle w:val="Celda"/>
            </w:pPr>
            <w:r>
              <w:t xml:space="preserve">Patrocinador</w:t>
            </w:r>
          </w:p>
        </w:tc>
      </w:tr>
      <w:tr>
        <w:tc>
          <w:tcPr>
            <w:tcW w:w="1928" w:type="dxa"/>
          </w:tcPr>
          <w:p>
            <w:pPr>
              <w:pStyle w:val="Celda"/>
            </w:pPr>
            <w:r>
              <w:t xml:space="preserve">Responsable de operación de IA</w:t>
            </w:r>
          </w:p>
        </w:tc>
        <w:tc>
          <w:tcPr>
            <w:tcW w:w="1928" w:type="dxa"/>
          </w:tcPr>
          <w:p>
            <w:pPr>
              <w:pStyle w:val="Celda"/>
            </w:pPr>
          </w:p>
        </w:tc>
        <w:tc>
          <w:tcPr>
            <w:tcW w:w="1928" w:type="dxa"/>
          </w:tcPr>
          <w:p>
            <w:pPr>
              <w:pStyle w:val="Celda"/>
            </w:pPr>
          </w:p>
        </w:tc>
        <w:tc>
          <w:tcPr>
            <w:tcW w:w="1928" w:type="dxa"/>
          </w:tcPr>
          <w:p>
            <w:pPr>
              <w:pStyle w:val="Celda"/>
            </w:pPr>
            <w:r>
              <w:t xml:space="preserve">Funcionamiento diario de la supervisión y alertas</w:t>
            </w:r>
          </w:p>
        </w:tc>
        <w:tc>
          <w:tcPr>
            <w:tcW w:w="1928" w:type="dxa"/>
          </w:tcPr>
          <w:p>
            <w:pPr>
              <w:pStyle w:val="Celda"/>
            </w:pPr>
            <w:r>
              <w:t xml:space="preserve">Comité de IA en incidentes S1–S2 (P26)</w:t>
            </w:r>
          </w:p>
        </w:tc>
      </w:tr>
      <w:tr>
        <w:tc>
          <w:tcPr>
            <w:tcW w:w="1928" w:type="dxa"/>
          </w:tcPr>
          <w:p>
            <w:pPr>
              <w:pStyle w:val="Celda"/>
            </w:pPr>
            <w:r>
              <w:t xml:space="preserve">Supervisores designados</w:t>
            </w:r>
          </w:p>
        </w:tc>
        <w:tc>
          <w:tcPr>
            <w:tcW w:w="1928" w:type="dxa"/>
          </w:tcPr>
          <w:p>
            <w:pPr>
              <w:pStyle w:val="Celda"/>
            </w:pPr>
          </w:p>
        </w:tc>
        <w:tc>
          <w:tcPr>
            <w:tcW w:w="1928" w:type="dxa"/>
          </w:tcPr>
          <w:p>
            <w:pPr>
              <w:pStyle w:val="Celda"/>
            </w:pPr>
          </w:p>
        </w:tc>
        <w:tc>
          <w:tcPr>
            <w:tcW w:w="1928" w:type="dxa"/>
          </w:tcPr>
          <w:p>
            <w:pPr>
              <w:pStyle w:val="Celda"/>
            </w:pPr>
            <w:r>
              <w:t xml:space="preserve">Validación, revisión y anulación</w:t>
            </w:r>
          </w:p>
        </w:tc>
        <w:tc>
          <w:tcPr>
            <w:tcW w:w="1928" w:type="dxa"/>
          </w:tcPr>
          <w:p>
            <w:pPr>
              <w:pStyle w:val="Celda"/>
            </w:pPr>
            <w:r>
              <w:t xml:space="preserve">Responsable de operación</w:t>
            </w:r>
          </w:p>
        </w:tc>
      </w:tr>
      <w:tr>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r>
              <w:t xml:space="preserve">Conformidad sobre la suficiencia de la supervisión</w:t>
            </w:r>
          </w:p>
        </w:tc>
        <w:tc>
          <w:tcPr>
            <w:tcW w:w="1928" w:type="dxa"/>
          </w:tcPr>
          <w:p>
            <w:pPr>
              <w:pStyle w:val="Celda"/>
            </w:pPr>
            <w:r>
              <w:t xml:space="preserve">Comité de IA</w:t>
            </w:r>
          </w:p>
        </w:tc>
      </w:tr>
    </w:tbl>
    <w:p>
      <w:pPr>
        <w:pStyle w:val="Espacio"/>
      </w:pPr>
    </w:p>
    <w:p>
      <w:pPr>
        <w:pStyle w:val="Separador"/>
      </w:pPr>
    </w:p>
    <w:p>
      <w:pPr>
        <w:pStyle w:val="Heading1"/>
      </w:pPr>
      <w:r>
        <w:t xml:space="preserve">10. Indicadores de supervisión</w:t>
      </w:r>
    </w:p>
    <w:p>
      <w:r>
        <w:t xml:space="preserve">Se trasladan a P25 con sus umbrales.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Indicador</w:t>
            </w:r>
          </w:p>
        </w:tc>
        <w:tc>
          <w:tcPr>
            <w:tcW w:w="2410" w:type="dxa"/>
            <w:shd w:val="clear" w:color="auto" w:fill="F2DFCE"/>
          </w:tcPr>
          <w:p>
            <w:pPr>
              <w:pStyle w:val="Celda"/>
            </w:pPr>
            <w:r>
              <w:rPr>
                <w:b/>
              </w:rPr>
              <w:t xml:space="preserve">Definición</w:t>
            </w:r>
          </w:p>
        </w:tc>
        <w:tc>
          <w:tcPr>
            <w:tcW w:w="2410" w:type="dxa"/>
            <w:shd w:val="clear" w:color="auto" w:fill="F2DFCE"/>
          </w:tcPr>
          <w:p>
            <w:pPr>
              <w:pStyle w:val="Celda"/>
            </w:pPr>
            <w:r>
              <w:rPr>
                <w:b/>
              </w:rPr>
              <w:t xml:space="preserve">Umbral de alerta</w:t>
            </w:r>
          </w:p>
        </w:tc>
        <w:tc>
          <w:tcPr>
            <w:tcW w:w="2410" w:type="dxa"/>
            <w:shd w:val="clear" w:color="auto" w:fill="F2DFCE"/>
          </w:tcPr>
          <w:p>
            <w:pPr>
              <w:pStyle w:val="Celda"/>
            </w:pPr>
            <w:r>
              <w:rPr>
                <w:b/>
              </w:rPr>
              <w:t xml:space="preserve">Frecuencia</w:t>
            </w:r>
          </w:p>
        </w:tc>
      </w:tr>
      <w:tr>
        <w:tc>
          <w:tcPr>
            <w:tcW w:w="2410" w:type="dxa"/>
          </w:tcPr>
          <w:p>
            <w:pPr>
              <w:pStyle w:val="Celda"/>
            </w:pPr>
            <w:r>
              <w:t xml:space="preserve">Tasa de anulación humana</w:t>
            </w:r>
          </w:p>
        </w:tc>
        <w:tc>
          <w:tcPr>
            <w:tcW w:w="2410" w:type="dxa"/>
          </w:tcPr>
          <w:p>
            <w:pPr>
              <w:pStyle w:val="Celda"/>
            </w:pPr>
            <w:r>
              <w:t xml:space="preserve">Resultados corregidos o rechazados ÷ resultados revisados</w:t>
            </w:r>
          </w:p>
        </w:tc>
        <w:tc>
          <w:tcPr>
            <w:tcW w:w="2410" w:type="dxa"/>
          </w:tcPr>
          <w:p>
            <w:pPr>
              <w:pStyle w:val="Celda"/>
            </w:pPr>
          </w:p>
        </w:tc>
        <w:tc>
          <w:tcPr>
            <w:tcW w:w="2410" w:type="dxa"/>
          </w:tcPr>
          <w:p>
            <w:pPr>
              <w:pStyle w:val="Celda"/>
            </w:pPr>
          </w:p>
        </w:tc>
      </w:tr>
      <w:tr>
        <w:tc>
          <w:tcPr>
            <w:tcW w:w="2410" w:type="dxa"/>
          </w:tcPr>
          <w:p>
            <w:pPr>
              <w:pStyle w:val="Celda"/>
            </w:pPr>
            <w:r>
              <w:t xml:space="preserve">Tiempo medio de validación</w:t>
            </w:r>
          </w:p>
        </w:tc>
        <w:tc>
          <w:tcPr>
            <w:tcW w:w="2410" w:type="dxa"/>
          </w:tcPr>
          <w:p>
            <w:pPr>
              <w:pStyle w:val="Celda"/>
            </w:pPr>
            <w:r>
              <w:t xml:space="preserve">Tiempo entre propuesta y validación</w:t>
            </w:r>
          </w:p>
        </w:tc>
        <w:tc>
          <w:tcPr>
            <w:tcW w:w="2410" w:type="dxa"/>
          </w:tcPr>
          <w:p>
            <w:pPr>
              <w:pStyle w:val="Celda"/>
            </w:pPr>
          </w:p>
        </w:tc>
        <w:tc>
          <w:tcPr>
            <w:tcW w:w="2410" w:type="dxa"/>
          </w:tcPr>
          <w:p>
            <w:pPr>
              <w:pStyle w:val="Celda"/>
            </w:pPr>
          </w:p>
        </w:tc>
      </w:tr>
      <w:tr>
        <w:tc>
          <w:tcPr>
            <w:tcW w:w="2410" w:type="dxa"/>
          </w:tcPr>
          <w:p>
            <w:pPr>
              <w:pStyle w:val="Celda"/>
            </w:pPr>
            <w:r>
              <w:t xml:space="preserve">Cobertura de la revisión a posteriori</w:t>
            </w:r>
          </w:p>
        </w:tc>
        <w:tc>
          <w:tcPr>
            <w:tcW w:w="2410" w:type="dxa"/>
          </w:tcPr>
          <w:p>
            <w:pPr>
              <w:pStyle w:val="Celda"/>
            </w:pPr>
            <w:r>
              <w:t xml:space="preserve">Resultados revisados ÷ resultados producidos</w:t>
            </w:r>
          </w:p>
        </w:tc>
        <w:tc>
          <w:tcPr>
            <w:tcW w:w="2410" w:type="dxa"/>
          </w:tcPr>
          <w:p>
            <w:pPr>
              <w:pStyle w:val="Celda"/>
            </w:pPr>
          </w:p>
        </w:tc>
        <w:tc>
          <w:tcPr>
            <w:tcW w:w="2410" w:type="dxa"/>
          </w:tcPr>
          <w:p>
            <w:pPr>
              <w:pStyle w:val="Celda"/>
            </w:pPr>
          </w:p>
        </w:tc>
      </w:tr>
      <w:tr>
        <w:tc>
          <w:tcPr>
            <w:tcW w:w="2410" w:type="dxa"/>
          </w:tcPr>
          <w:p>
            <w:pPr>
              <w:pStyle w:val="Celda"/>
            </w:pPr>
            <w:r>
              <w:t xml:space="preserve">Aceptación sin revisión efectiva </w:t>
            </w:r>
            <w:r>
              <w:rPr>
                <w:b/>
              </w:rPr>
              <w:t xml:space="preserve">(Enterprise)</w:t>
            </w:r>
          </w:p>
        </w:tc>
        <w:tc>
          <w:tcPr>
            <w:tcW w:w="2410" w:type="dxa"/>
          </w:tcPr>
          <w:p>
            <w:pPr>
              <w:pStyle w:val="Celda"/>
            </w:pPr>
            <w:r>
              <w:t xml:space="preserve">Validaciones con tiempo inferior al mínimo razonable</w:t>
            </w:r>
          </w:p>
        </w:tc>
        <w:tc>
          <w:tcPr>
            <w:tcW w:w="2410" w:type="dxa"/>
          </w:tcPr>
          <w:p>
            <w:pPr>
              <w:pStyle w:val="Celda"/>
            </w:pPr>
          </w:p>
        </w:tc>
        <w:tc>
          <w:tcPr>
            <w:tcW w:w="2410" w:type="dxa"/>
          </w:tcPr>
          <w:p>
            <w:pPr>
              <w:pStyle w:val="Celda"/>
            </w:pPr>
          </w:p>
        </w:tc>
      </w:tr>
      <w:tr>
        <w:tc>
          <w:tcPr>
            <w:tcW w:w="2410" w:type="dxa"/>
          </w:tcPr>
          <w:p>
            <w:pPr>
              <w:pStyle w:val="Celda"/>
            </w:pPr>
            <w:r>
              <w:t xml:space="preserve">Reclamaciones de personas afectadas</w:t>
            </w:r>
          </w:p>
        </w:tc>
        <w:tc>
          <w:tcPr>
            <w:tcW w:w="2410" w:type="dxa"/>
          </w:tcPr>
          <w:p>
            <w:pPr>
              <w:pStyle w:val="Celda"/>
            </w:pPr>
            <w:r>
              <w:t xml:space="preserve">Número por periodo</w:t>
            </w:r>
          </w:p>
        </w:tc>
        <w:tc>
          <w:tcPr>
            <w:tcW w:w="2410" w:type="dxa"/>
          </w:tcPr>
          <w:p>
            <w:pPr>
              <w:pStyle w:val="Celda"/>
            </w:pPr>
          </w:p>
        </w:tc>
        <w:tc>
          <w:tcPr>
            <w:tcW w:w="2410" w:type="dxa"/>
          </w:tcPr>
          <w:p>
            <w:pPr>
              <w:pStyle w:val="Celda"/>
            </w:pPr>
          </w:p>
        </w:tc>
      </w:tr>
      <w:tr>
        <w:tc>
          <w:tcPr>
            <w:tcW w:w="2410" w:type="dxa"/>
          </w:tcPr>
          <w:p>
            <w:pPr>
              <w:pStyle w:val="Celda"/>
            </w:pPr>
            <w:r>
              <w:t xml:space="preserve">Derivaciones a una persona</w:t>
            </w:r>
          </w:p>
        </w:tc>
        <w:tc>
          <w:tcPr>
            <w:tcW w:w="2410" w:type="dxa"/>
          </w:tcPr>
          <w:p>
            <w:pPr>
              <w:pStyle w:val="Celda"/>
            </w:pPr>
            <w:r>
              <w:t xml:space="preserve">Derivaciones por motivo y peticiones no atendidas</w:t>
            </w: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11. Criterios de calidad</w:t>
      </w:r>
    </w:p>
    <w:p>
      <w:r>
        <w:t xml:space="preserve">Los criterios formales de G4 sobre supervisión humana están en el documento 21 (y su lista LV-G4 en el documento 22); los controles de autonomía, en los controles AG del documento 35.</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Hay un único nivel de autonomía asignado y justificado.</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Cada decisión relevante del proceso tiene reparto asignado, y las indelegables están identificadas.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Los modos de supervisión son coherentes con el nivel de autonomía.</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 persona supervisora puede anular e interrumpir, y está formada para ello.</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Existe vía de revisión humana para las personas afectadas cuando procede.</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Los indicadores de supervisión tienen umbral y están trasladados a P25.</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Protección de datos ha revisado la aplicabilidad del artículo 22 del RGPD cuando procede.</w:t>
            </w:r>
          </w:p>
        </w:tc>
        <w:tc>
          <w:tcPr>
            <w:tcW w:w="3213" w:type="dxa"/>
          </w:tcPr>
          <w:p>
            <w:pPr>
              <w:pStyle w:val="Celda"/>
            </w:pPr>
          </w:p>
        </w:tc>
      </w:tr>
    </w:tbl>
    <w:p>
      <w:pPr>
        <w:pStyle w:val="Espacio"/>
      </w:pPr>
    </w:p>
    <w:p>
      <w:pPr>
        <w:pStyle w:val="Separador"/>
      </w:pPr>
    </w:p>
    <w:p>
      <w:pPr>
        <w:pStyle w:val="Heading1"/>
      </w:pPr>
      <w:r>
        <w:t xml:space="preserve">12.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Nombre</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Autor</w:t>
            </w:r>
          </w:p>
        </w:tc>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Coautor</w:t>
            </w:r>
          </w:p>
        </w:tc>
        <w:tc>
          <w:tcPr>
            <w:tcW w:w="1928" w:type="dxa"/>
          </w:tcPr>
          <w:p>
            <w:pPr>
              <w:pStyle w:val="Celda"/>
            </w:pPr>
            <w:r>
              <w:t xml:space="preserve">Responsable técnico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Conformidad</w:t>
            </w:r>
          </w:p>
        </w:tc>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Verificador</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Decisor del </w:t>
            </w:r>
            <w:r>
              <w:rPr>
                <w:i/>
              </w:rPr>
              <w:t xml:space="preserve">gate</w:t>
            </w:r>
          </w:p>
        </w:tc>
        <w:tc>
          <w:tcPr>
            <w:tcW w:w="1928" w:type="dxa"/>
          </w:tcPr>
          <w:p>
            <w:pPr>
              <w:pStyle w:val="Celda"/>
            </w:pPr>
            <w:r>
              <w:t xml:space="preserve">Según 01 §7.5 (registrado en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el responsable de riesgos y el verificador no forman parte del equipo que construye; nadie verifica ni aprueba su propio trabajo.</w:t>
      </w:r>
    </w:p>
    <w:p>
      <w:pPr>
        <w:pStyle w:val="Separador"/>
      </w:pPr>
    </w:p>
    <w:p>
      <w:pPr>
        <w:pStyle w:val="Heading1"/>
      </w:pPr>
      <w:r>
        <w:t xml:space="preserve">13. Control de versiones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de la plantilla.</w:t>
            </w:r>
          </w:p>
        </w:tc>
      </w:tr>
      <w:tr>
        <w:tc>
          <w:tcPr>
            <w:tcW w:w="3213" w:type="dxa"/>
          </w:tcPr>
          <w:p>
            <w:pPr>
              <w:pStyle w:val="Celda"/>
            </w:pPr>
            <w:r>
              <w:t xml:space="preserve">0.2</w:t>
            </w:r>
          </w:p>
        </w:tc>
        <w:tc>
          <w:tcPr>
            <w:tcW w:w="3213" w:type="dxa"/>
          </w:tcPr>
          <w:p>
            <w:pPr>
              <w:pStyle w:val="Celda"/>
            </w:pPr>
            <w:r>
              <w:t xml:space="preserve">19-10-2026</w:t>
            </w:r>
          </w:p>
        </w:tc>
        <w:tc>
          <w:tcPr>
            <w:tcW w:w="3213" w:type="dxa"/>
          </w:tcPr>
          <w:p>
            <w:pPr>
              <w:pStyle w:val="Celda"/>
            </w:pPr>
            <w:r>
              <w:t xml:space="preserve">Derivación inmediata a una persona y registro de derivaciones (8) e indicador de derivaciones (10) (35 §4.6) (D159).</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P17 · Diseño de gobierno y supervisión humana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P17 · Diseño de gobierno y supervisión humana</dc:title>
  <dc:creator>Fernando García Varela</dc:creator>
  <dc:language>es</dc:language>
  <dc:description>sha256:ae76c71938cddde0c50018e70ab3c6de370545a7ff8a95e3ba0732a67fe93374</dc:description>
  <cp:keywords>SEVEN-G</cp:keywords>
</cp:coreProperties>
</file>