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Microsoft YaHei" w:hAnsi="Microsoft YaHei" w:eastAsia="微软雅黑"/>
          <w:b/>
          <w:color w:val="A5781E"/>
          <w:sz w:val="20"/>
        </w:rPr>
        <w:t>广东省攀登计划 · 产品执行文件</w:t>
      </w:r>
    </w:p>
    <w:p>
      <w:pPr>
        <w:keepNext/>
        <w:spacing w:after="100"/>
      </w:pPr>
      <w:r>
        <w:rPr>
          <w:rFonts w:ascii="Microsoft YaHei" w:hAnsi="Microsoft YaHei" w:eastAsia="微软雅黑"/>
          <w:b/>
          <w:color w:val="332B22"/>
          <w:sz w:val="52"/>
        </w:rPr>
        <w:t>金箔非遗小程序产品需求文档</w:t>
      </w:r>
    </w:p>
    <w:p>
      <w:pPr>
        <w:keepNext/>
        <w:spacing w:after="280"/>
      </w:pPr>
      <w:r>
        <w:rPr>
          <w:rFonts w:ascii="Microsoft YaHei" w:hAnsi="Microsoft YaHei" w:eastAsia="微软雅黑"/>
          <w:color w:val="6F675F"/>
          <w:sz w:val="25"/>
        </w:rPr>
        <w:t>PRD V0.1｜3分钟轻量工艺体验与活化传播平台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8"/>
        <w:gridCol w:w="7434"/>
      </w:tblGrid>
      <w:tr>
        <w:trPr>
          <w:tblHeader w:val="true"/>
          <w:cantSplit/>
        </w:trPr>
        <w:tc>
          <w:tcPr>
            <w:tcW w:type="dxa" w:w="185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文档项</w:t>
            </w:r>
          </w:p>
        </w:tc>
        <w:tc>
          <w:tcPr>
            <w:tcW w:type="dxa" w:w="743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当前定义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文档状态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已确认需求基线；供原型、开发、内容、研究和测试共同执行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核心用户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广东高校学生，重点为18—24岁青年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产品形态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微信原生小程序＋CloudBase＋XR-Frame 3D互动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首版主线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3分钟互动体验；制箔或贴箔路线在首次专业访谈后锁定</w:t>
            </w:r>
          </w:p>
        </w:tc>
      </w:tr>
      <w:tr>
        <w:trPr>
          <w:cantSplit/>
        </w:trPr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  <w:shd w:fill="F7F1E3" w:val="clea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18"/>
              </w:rPr>
              <w:t>团队结构</w:t>
            </w:r>
          </w:p>
        </w:tc>
        <w:tc>
          <w:tcPr>
            <w:tcW w:type="dxa" w:w="743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4名学生分任产品前端、3D技术、内容档案、调研实践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产品定位｜</w:t>
      </w:r>
      <w:r>
        <w:rPr>
          <w:rFonts w:ascii="Microsoft YaHei" w:hAnsi="Microsoft YaHei" w:eastAsia="微软雅黑"/>
          <w:color w:val="332B22"/>
          <w:sz w:val="21"/>
        </w:rPr>
        <w:t>面向广东高校青年的金箔非遗轻量化数字体验与活化传播平台，以3D工艺互动为核心，连接传承人故事、数字档案与线下实践。</w:t>
      </w:r>
    </w:p>
    <w:p>
      <w:pPr>
        <w:spacing w:before="100" w:after="180" w:line="300" w:lineRule="auto"/>
        <w:ind w:left="198" w:right="142"/>
        <w:shd w:fill="F2F2F2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唯一待锁定决策｜</w:t>
      </w:r>
      <w:r>
        <w:rPr>
          <w:rFonts w:ascii="Microsoft YaHei" w:hAnsi="Microsoft YaHei" w:eastAsia="微软雅黑"/>
          <w:color w:val="332B22"/>
          <w:sz w:val="21"/>
        </w:rPr>
        <w:t>首次访谈后，由传承人或专业老师确认首版主线采用“制箔”还是“贴箔”。锁定后只制作一条主线，不并行开发两套完整体验。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文档使用说明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本文件定义首版小程序的产品边界、用户流程、功能要求、数据与隐私规则、内容发布流程、技术约束和验收标准。产品原型、开发任务、内容采集和用户研究均应引用本文件中的需求编号。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优先级说明｜</w:t>
      </w:r>
      <w:r>
        <w:rPr>
          <w:rFonts w:ascii="Microsoft YaHei" w:hAnsi="Microsoft YaHei" w:eastAsia="微软雅黑"/>
          <w:color w:val="332B22"/>
          <w:sz w:val="21"/>
        </w:rPr>
        <w:t>P0为申报演示必须完成；P1为正式首版应完成；P2为首版明确延后。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变更规则｜</w:t>
      </w:r>
      <w:r>
        <w:rPr>
          <w:rFonts w:ascii="Microsoft YaHei" w:hAnsi="Microsoft YaHei" w:eastAsia="微软雅黑"/>
          <w:color w:val="332B22"/>
          <w:sz w:val="21"/>
        </w:rPr>
        <w:t>新增需求必须说明其对应的项目目标、评价指标、负责人和对进度的影响，经指导教师与四岗位共同评审后方可纳入。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1. 产品目标与成功标准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1.1 产品目标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让第一次接触金箔非遗的高校青年，在不注册、不先学习长篇知识的情况下愿意进入体验。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用3分钟可完成的3D工艺互动建立对人物、工具、材料和工艺逻辑的初步认识。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把传承人真实影像、经审核的数字档案和校园实践连接为可持续传播路径。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通过行为数据、前后测、问卷、访谈和活动记录验证传播效果。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1.2 非目标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首版不建设独立APP、商城、支付、直播带货或复杂会员系统。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首版不制作大型3D游戏、多关卡重度游戏化或完整空间AR。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首版不同时覆盖多个非遗门类，也不同时制作制箔与贴箔两条完整主线。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首版不以考试、排行榜、证书或强制分享作为核心留存手段。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1.3 成功指标</w:t>
      </w:r>
    </w:p>
    <w:tbl>
      <w:tblPr>
        <w:tblW w:type="dxa" w:w="9292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323"/>
        <w:gridCol w:w="2323"/>
        <w:gridCol w:w="2323"/>
        <w:gridCol w:w="2323"/>
      </w:tblGrid>
      <w:tr>
        <w:trPr>
          <w:cantSplit/>
        </w:trPr>
        <w:tc>
          <w:tcPr>
            <w:tcW w:type="dxa" w:w="2323"/>
            <w:vAlign w:val="center"/>
            <w:shd w:fill="F7F1E3" w:val="clear"/>
            <w:tcMar>
              <w:top w:w="140" w:type="dxa"/>
              <w:bottom w:w="140" w:type="dxa"/>
              <w:start w:w="90" w:type="dxa"/>
              <w:end w:w="90" w:type="dxa"/>
            </w:tcMar>
            <w:tcBorders>
              <w:top w:val="single" w:sz="4" w:color="E6D8BA"/>
              <w:left w:val="single" w:sz="4" w:color="E6D8BA"/>
              <w:bottom w:val="single" w:sz="4" w:color="E6D8BA"/>
              <w:right w:val="single" w:sz="4" w:color="E6D8BA"/>
              <w:insideH w:val="single" w:sz="4" w:color="E6D8BA"/>
              <w:insideV w:val="single" w:sz="4" w:color="E6D8B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34"/>
              </w:rPr>
              <w:t>800+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F675F"/>
                <w:sz w:val="17"/>
              </w:rPr>
              <w:t>真实用户</w:t>
            </w:r>
          </w:p>
        </w:tc>
        <w:tc>
          <w:tcPr>
            <w:tcW w:type="dxa" w:w="2323"/>
            <w:vAlign w:val="center"/>
            <w:shd w:fill="F7F1E3" w:val="clear"/>
            <w:tcMar>
              <w:top w:w="140" w:type="dxa"/>
              <w:bottom w:w="140" w:type="dxa"/>
              <w:start w:w="90" w:type="dxa"/>
              <w:end w:w="90" w:type="dxa"/>
            </w:tcMar>
            <w:tcBorders>
              <w:top w:val="single" w:sz="4" w:color="E6D8BA"/>
              <w:left w:val="single" w:sz="4" w:color="E6D8BA"/>
              <w:bottom w:val="single" w:sz="4" w:color="E6D8BA"/>
              <w:right w:val="single" w:sz="4" w:color="E6D8BA"/>
              <w:insideH w:val="single" w:sz="4" w:color="E6D8BA"/>
              <w:insideV w:val="single" w:sz="4" w:color="E6D8B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34"/>
              </w:rPr>
              <w:t>60%+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F675F"/>
                <w:sz w:val="17"/>
              </w:rPr>
              <w:t>体验完成率</w:t>
            </w:r>
          </w:p>
        </w:tc>
        <w:tc>
          <w:tcPr>
            <w:tcW w:type="dxa" w:w="2323"/>
            <w:vAlign w:val="center"/>
            <w:shd w:fill="F7F1E3" w:val="clear"/>
            <w:tcMar>
              <w:top w:w="140" w:type="dxa"/>
              <w:bottom w:w="140" w:type="dxa"/>
              <w:start w:w="90" w:type="dxa"/>
              <w:end w:w="90" w:type="dxa"/>
            </w:tcMar>
            <w:tcBorders>
              <w:top w:val="single" w:sz="4" w:color="E6D8BA"/>
              <w:left w:val="single" w:sz="4" w:color="E6D8BA"/>
              <w:bottom w:val="single" w:sz="4" w:color="E6D8BA"/>
              <w:right w:val="single" w:sz="4" w:color="E6D8BA"/>
              <w:insideH w:val="single" w:sz="4" w:color="E6D8BA"/>
              <w:insideV w:val="single" w:sz="4" w:color="E6D8B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34"/>
              </w:rPr>
              <w:t>100+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F675F"/>
                <w:sz w:val="17"/>
              </w:rPr>
              <w:t>配对前后测</w:t>
            </w:r>
          </w:p>
        </w:tc>
        <w:tc>
          <w:tcPr>
            <w:tcW w:type="dxa" w:w="2323"/>
            <w:vAlign w:val="center"/>
            <w:shd w:fill="F7F1E3" w:val="clear"/>
            <w:tcMar>
              <w:top w:w="140" w:type="dxa"/>
              <w:bottom w:w="140" w:type="dxa"/>
              <w:start w:w="90" w:type="dxa"/>
              <w:end w:w="90" w:type="dxa"/>
            </w:tcMar>
            <w:tcBorders>
              <w:top w:val="single" w:sz="4" w:color="E6D8BA"/>
              <w:left w:val="single" w:sz="4" w:color="E6D8BA"/>
              <w:bottom w:val="single" w:sz="4" w:color="E6D8BA"/>
              <w:right w:val="single" w:sz="4" w:color="E6D8BA"/>
              <w:insideH w:val="single" w:sz="4" w:color="E6D8BA"/>
              <w:insideV w:val="single" w:sz="4" w:color="E6D8BA"/>
            </w:tcBorders>
          </w:tcPr>
          <w:p>
            <w:pPr>
              <w:spacing w:after="40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6F5016"/>
                <w:sz w:val="34"/>
              </w:rPr>
              <w:t>3场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F675F"/>
                <w:sz w:val="17"/>
              </w:rPr>
              <w:t>校园实践</w:t>
            </w:r>
          </w:p>
        </w:tc>
      </w:tr>
    </w:tbl>
    <w:p>
      <w:pPr>
        <w:spacing w:after="60"/>
      </w:pP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94"/>
        <w:gridCol w:w="3484"/>
        <w:gridCol w:w="2091"/>
        <w:gridCol w:w="2323"/>
      </w:tblGrid>
      <w:tr>
        <w:trPr>
          <w:tblHeader w:val="true"/>
          <w:cantSplit/>
        </w:trPr>
        <w:tc>
          <w:tcPr>
            <w:tcW w:type="dxa" w:w="139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指标层</w:t>
            </w:r>
          </w:p>
        </w:tc>
        <w:tc>
          <w:tcPr>
            <w:tcW w:type="dxa" w:w="348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指标定义</w:t>
            </w:r>
          </w:p>
        </w:tc>
        <w:tc>
          <w:tcPr>
            <w:tcW w:type="dxa" w:w="20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323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证据来源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触达</w:t>
            </w:r>
          </w:p>
        </w:tc>
        <w:tc>
          <w:tcPr>
            <w:tcW w:type="dxa" w:w="348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去重真实用户数；校园体验或推广活动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用户800+；活动3场</w:t>
            </w:r>
          </w:p>
        </w:tc>
        <w:tc>
          <w:tcPr>
            <w:tcW w:type="dxa" w:w="23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匿名行为数据、活动记录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体验</w:t>
            </w:r>
          </w:p>
        </w:tc>
        <w:tc>
          <w:tcPr>
            <w:tcW w:type="dxa" w:w="348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开始核心体验后完成全部3步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完成率不低于60%</w:t>
            </w:r>
          </w:p>
        </w:tc>
        <w:tc>
          <w:tcPr>
            <w:tcW w:type="dxa" w:w="23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experience_start / complete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深度</w:t>
            </w:r>
          </w:p>
        </w:tc>
        <w:tc>
          <w:tcPr>
            <w:tcW w:type="dxa" w:w="348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完成后进入故事、档案或活动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继续探索率不低于25%</w:t>
            </w:r>
          </w:p>
        </w:tc>
        <w:tc>
          <w:tcPr>
            <w:tcW w:type="dxa" w:w="23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result_action、archive_view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认知</w:t>
            </w:r>
          </w:p>
        </w:tc>
        <w:tc>
          <w:tcPr>
            <w:tcW w:type="dxa" w:w="348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同一研究样本的前后测得分变化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样本100+；均值提升20%目标</w:t>
            </w:r>
          </w:p>
        </w:tc>
        <w:tc>
          <w:tcPr>
            <w:tcW w:type="dxa" w:w="23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研究编号关联的配对数据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</w:t>
            </w:r>
          </w:p>
        </w:tc>
        <w:tc>
          <w:tcPr>
            <w:tcW w:type="dxa" w:w="348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审核发布的系列传播内容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短视频8—12期</w:t>
            </w:r>
          </w:p>
        </w:tc>
        <w:tc>
          <w:tcPr>
            <w:tcW w:type="dxa" w:w="23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内容台账、发布记录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口径说明｜</w:t>
      </w:r>
      <w:r>
        <w:rPr>
          <w:rFonts w:ascii="Microsoft YaHei" w:hAnsi="Microsoft YaHei" w:eastAsia="微软雅黑"/>
          <w:color w:val="332B22"/>
          <w:sz w:val="21"/>
        </w:rPr>
        <w:t>上述为项目目标值，不得在申报书中表述为已取得成果；申报前30—50人测试用于校准指标。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2. 用户、场景与产品原则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2.1 核心用户与使用场景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核心用户｜</w:t>
      </w:r>
      <w:r>
        <w:rPr>
          <w:rFonts w:ascii="Microsoft YaHei" w:hAnsi="Microsoft YaHei" w:eastAsia="微软雅黑"/>
          <w:color w:val="332B22"/>
          <w:sz w:val="21"/>
        </w:rPr>
        <w:t>广东高校学生，重点为18—24岁青年；产品不设置年龄排他限制。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典型场景｜</w:t>
      </w:r>
      <w:r>
        <w:rPr>
          <w:rFonts w:ascii="Microsoft YaHei" w:hAnsi="Microsoft YaHei" w:eastAsia="微软雅黑"/>
          <w:color w:val="332B22"/>
          <w:sz w:val="21"/>
        </w:rPr>
        <w:t>在短视频、海报、课程或校园活动中扫码进入；利用课间或碎片时间完成体验；体验后自主选择继续了解或参加活动。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用户特征｜</w:t>
      </w:r>
      <w:r>
        <w:rPr>
          <w:rFonts w:ascii="Microsoft YaHei" w:hAnsi="Microsoft YaHei" w:eastAsia="微软雅黑"/>
          <w:color w:val="332B22"/>
          <w:sz w:val="21"/>
        </w:rPr>
        <w:t>对新奇互动有兴趣，但对长篇学习和强制答题耐心有限；愿意分享个性化结果，但不希望先完成复杂注册。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2.2 产品原则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先体验后学习：首屏直接提供“开始3分钟体验”，知识内容作为体验后的自愿延伸。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真实内容优先：工艺、人物和史实必须有来源并经专业审核，数字互动明确标注为简化模拟。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引导完成优先：核心体验不设失败、倒计时、扣分和数值排名，允许提示与重试。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核心流程可降级：3D加载失败或设备能力不足时提供2D、图文或视频替代路径。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最少干扰：核心流程无需注册；相机权限仅在用户点击AR时请求。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3. 范围与版本优先级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7"/>
        <w:gridCol w:w="1704"/>
        <w:gridCol w:w="4491"/>
        <w:gridCol w:w="2090"/>
      </w:tblGrid>
      <w:tr>
        <w:trPr>
          <w:tblHeader w:val="true"/>
          <w:cantSplit/>
        </w:trPr>
        <w:tc>
          <w:tcPr>
            <w:tcW w:type="dxa" w:w="10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70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版本目标</w:t>
            </w:r>
          </w:p>
        </w:tc>
        <w:tc>
          <w:tcPr>
            <w:tcW w:type="dxa" w:w="44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纳入功能</w:t>
            </w:r>
          </w:p>
        </w:tc>
        <w:tc>
          <w:tcPr>
            <w:tcW w:type="dxa" w:w="209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完成定义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P0</w:t>
            </w:r>
          </w:p>
        </w:tc>
        <w:tc>
          <w:tcPr>
            <w:tcW w:type="dxa" w:w="170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申报演示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首页入口、分段真实视频、3步3D互动、即时反馈、结果页、3D降级、核心埋点</w:t>
            </w:r>
          </w:p>
        </w:tc>
        <w:tc>
          <w:tcPr>
            <w:tcW w:type="dxa" w:w="209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可在真实手机完成主流程并形成演示数据</w:t>
            </w:r>
          </w:p>
        </w:tc>
      </w:tr>
      <w:tr>
        <w:trPr>
          <w:cantSplit/>
        </w:trPr>
        <w:tc>
          <w:tcPr>
            <w:tcW w:type="dxa" w:w="10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P1</w:t>
            </w:r>
          </w:p>
        </w:tc>
        <w:tc>
          <w:tcPr>
            <w:tcW w:type="dxa" w:w="170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正式首版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传承人故事、金箔志、一个AR场景、活动、分享海报、内容导入发布</w:t>
            </w:r>
          </w:p>
        </w:tc>
        <w:tc>
          <w:tcPr>
            <w:tcW w:type="dxa" w:w="209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内容经审核、兼容测试通过、可开展校园验证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P2</w:t>
            </w:r>
          </w:p>
        </w:tc>
        <w:tc>
          <w:tcPr>
            <w:tcW w:type="dxa" w:w="170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后续迭代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登录、积分徽章、排行、复杂测评、收藏、多非遗、商城支付、直播</w:t>
            </w:r>
          </w:p>
        </w:tc>
        <w:tc>
          <w:tcPr>
            <w:tcW w:type="dxa" w:w="209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不进入首版工期与验收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范围冻结｜</w:t>
      </w:r>
      <w:r>
        <w:rPr>
          <w:rFonts w:ascii="Microsoft YaHei" w:hAnsi="Microsoft YaHei" w:eastAsia="微软雅黑"/>
          <w:color w:val="332B22"/>
          <w:sz w:val="21"/>
        </w:rPr>
        <w:t>P0验收前不得启动P2。P1新增功能须先证明不会影响核心体验、兼容性与用户研究进度。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4. 信息架构与核心流程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4.1 一级导航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94"/>
        <w:gridCol w:w="3407"/>
        <w:gridCol w:w="4491"/>
      </w:tblGrid>
      <w:tr>
        <w:trPr>
          <w:tblHeader w:val="true"/>
          <w:cantSplit/>
        </w:trPr>
        <w:tc>
          <w:tcPr>
            <w:tcW w:type="dxa" w:w="139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44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核心内容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首页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快速理解价值并开始体验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主视觉、3分钟承诺、开始按钮、精选内容与活动入口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体验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完成3步轻量工艺互动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分段视频、3D操作、即时反馈、结果与延伸动作</w:t>
            </w:r>
          </w:p>
        </w:tc>
      </w:tr>
      <w:tr>
        <w:trPr>
          <w:cantSplit/>
        </w:trPr>
        <w:tc>
          <w:tcPr>
            <w:tcW w:type="dxa" w:w="139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金箔志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按兴趣了解真实人物与工艺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人物、工艺、工具与材料、作品与应用</w:t>
            </w:r>
          </w:p>
        </w:tc>
      </w:tr>
      <w:tr>
        <w:trPr>
          <w:cantSplit/>
        </w:trPr>
        <w:tc>
          <w:tcPr>
            <w:tcW w:type="dxa" w:w="139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活动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了解并进入线下参与渠道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活动列表、详情、官方报名二维码或渠道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首版不设置“我的”一级入口。登录、收藏、积分、证书和用户资产均不属于P0/P1必需能力。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4.2 核心用户流程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用户从首页点击“开始3分钟体验”，无需注册即可进入。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观看3—5秒真实人物开场；可跳过，字幕默认可读，静音不影响理解。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在每个互动步骤前观看5—8秒真实工艺片段，再完成对应3D操作。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系统提供即时描述性反馈、提示和重试，完成3步后生成个人金箔作品。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结果页提供AR、分享海报、金箔志、活动和再次体验等可选动作。</w:t>
      </w: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核心闭环｜</w:t>
      </w:r>
      <w:r>
        <w:rPr>
          <w:rFonts w:ascii="Microsoft YaHei" w:hAnsi="Microsoft YaHei" w:eastAsia="微软雅黑"/>
          <w:color w:val="332B22"/>
          <w:sz w:val="21"/>
        </w:rPr>
        <w:t>首页 → 真实开场 → 视频片段＋3D步骤×3 → 个人作品与反馈 → 可选深度内容／AR／活动。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4.3 工艺主线决策框架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在首次访谈前，产品仅保留共享的三阶段交互框架。访谈确认后，将下表中一列锁定为首版内容，并由专业老师审核术语、步骤与表现。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26"/>
        <w:gridCol w:w="2400"/>
        <w:gridCol w:w="2400"/>
        <w:gridCol w:w="2866"/>
      </w:tblGrid>
      <w:tr>
        <w:trPr>
          <w:tblHeader w:val="true"/>
          <w:cantSplit/>
        </w:trPr>
        <w:tc>
          <w:tcPr>
            <w:tcW w:type="dxa" w:w="162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共享阶段</w:t>
            </w:r>
          </w:p>
        </w:tc>
        <w:tc>
          <w:tcPr>
            <w:tcW w:type="dxa" w:w="240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候选A：制箔</w:t>
            </w:r>
          </w:p>
        </w:tc>
        <w:tc>
          <w:tcPr>
            <w:tcW w:type="dxa" w:w="240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候选B：贴箔</w:t>
            </w:r>
          </w:p>
        </w:tc>
        <w:tc>
          <w:tcPr>
            <w:tcW w:type="dxa" w:w="286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共享产品能力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1 认识任务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认识材料、工具与目标厚度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选择器物、金箔与工具</w:t>
            </w:r>
          </w:p>
        </w:tc>
        <w:tc>
          <w:tcPr>
            <w:tcW w:type="dxa" w:w="286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真实短视频、3D对象、提示卡</w:t>
            </w:r>
          </w:p>
        </w:tc>
      </w:tr>
      <w:tr>
        <w:trPr>
          <w:cantSplit/>
        </w:trPr>
        <w:tc>
          <w:tcPr>
            <w:tcW w:type="dxa" w:w="162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2 关键动作</w:t>
            </w:r>
          </w:p>
        </w:tc>
        <w:tc>
          <w:tcPr>
            <w:tcW w:type="dxa" w:w="240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模拟敲击力度与节奏</w:t>
            </w:r>
          </w:p>
        </w:tc>
        <w:tc>
          <w:tcPr>
            <w:tcW w:type="dxa" w:w="240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模拟取箔、移动与覆盖</w:t>
            </w:r>
          </w:p>
        </w:tc>
        <w:tc>
          <w:tcPr>
            <w:tcW w:type="dxa" w:w="286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手势识别、即时反馈、重试</w:t>
            </w:r>
          </w:p>
        </w:tc>
      </w:tr>
      <w:tr>
        <w:trPr>
          <w:cantSplit/>
        </w:trPr>
        <w:tc>
          <w:tcPr>
            <w:tcW w:type="dxa" w:w="162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 检查完成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观察厚度、完整性与裁切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刷平、修补并检查覆盖</w:t>
            </w:r>
          </w:p>
        </w:tc>
        <w:tc>
          <w:tcPr>
            <w:tcW w:type="dxa" w:w="286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完成状态、个性结果、文化提示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锁定依据｜</w:t>
      </w:r>
      <w:r>
        <w:rPr>
          <w:rFonts w:ascii="Microsoft YaHei" w:hAnsi="Microsoft YaHei" w:eastAsia="微软雅黑"/>
          <w:color w:val="332B22"/>
          <w:sz w:val="21"/>
        </w:rPr>
        <w:t>合作对象的代表性工艺、可拍摄性、3分钟内的可交互性、文化准确性和技术可实现性。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5. 功能需求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5.1 首页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首屏展示一句话价值和“开始3分钟体验”主按钮。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首次进入无需滚动即可看到并点击主按钮。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首屏不以课程、知识测评或注册作为前置。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未登录用户可直接进入EXP-01。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展示精选故事、金箔志和近期活动入口。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内容为空时模块可隐藏，不影响主按钮。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记录主按钮点击来源。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触发home_cta_click并携带入口来源。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5.2 分段视频与体验准备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进入体验后播放3—5秒传承人或专业老师开场。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视频可跳过，有字幕，静音状态可理解。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每个步骤前播放5—8秒真实工艺片段。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每段可跳过；结束或跳过后进入对应操作。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首次加载显示清晰进度与预计等待说明。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用户不会停留在无反馈空白页。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EXP-04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说明体验为简化数字模拟。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开始前或首步可见，不宣称替代真实工艺。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5.3 三步3D互动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按已锁定工艺主线提供连续3步操作。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步骤顺序、术语和动作经专业审核。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每步提供首次引导和按需提示。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无操作或多次偏离时出现提示；用户可继续。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操作后立即给出视觉、文字或动效反馈。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不以声音或颜色作为唯一反馈。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不设置倒计时、失败、扣分或公开排名。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用户通过提示和重试可完成全部步骤。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INT-05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后台记录步骤时长、提示次数和重试次数。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不向用户展示数值分数，但事件字段可查询。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INT-06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支持退出并记录退出步骤。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退出不进入死循环；触发experience_exit。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5.4 结果页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生成并展示个人3D金箔作品。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完成3步后自动进入结果页并可旋转查看。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根据操作过程给出描述性反馈。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反馈使用“细致、稳定、均匀”等措辞，不显示分数或排名。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展示一条经审核的文化知识提示。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知识内容可追溯至内容台账和审核记录。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提供AR、分享、金箔志、活动和重试入口。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各动作可选；拒绝权限或分享失败不影响结果。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RES-05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分享海报不得强制填写姓名、手机号。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可匿名生成；分享动作由用户主动发起。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5.5 金箔志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设置人物、工艺、工具与材料、作品与应用四类内容。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分类入口均可独立配置和隐藏空分类。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列表卡片展示标题、摘要、封面与类型。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点击进入1分钟可读详情。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ARC-03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详情支持短文、图片与可选长视频。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视频非自动播放；弱网下正文仍可阅读。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ARC-04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详情底部显示来源、审核人和审核日期。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未审核内容不得进入已发布状态。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ARC-05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P1仅提供分类筛选，不做全文搜索。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四类筛选结果正确；无搜索入口。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5.6 活动、AR与分享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336"/>
        <w:gridCol w:w="340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产品需求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ACT-01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活动模块展示列表、详情、时间地点和主办方。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信息与官方发布一致，过期状态明确。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ACT-02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点击“我要参加”后展示学校或主办方官方报名渠道。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小程序仅记录意向点击，不代收报名信息。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AR-01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结果页提供一个可选AR展示场景。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仅点击后申请相机权限；拒绝后返回结果页。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SHR-01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生成包含作品、项目识别和小程序入口的分享海报。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分享失败可重试或返回，不阻断其他动作。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6. 状态、异常与降级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36"/>
        <w:gridCol w:w="4336"/>
        <w:gridCol w:w="3020"/>
      </w:tblGrid>
      <w:tr>
        <w:trPr>
          <w:tblHeader w:val="true"/>
          <w:cantSplit/>
        </w:trPr>
        <w:tc>
          <w:tcPr>
            <w:tcW w:type="dxa" w:w="19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33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302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3D加载中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显示进度和操作提示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无空白页；用户可返回</w:t>
            </w:r>
          </w:p>
        </w:tc>
      </w:tr>
      <w:tr>
        <w:trPr>
          <w:cantSplit/>
        </w:trPr>
        <w:tc>
          <w:tcPr>
            <w:tcW w:type="dxa" w:w="19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加载超过8秒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提示继续等待并说明可退出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不重复弹窗、不误判完成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加载15秒失败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提供重试或2D／图文／视频替代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替代路径可完成基础内容体验</w:t>
            </w:r>
          </w:p>
        </w:tc>
      </w:tr>
      <w:tr>
        <w:trPr>
          <w:cantSplit/>
        </w:trPr>
        <w:tc>
          <w:tcPr>
            <w:tcW w:type="dxa" w:w="19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弱网或断网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提示网络状态并允许重试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恢复网络后无需重启小程序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拒绝相机权限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关闭AR并返回结果页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不再次强制请求，不影响其他功能</w:t>
            </w:r>
          </w:p>
        </w:tc>
      </w:tr>
      <w:tr>
        <w:trPr>
          <w:cantSplit/>
        </w:trPr>
        <w:tc>
          <w:tcPr>
            <w:tcW w:type="dxa" w:w="19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视频加载失败</w:t>
            </w:r>
          </w:p>
        </w:tc>
        <w:tc>
          <w:tcPr>
            <w:tcW w:type="dxa" w:w="433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显示封面、字幕摘要与跳过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用户仍可进入对应3D步骤</w:t>
            </w:r>
          </w:p>
        </w:tc>
      </w:tr>
      <w:tr>
        <w:trPr>
          <w:cantSplit/>
        </w:trPr>
        <w:tc>
          <w:tcPr>
            <w:tcW w:type="dxa" w:w="19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内容为空或下架</w:t>
            </w:r>
          </w:p>
        </w:tc>
        <w:tc>
          <w:tcPr>
            <w:tcW w:type="dxa" w:w="433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隐藏入口或显示友好空状态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不出现无效链接和报错代码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7. 数据埋点与效果评价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7.1 核心事件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91"/>
        <w:gridCol w:w="2555"/>
        <w:gridCol w:w="2555"/>
        <w:gridCol w:w="2091"/>
      </w:tblGrid>
      <w:tr>
        <w:trPr>
          <w:tblHeader w:val="true"/>
          <w:cantSplit/>
        </w:trPr>
        <w:tc>
          <w:tcPr>
            <w:tcW w:type="dxa" w:w="20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555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触发时机</w:t>
            </w:r>
          </w:p>
        </w:tc>
        <w:tc>
          <w:tcPr>
            <w:tcW w:type="dxa" w:w="2555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0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home_cta_click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点击首页主按钮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source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入口转化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experience_start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进入核心体验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session_id、route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开始人数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video_play / skip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播放或跳过分段视频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segment_id、watch_time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内容接受度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step_start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进入某一步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step_id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漏斗起点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step_hint / retry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使用提示或重试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step_id、count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难度诊断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step_complete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完成某一步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step_id、duration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步骤完成率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experience_exit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中途退出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step_id、duration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流失诊断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experience_complete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完成全部3步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total_duration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核心完成率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result_action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结果页点击后续动作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action_type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深度探索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archive_view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打开金箔志详情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content_id、category</w:t>
            </w:r>
          </w:p>
        </w:tc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内容偏好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activity_interest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点击我要参加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activity_id</w:t>
            </w:r>
          </w:p>
        </w:tc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活动意向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完成率｜</w:t>
      </w:r>
      <w:r>
        <w:rPr>
          <w:rFonts w:ascii="Microsoft YaHei" w:hAnsi="Microsoft YaHei" w:eastAsia="微软雅黑"/>
          <w:color w:val="332B22"/>
          <w:sz w:val="21"/>
        </w:rPr>
        <w:t>experience_complete 去重会话数 ÷ experience_start 去重会话数。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继续探索率｜</w:t>
      </w:r>
      <w:r>
        <w:rPr>
          <w:rFonts w:ascii="Microsoft YaHei" w:hAnsi="Microsoft YaHei" w:eastAsia="微软雅黑"/>
          <w:color w:val="332B22"/>
          <w:sz w:val="21"/>
        </w:rPr>
        <w:t>完成体验后触发AR、分享、金箔志或活动动作的去重用户数 ÷ 完成体验去重用户数。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数据质量｜</w:t>
      </w:r>
      <w:r>
        <w:rPr>
          <w:rFonts w:ascii="Microsoft YaHei" w:hAnsi="Microsoft YaHei" w:eastAsia="微软雅黑"/>
          <w:color w:val="332B22"/>
          <w:sz w:val="21"/>
        </w:rPr>
        <w:t>事件均需包含时间、版本、设备能力、会话编号和匿名用户编号；测试账号与正式数据应可区分。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7.2 两层用户研究设计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4"/>
        <w:gridCol w:w="2400"/>
        <w:gridCol w:w="3407"/>
        <w:gridCol w:w="1781"/>
      </w:tblGrid>
      <w:tr>
        <w:trPr>
          <w:tblHeader w:val="true"/>
          <w:cantSplit/>
        </w:trPr>
        <w:tc>
          <w:tcPr>
            <w:tcW w:type="dxa" w:w="1704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40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对象与规模</w:t>
            </w:r>
          </w:p>
        </w:tc>
        <w:tc>
          <w:tcPr>
            <w:tcW w:type="dxa" w:w="340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收集内容</w:t>
            </w:r>
          </w:p>
        </w:tc>
        <w:tc>
          <w:tcPr>
            <w:tcW w:type="dxa" w:w="178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4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一般用户层</w:t>
            </w:r>
          </w:p>
        </w:tc>
        <w:tc>
          <w:tcPr>
            <w:tcW w:type="dxa" w:w="24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约800名真实用户</w:t>
            </w:r>
          </w:p>
        </w:tc>
        <w:tc>
          <w:tcPr>
            <w:tcW w:type="dxa" w:w="340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匿名行为；体验后自愿填写学校、年级、专业大类、兴趣</w:t>
            </w:r>
          </w:p>
        </w:tc>
        <w:tc>
          <w:tcPr>
            <w:tcW w:type="dxa" w:w="178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评价触达、完成率和探索行为</w:t>
            </w:r>
          </w:p>
        </w:tc>
      </w:tr>
      <w:tr>
        <w:trPr>
          <w:cantSplit/>
        </w:trPr>
        <w:tc>
          <w:tcPr>
            <w:tcW w:type="dxa" w:w="1704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正式研究层</w:t>
            </w:r>
          </w:p>
        </w:tc>
        <w:tc>
          <w:tcPr>
            <w:tcW w:type="dxa" w:w="240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不少于100名知情同意样本</w:t>
            </w:r>
          </w:p>
        </w:tc>
        <w:tc>
          <w:tcPr>
            <w:tcW w:type="dxa" w:w="340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手机号或微信联系方式、前测、后测、随访、行为事件</w:t>
            </w:r>
          </w:p>
        </w:tc>
        <w:tc>
          <w:tcPr>
            <w:tcW w:type="dxa" w:w="178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配对分析、访谈和论文研究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8. 隐私、同意与数据分离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核心体验不以填写手机号、微信号或研究问卷为前提；非必要信息由用户自愿提供。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正式研究样本在收集联系方式和配对数据前展示研究目的、使用范围、保存期限、退出方式和联系人，并取得明确同意。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活动报名继续使用学校或主办方官方渠道；若活动参与者同时进入研究，需另行完成研究同意。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联系方式仅用于约定的随访、访谈或通知，不得转作营销、公开传播或与无关数据合并。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原始研究数据仅限授权成员访问；对外报告和论文使用去标识化或汇总结果。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91"/>
        <w:gridCol w:w="4646"/>
        <w:gridCol w:w="2555"/>
      </w:tblGrid>
      <w:tr>
        <w:trPr>
          <w:tblHeader w:val="true"/>
          <w:cantSplit/>
        </w:trPr>
        <w:tc>
          <w:tcPr>
            <w:tcW w:type="dxa" w:w="20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数据表</w:t>
            </w:r>
          </w:p>
        </w:tc>
        <w:tc>
          <w:tcPr>
            <w:tcW w:type="dxa" w:w="464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建议字段</w:t>
            </w:r>
          </w:p>
        </w:tc>
        <w:tc>
          <w:tcPr>
            <w:tcW w:type="dxa" w:w="2555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访问要求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research_contacts</w:t>
            </w:r>
          </w:p>
        </w:tc>
        <w:tc>
          <w:tcPr>
            <w:tcW w:type="dxa" w:w="464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research_id、手机号／微信、同意时间、联系状态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单独存储，仅研究负责人和指导教师授权访问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research_responses</w:t>
            </w:r>
          </w:p>
        </w:tc>
        <w:tc>
          <w:tcPr>
            <w:tcW w:type="dxa" w:w="464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research_id、前测、后测、随访答案</w:t>
            </w:r>
          </w:p>
        </w:tc>
        <w:tc>
          <w:tcPr>
            <w:tcW w:type="dxa" w:w="255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不存直接联系方式；按研究编号关联</w:t>
            </w:r>
          </w:p>
        </w:tc>
      </w:tr>
      <w:tr>
        <w:trPr>
          <w:cantSplit/>
        </w:trPr>
        <w:tc>
          <w:tcPr>
            <w:tcW w:type="dxa" w:w="20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behavior_events</w:t>
            </w:r>
          </w:p>
        </w:tc>
        <w:tc>
          <w:tcPr>
            <w:tcW w:type="dxa" w:w="464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anonymous_id／research_id、事件、时间、版本、参数</w:t>
            </w:r>
          </w:p>
        </w:tc>
        <w:tc>
          <w:tcPr>
            <w:tcW w:type="dxa" w:w="255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研究样本经同意后才关联research_id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合规基线｜</w:t>
      </w:r>
      <w:r>
        <w:rPr>
          <w:rFonts w:ascii="Microsoft YaHei" w:hAnsi="Microsoft YaHei" w:eastAsia="微软雅黑"/>
          <w:color w:val="332B22"/>
          <w:sz w:val="21"/>
        </w:rPr>
        <w:t>目的明确、范围合理、最少必要、知情自愿、明确同意、可撤回、限制访问。是否愿意留下手机号，不替代告知与同意程序。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9. 内容生产、审核与发布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9.1 首版工作流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岗位3在结构化Excel／CSV内容台账中建档，分配内容ID和素材ID。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传承人或专业老师审核工艺、人物与史实；团队核对授权、来源和文字规范。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内容状态依次流转为草稿、待审核、已审核、已发布；只有已审核内容可导入。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岗位1或岗位2使用受控导入脚本写入云数据库，媒体文件上传云存储。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发布后保留版本、修改人、修改时间、修改原因和下架记录。</w:t>
      </w: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首版约束｜</w:t>
      </w:r>
      <w:r>
        <w:rPr>
          <w:rFonts w:ascii="Microsoft YaHei" w:hAnsi="Microsoft YaHei" w:eastAsia="微软雅黑"/>
          <w:color w:val="332B22"/>
          <w:sz w:val="21"/>
        </w:rPr>
        <w:t>不建设复杂CMS，也不允许内容学生直接在云数据库中随意修改。云控制台仅用于技术维护和紧急处置。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9.2 内容台账最低字段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956"/>
        <w:gridCol w:w="2787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495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最低字段</w:t>
            </w:r>
          </w:p>
        </w:tc>
        <w:tc>
          <w:tcPr>
            <w:tcW w:type="dxa" w:w="278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识别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content_id、category、title、summary</w:t>
            </w:r>
          </w:p>
        </w:tc>
        <w:tc>
          <w:tcPr>
            <w:tcW w:type="dxa" w:w="278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ID唯一且发布后不复用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正文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body、media_ids、related_ids</w:t>
            </w:r>
          </w:p>
        </w:tc>
        <w:tc>
          <w:tcPr>
            <w:tcW w:type="dxa" w:w="278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正文引用素材ID，不直接写本地路径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真实性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source、reviewer、review_date</w:t>
            </w:r>
          </w:p>
        </w:tc>
        <w:tc>
          <w:tcPr>
            <w:tcW w:type="dxa" w:w="278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来源可追溯；审核人和日期不可为空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授权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authorization_id、rights_scope</w:t>
            </w:r>
          </w:p>
        </w:tc>
        <w:tc>
          <w:tcPr>
            <w:tcW w:type="dxa" w:w="278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图片、视频、肖像、模型均需对应授权或许可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状态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status、version、updated_by、updated_at</w:t>
            </w:r>
          </w:p>
        </w:tc>
        <w:tc>
          <w:tcPr>
            <w:tcW w:type="dxa" w:w="278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仅reviewed可导入published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10. 技术方案与数据结构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10.1 技术架构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3252"/>
        <w:gridCol w:w="4491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52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449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首版职责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客户端</w:t>
            </w:r>
          </w:p>
        </w:tc>
        <w:tc>
          <w:tcPr>
            <w:tcW w:type="dxa" w:w="3252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微信原生小程序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页面、状态管理、视频、分享、权限与降级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3D／AR</w:t>
            </w:r>
          </w:p>
        </w:tc>
        <w:tc>
          <w:tcPr>
            <w:tcW w:type="dxa" w:w="3252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微信XR-Frame＋优化后的GLB模型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3步互动、结果作品、一个可选AR场景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云服务</w:t>
            </w:r>
          </w:p>
        </w:tc>
        <w:tc>
          <w:tcPr>
            <w:tcW w:type="dxa" w:w="3252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腾讯云开发CloudBase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云数据库、云存储、云函数、内容读取与数据写入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内容导入</w:t>
            </w:r>
          </w:p>
        </w:tc>
        <w:tc>
          <w:tcPr>
            <w:tcW w:type="dxa" w:w="3252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Excel／CSV＋受控导入脚本</w:t>
            </w:r>
          </w:p>
        </w:tc>
        <w:tc>
          <w:tcPr>
            <w:tcW w:type="dxa" w:w="449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审核后批量校验、导入、版本记录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媒体策略</w:t>
            </w:r>
          </w:p>
        </w:tc>
        <w:tc>
          <w:tcPr>
            <w:tcW w:type="dxa" w:w="3252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云存储＋按需加载／分包</w:t>
            </w:r>
          </w:p>
        </w:tc>
        <w:tc>
          <w:tcPr>
            <w:tcW w:type="dxa" w:w="449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视频、图片和3D资源不阻塞首页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P0/P1不引入PHP、MySQL、自建服务器或uni-app，不建设复杂后台管理系统。若后续内容量和运营频率显著增加，再单独评估轻量管理端。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10.2 建议集合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8"/>
        <w:gridCol w:w="4956"/>
        <w:gridCol w:w="2168"/>
      </w:tblGrid>
      <w:tr>
        <w:trPr>
          <w:tblHeader w:val="true"/>
          <w:cantSplit/>
        </w:trPr>
        <w:tc>
          <w:tcPr>
            <w:tcW w:type="dxa" w:w="216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495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16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责任岗位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app_config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版本、功能开关、首页推荐和工艺路线配置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岗位1／2</w:t>
            </w:r>
          </w:p>
        </w:tc>
      </w:tr>
      <w:tr>
        <w:trPr>
          <w:cantSplit/>
        </w:trPr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content_items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人物、工艺、工具材料、作品应用内容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岗位3提供，岗位1／2导入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media_assets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图片、视频、模型及授权引用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岗位2／3</w:t>
            </w:r>
          </w:p>
        </w:tc>
      </w:tr>
      <w:tr>
        <w:trPr>
          <w:cantSplit/>
        </w:trPr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activities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活动信息、状态和官方报名渠道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岗位4提供，岗位1导入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behavior_events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匿名或研究编号关联的行为事件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岗位2／4</w:t>
            </w:r>
          </w:p>
        </w:tc>
      </w:tr>
      <w:tr>
        <w:trPr>
          <w:cantSplit/>
        </w:trPr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research_contacts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正式研究样本联系方式与同意记录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岗位4，限制访问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research_responses</w:t>
            </w:r>
          </w:p>
        </w:tc>
        <w:tc>
          <w:tcPr>
            <w:tcW w:type="dxa" w:w="495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前后测、随访和访谈结构化数据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岗位4</w:t>
            </w:r>
          </w:p>
        </w:tc>
      </w:tr>
      <w:tr>
        <w:trPr>
          <w:cantSplit/>
        </w:trPr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audit_records</w:t>
            </w:r>
          </w:p>
        </w:tc>
        <w:tc>
          <w:tcPr>
            <w:tcW w:type="dxa" w:w="495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内容版本、导入、修改和下架记录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岗位2／3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2F2F2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设计边界｜</w:t>
      </w:r>
      <w:r>
        <w:rPr>
          <w:rFonts w:ascii="Microsoft YaHei" w:hAnsi="Microsoft YaHei" w:eastAsia="微软雅黑"/>
          <w:color w:val="332B22"/>
          <w:sz w:val="21"/>
        </w:rPr>
        <w:t>本节只定义逻辑集合。字段类型、索引、权限规则和云函数接口应在《技术设计说明书》中进一步细化。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11. 非功能需求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4723"/>
        <w:gridCol w:w="3020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723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内部目标</w:t>
            </w:r>
          </w:p>
        </w:tc>
        <w:tc>
          <w:tcPr>
            <w:tcW w:type="dxa" w:w="302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首页性能</w:t>
            </w:r>
          </w:p>
        </w:tc>
        <w:tc>
          <w:tcPr>
            <w:tcW w:type="dxa" w:w="47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校园Wi-Fi／4G下2.5秒内可用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6台真机冷启动与二次启动记录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3D性能</w:t>
            </w:r>
          </w:p>
        </w:tc>
        <w:tc>
          <w:tcPr>
            <w:tcW w:type="dxa" w:w="47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中档手机6秒内可操作；全程显示进度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记录加载时长、帧率和失败原因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资源体积</w:t>
            </w:r>
          </w:p>
        </w:tc>
        <w:tc>
          <w:tcPr>
            <w:tcW w:type="dxa" w:w="47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核心GLB目标≤6MB；单场景网络资源目标≤12MB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构建产物和网络面板检查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视频</w:t>
            </w:r>
          </w:p>
        </w:tc>
        <w:tc>
          <w:tcPr>
            <w:tcW w:type="dxa" w:w="47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步骤视频5—8秒、有字幕、静音可理解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内容检查与用户测试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兼容</w:t>
            </w:r>
          </w:p>
        </w:tc>
        <w:tc>
          <w:tcPr>
            <w:tcW w:type="dxa" w:w="47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iOS／Android高、中、低档共6台真机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设备矩阵、截图和问题闭环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可访问性</w:t>
            </w:r>
          </w:p>
        </w:tc>
        <w:tc>
          <w:tcPr>
            <w:tcW w:type="dxa" w:w="47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触控区域清晰、对比度足够、不依赖单一颜色或声音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页面与交互走查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稳定性</w:t>
            </w:r>
          </w:p>
        </w:tc>
        <w:tc>
          <w:tcPr>
            <w:tcW w:type="dxa" w:w="472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核心流程无崩溃、死循环和不可退出状态</w:t>
            </w:r>
          </w:p>
        </w:tc>
        <w:tc>
          <w:tcPr>
            <w:tcW w:type="dxa" w:w="302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弱网、断网、权限拒绝与异常测试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安全与权限</w:t>
            </w:r>
          </w:p>
        </w:tc>
        <w:tc>
          <w:tcPr>
            <w:tcW w:type="dxa" w:w="472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相机仅按需申请；敏感集合最小权限</w:t>
            </w:r>
          </w:p>
        </w:tc>
        <w:tc>
          <w:tcPr>
            <w:tcW w:type="dxa" w:w="302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权限规则与访问测试</w:t>
            </w:r>
          </w:p>
        </w:tc>
      </w:tr>
    </w:tbl>
    <w:p>
      <w:pPr>
        <w:spacing w:after="40"/>
      </w:pPr>
    </w:p>
    <w:p>
      <w:pPr>
        <w:spacing w:before="100" w:after="180" w:line="300" w:lineRule="auto"/>
        <w:ind w:left="198" w:right="142"/>
        <w:shd w:fill="FBF8F1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校准规则｜</w:t>
      </w:r>
      <w:r>
        <w:rPr>
          <w:rFonts w:ascii="Microsoft YaHei" w:hAnsi="Microsoft YaHei" w:eastAsia="微软雅黑"/>
          <w:color w:val="332B22"/>
          <w:sz w:val="21"/>
        </w:rPr>
        <w:t>以上为内部工程目标，完成技术原型后根据真实设备和资源复杂度校准，但不得取消降级、权限和稳定性要求。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12. 验收与测试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12.1 P0申报演示验收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从首页无需注册进入体验，完整完成真实开场、3段短视频、3步3D操作和结果页。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3D加载失败、视频失败和弱网情况下均有可理解提示、重试或替代内容。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核心事件在测试环境可查询，完成率漏斗与退出步骤可计算。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工艺路线、术语、视频和文化提示已取得专业审核记录。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至少完成一轮30—50名高校学生测试并形成问题、改进和数据摘要。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12.2 P1正式首版验收矩阵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9"/>
        <w:gridCol w:w="5730"/>
        <w:gridCol w:w="2013"/>
      </w:tblGrid>
      <w:tr>
        <w:trPr>
          <w:tblHeader w:val="true"/>
          <w:cantSplit/>
        </w:trPr>
        <w:tc>
          <w:tcPr>
            <w:tcW w:type="dxa" w:w="154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验收域</w:t>
            </w:r>
          </w:p>
        </w:tc>
        <w:tc>
          <w:tcPr>
            <w:tcW w:type="dxa" w:w="5730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必须通过的检查</w:t>
            </w:r>
          </w:p>
        </w:tc>
        <w:tc>
          <w:tcPr>
            <w:tcW w:type="dxa" w:w="2013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主要责任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功能</w:t>
            </w:r>
          </w:p>
        </w:tc>
        <w:tc>
          <w:tcPr>
            <w:tcW w:type="dxa" w:w="573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HOME、EXP、INT、RES、ARC、ACT、AR、SHR需求逐项通过</w:t>
            </w:r>
          </w:p>
        </w:tc>
        <w:tc>
          <w:tcPr>
            <w:tcW w:type="dxa" w:w="201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岗位1／2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</w:t>
            </w:r>
          </w:p>
        </w:tc>
        <w:tc>
          <w:tcPr>
            <w:tcW w:type="dxa" w:w="573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已发布内容均有来源、授权、审核人、日期和版本</w:t>
            </w:r>
          </w:p>
        </w:tc>
        <w:tc>
          <w:tcPr>
            <w:tcW w:type="dxa" w:w="201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岗位3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设备</w:t>
            </w:r>
          </w:p>
        </w:tc>
        <w:tc>
          <w:tcPr>
            <w:tcW w:type="dxa" w:w="573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6台真机覆盖微信版本、系统、性能和相机权限</w:t>
            </w:r>
          </w:p>
        </w:tc>
        <w:tc>
          <w:tcPr>
            <w:tcW w:type="dxa" w:w="201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岗位2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数据</w:t>
            </w:r>
          </w:p>
        </w:tc>
        <w:tc>
          <w:tcPr>
            <w:tcW w:type="dxa" w:w="573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事件不漏报、不重复；测试数据可识别；指标可复算</w:t>
            </w:r>
          </w:p>
        </w:tc>
        <w:tc>
          <w:tcPr>
            <w:tcW w:type="dxa" w:w="201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岗位2／4</w:t>
            </w:r>
          </w:p>
        </w:tc>
      </w:tr>
      <w:tr>
        <w:trPr>
          <w:cantSplit/>
        </w:trPr>
        <w:tc>
          <w:tcPr>
            <w:tcW w:type="dxa" w:w="154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</w:t>
            </w:r>
          </w:p>
        </w:tc>
        <w:tc>
          <w:tcPr>
            <w:tcW w:type="dxa" w:w="573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同意文本、研究编号、三表分离和退出机制可用</w:t>
            </w:r>
          </w:p>
        </w:tc>
        <w:tc>
          <w:tcPr>
            <w:tcW w:type="dxa" w:w="2013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岗位4</w:t>
            </w:r>
          </w:p>
        </w:tc>
      </w:tr>
      <w:tr>
        <w:trPr>
          <w:cantSplit/>
        </w:trPr>
        <w:tc>
          <w:tcPr>
            <w:tcW w:type="dxa" w:w="154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实践</w:t>
            </w:r>
          </w:p>
        </w:tc>
        <w:tc>
          <w:tcPr>
            <w:tcW w:type="dxa" w:w="5730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活动渠道有效，意向点击与主办方汇总报名数可对照</w:t>
            </w:r>
          </w:p>
        </w:tc>
        <w:tc>
          <w:tcPr>
            <w:tcW w:type="dxa" w:w="2013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岗位4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13. 四岗位责任与交接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81"/>
        <w:gridCol w:w="4646"/>
        <w:gridCol w:w="2865"/>
      </w:tblGrid>
      <w:tr>
        <w:trPr>
          <w:tblHeader w:val="true"/>
          <w:cantSplit/>
        </w:trPr>
        <w:tc>
          <w:tcPr>
            <w:tcW w:type="dxa" w:w="1781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4646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在本PRD中的主责</w:t>
            </w:r>
          </w:p>
        </w:tc>
        <w:tc>
          <w:tcPr>
            <w:tcW w:type="dxa" w:w="2865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必须交接的材料</w:t>
            </w:r>
          </w:p>
        </w:tc>
      </w:tr>
      <w:tr>
        <w:trPr>
          <w:cantSplit/>
        </w:trPr>
        <w:tc>
          <w:tcPr>
            <w:tcW w:type="dxa" w:w="178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1 产品与前端</w:t>
            </w:r>
          </w:p>
        </w:tc>
        <w:tc>
          <w:tcPr>
            <w:tcW w:type="dxa" w:w="464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首页、导航、页面流程、视频、结果、金箔志、活动和前端埋点</w:t>
            </w:r>
          </w:p>
        </w:tc>
        <w:tc>
          <w:tcPr>
            <w:tcW w:type="dxa" w:w="286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原型、页面清单、组件说明、验收截图、使用说明</w:t>
            </w:r>
          </w:p>
        </w:tc>
      </w:tr>
      <w:tr>
        <w:trPr>
          <w:cantSplit/>
        </w:trPr>
        <w:tc>
          <w:tcPr>
            <w:tcW w:type="dxa" w:w="178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2 3D与技术</w:t>
            </w:r>
          </w:p>
        </w:tc>
        <w:tc>
          <w:tcPr>
            <w:tcW w:type="dxa" w:w="464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XR-Frame、3D交互、AR、CloudBase、导入、权限、性能和数据</w:t>
            </w:r>
          </w:p>
        </w:tc>
        <w:tc>
          <w:tcPr>
            <w:tcW w:type="dxa" w:w="286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模型规范、接口、集合、部署、设备测试和故障说明</w:t>
            </w:r>
          </w:p>
        </w:tc>
      </w:tr>
      <w:tr>
        <w:trPr>
          <w:cantSplit/>
        </w:trPr>
        <w:tc>
          <w:tcPr>
            <w:tcW w:type="dxa" w:w="1781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 内容与档案</w:t>
            </w:r>
          </w:p>
        </w:tc>
        <w:tc>
          <w:tcPr>
            <w:tcW w:type="dxa" w:w="4646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访谈、拍摄、内容台账、授权、专业审核和发布素材</w:t>
            </w:r>
          </w:p>
        </w:tc>
        <w:tc>
          <w:tcPr>
            <w:tcW w:type="dxa" w:w="2865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内容手册、素材ID、来源授权、审核与版本记录</w:t>
            </w:r>
          </w:p>
        </w:tc>
      </w:tr>
      <w:tr>
        <w:trPr>
          <w:cantSplit/>
        </w:trPr>
        <w:tc>
          <w:tcPr>
            <w:tcW w:type="dxa" w:w="1781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4 调研与实践</w:t>
            </w:r>
          </w:p>
        </w:tc>
        <w:tc>
          <w:tcPr>
            <w:tcW w:type="dxa" w:w="4646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研究设计、同意、问卷、活动、数据分析和证据归档</w:t>
            </w:r>
          </w:p>
        </w:tc>
        <w:tc>
          <w:tcPr>
            <w:tcW w:type="dxa" w:w="2865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研究方案、数据字典、活动材料、分析报告和证据目录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/>
          <w:color w:val="6F5016"/>
          <w:sz w:val="21"/>
        </w:rPr>
        <w:t>共同责任｜</w:t>
      </w:r>
      <w:r>
        <w:rPr>
          <w:rFonts w:ascii="Microsoft YaHei" w:hAnsi="Microsoft YaHei" w:eastAsia="微软雅黑"/>
          <w:color w:val="332B22"/>
          <w:sz w:val="21"/>
        </w:rPr>
        <w:t>四名学生共同参加首次专业访谈、P0评审、用户测试复盘和P1验收；主责人对结果负责，备份人能够接手。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14. 待锁定事项与下一步</w:t>
      </w:r>
    </w:p>
    <w:tbl>
      <w:tblPr>
        <w:tblStyle w:val="TableGrid"/>
        <w:tblW w:type="dxa" w:w="929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97"/>
        <w:gridCol w:w="2168"/>
        <w:gridCol w:w="1858"/>
        <w:gridCol w:w="2169"/>
      </w:tblGrid>
      <w:tr>
        <w:trPr>
          <w:tblHeader w:val="true"/>
          <w:cantSplit/>
        </w:trPr>
        <w:tc>
          <w:tcPr>
            <w:tcW w:type="dxa" w:w="3097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16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锁定时间</w:t>
            </w:r>
          </w:p>
        </w:tc>
        <w:tc>
          <w:tcPr>
            <w:tcW w:type="dxa" w:w="1858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2169"/>
            <w:vAlign w:val="center"/>
            <w:shd w:fill="6F5016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所需证据</w:t>
            </w:r>
          </w:p>
        </w:tc>
      </w:tr>
      <w:tr>
        <w:trPr>
          <w:cantSplit/>
        </w:trPr>
        <w:tc>
          <w:tcPr>
            <w:tcW w:type="dxa" w:w="309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首版采用制箔或贴箔主线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首次访谈后48小时内</w:t>
            </w:r>
          </w:p>
        </w:tc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指导教师＋岗位2／3</w:t>
            </w:r>
          </w:p>
        </w:tc>
        <w:tc>
          <w:tcPr>
            <w:tcW w:type="dxa" w:w="216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访谈纪要、专业确认、技术评估</w:t>
            </w:r>
          </w:p>
        </w:tc>
      </w:tr>
      <w:tr>
        <w:trPr>
          <w:cantSplit/>
        </w:trPr>
        <w:tc>
          <w:tcPr>
            <w:tcW w:type="dxa" w:w="309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非遗项目正式名称与认定信息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申报准备第1—2周</w:t>
            </w:r>
          </w:p>
        </w:tc>
        <w:tc>
          <w:tcPr>
            <w:tcW w:type="dxa" w:w="185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岗位3</w:t>
            </w:r>
          </w:p>
        </w:tc>
        <w:tc>
          <w:tcPr>
            <w:tcW w:type="dxa" w:w="216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官方名录或保护单位材料</w:t>
            </w:r>
          </w:p>
        </w:tc>
      </w:tr>
      <w:tr>
        <w:trPr>
          <w:cantSplit/>
        </w:trPr>
        <w:tc>
          <w:tcPr>
            <w:tcW w:type="dxa" w:w="309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小程序正式名称与视觉识别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低保真原型评审时</w:t>
            </w:r>
          </w:p>
        </w:tc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岗位1／3</w:t>
            </w:r>
          </w:p>
        </w:tc>
        <w:tc>
          <w:tcPr>
            <w:tcW w:type="dxa" w:w="216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命名清单、合作方意见</w:t>
            </w:r>
          </w:p>
        </w:tc>
      </w:tr>
      <w:tr>
        <w:trPr>
          <w:cantSplit/>
        </w:trPr>
        <w:tc>
          <w:tcPr>
            <w:tcW w:type="dxa" w:w="3097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AR展示对象与最低设备基线</w:t>
            </w:r>
          </w:p>
        </w:tc>
        <w:tc>
          <w:tcPr>
            <w:tcW w:type="dxa" w:w="216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3D技术原型评审时</w:t>
            </w:r>
          </w:p>
        </w:tc>
        <w:tc>
          <w:tcPr>
            <w:tcW w:type="dxa" w:w="1858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岗位2</w:t>
            </w:r>
          </w:p>
        </w:tc>
        <w:tc>
          <w:tcPr>
            <w:tcW w:type="dxa" w:w="2169"/>
            <w:vAlign w:val="center"/>
            <w:shd w:fill="FBF8F1" w:val="clea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模型样例、6台设备测试</w:t>
            </w:r>
          </w:p>
        </w:tc>
      </w:tr>
      <w:tr>
        <w:trPr>
          <w:cantSplit/>
        </w:trPr>
        <w:tc>
          <w:tcPr>
            <w:tcW w:type="dxa" w:w="3097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正式研究问卷与同意文本</w:t>
            </w:r>
          </w:p>
        </w:tc>
        <w:tc>
          <w:tcPr>
            <w:tcW w:type="dxa" w:w="216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首轮正式研究前</w:t>
            </w:r>
          </w:p>
        </w:tc>
        <w:tc>
          <w:tcPr>
            <w:tcW w:type="dxa" w:w="1858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岗位4＋指导教师</w:t>
            </w:r>
          </w:p>
        </w:tc>
        <w:tc>
          <w:tcPr>
            <w:tcW w:type="dxa" w:w="2169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预测试、修改记录、定稿文件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工艺路线锁定后，团队应立即完成交互脚本、素材清单、3D资产清单和P0任务拆解，并将本PRD版本更新为V0.2。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7"/>
        </w:rPr>
        <w:t>建议执行顺序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完成首次访谈并锁定制箔或贴箔主线。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岗位1产出低保真流程原型，岗位3同步完成对应内容与拍摄清单。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岗位2制作一个步骤的3D技术原型并在6台设备中先测中低档机。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岗位4定义埋点字段、前后测和测试招募流程。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Microsoft YaHei" w:hAnsi="Microsoft YaHei" w:eastAsia="微软雅黑"/>
          <w:color w:val="332B22"/>
          <w:sz w:val="21"/>
        </w:rPr>
        <w:t>四岗位共同评审后进入P0开发，按需求编号逐项验收。</w:t>
      </w:r>
    </w:p>
    <w:p>
      <w:pPr>
        <w:pStyle w:val="Heading1"/>
        <w:keepNext/>
      </w:pPr>
      <w:r>
        <w:rPr>
          <w:rFonts w:ascii="Microsoft YaHei" w:hAnsi="Microsoft YaHei" w:eastAsia="微软雅黑"/>
          <w:b/>
          <w:color w:val="332B22"/>
          <w:sz w:val="34"/>
        </w:rPr>
        <w:t>附录：技术与合规参考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微信XR-Frame官方文档：https://developers.weixin.qq.com/miniprogram/dev/component/xr-frame/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腾讯云开发CloudBase官方文档：https://cloud.tencent.cn/document/product/876/121103</w:t>
      </w:r>
    </w:p>
    <w:p>
      <w:pPr>
        <w:spacing w:after="120" w:line="300" w:lineRule="auto"/>
      </w:pPr>
      <w:r>
        <w:rPr>
          <w:rFonts w:ascii="Microsoft YaHei" w:hAnsi="Microsoft YaHei" w:eastAsia="微软雅黑"/>
          <w:color w:val="332B22"/>
          <w:sz w:val="21"/>
        </w:rPr>
        <w:t>《中华人民共和国个人信息保护法》：https://www.npc.gov.cn/npc/c2/c30834/202108/t20210820_313088.html</w:t>
      </w:r>
    </w:p>
    <w:p>
      <w:pPr>
        <w:spacing w:before="100" w:after="180" w:line="300" w:lineRule="auto"/>
        <w:ind w:left="198" w:right="142"/>
        <w:shd w:fill="F7F1E3" w:val="clear"/>
        <w:pBdr>
          <w:left w:val="single" w:sz="20" w:space="8" w:color="A5781E"/>
        </w:pBdr>
      </w:pPr>
      <w:r>
        <w:rPr>
          <w:rFonts w:ascii="Microsoft YaHei" w:hAnsi="Microsoft YaHei" w:eastAsia="微软雅黑"/>
          <w:b/>
          <w:color w:val="6F5016"/>
          <w:sz w:val="21"/>
        </w:rPr>
        <w:t>版本说明｜</w:t>
      </w:r>
      <w:r>
        <w:rPr>
          <w:rFonts w:ascii="Microsoft YaHei" w:hAnsi="Microsoft YaHei" w:eastAsia="微软雅黑"/>
          <w:color w:val="332B22"/>
          <w:sz w:val="21"/>
        </w:rPr>
        <w:t>PRD V0.1固化截至当前已确认的产品决策；涉及合作对象身份、正式工艺路线和真实素材的内容，须以首次专业访谈及书面审核为准。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47" w:bottom="1077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微软雅黑"/>
        <w:color w:val="6F675F"/>
        <w:sz w:val="18"/>
      </w:rPr>
      <w:t xml:space="preserve">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7"/>
      </w:rPr>
      <w:t>金箔非遗数字体验与活化传播项目</w:t>
    </w:r>
    <w:r>
      <w:rPr>
        <w:rFonts w:ascii="Microsoft YaHei" w:hAnsi="Microsoft YaHei" w:eastAsia="微软雅黑"/>
        <w:color w:val="6F675F"/>
        <w:sz w:val="17"/>
      </w:rPr>
      <w:t xml:space="preserve">    |    产品需求文档 PRD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Microsoft YaHei" w:hAnsi="Microsoft YaHei" w:eastAsia="微软雅黑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微软雅黑"/>
      <w:b w:val="0"/>
      <w:color w:val="332B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金箔非遗小程序产品需求文档 PRD V0.1</dc:title>
  <dc:subject>广东省攀登计划金箔非遗数字体验项目产品需求</dc:subject>
  <dc:creator>项目团队</dc:creator>
  <cp:keywords>金箔, 非遗, 微信小程序, 3D互动, XR-Frame, CloudBase,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