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rFonts w:ascii="Microsoft YaHei" w:hAnsi="Microsoft YaHei" w:eastAsia="微软雅黑"/>
          <w:b/>
          <w:color w:val="A5781E"/>
          <w:sz w:val="17"/>
        </w:rPr>
        <w:t>首次专业访谈材料包 · 01</w:t>
      </w:r>
    </w:p>
    <w:p>
      <w:pPr>
        <w:spacing w:after="20"/>
      </w:pPr>
      <w:r>
        <w:rPr>
          <w:rFonts w:ascii="Microsoft YaHei" w:hAnsi="Microsoft YaHei" w:eastAsia="微软雅黑"/>
          <w:b/>
          <w:color w:val="332B22"/>
          <w:sz w:val="37"/>
        </w:rPr>
        <w:t>金箔非遗数字体验项目一页纸</w:t>
      </w:r>
    </w:p>
    <w:p>
      <w:pPr>
        <w:spacing w:after="60"/>
      </w:pPr>
      <w:r>
        <w:rPr>
          <w:rFonts w:ascii="Microsoft YaHei" w:hAnsi="Microsoft YaHei" w:eastAsia="微软雅黑"/>
          <w:color w:val="6F675F"/>
          <w:sz w:val="16"/>
        </w:rPr>
        <w:t>V0.1｜2026年7月19日｜金箔非遗数字体验与活化传播项目</w:t>
      </w:r>
    </w:p>
    <w:p>
      <w:pPr>
        <w:spacing w:after="60"/>
        <w:shd w:fill="F7F1E3"/>
      </w:pPr>
      <w:r>
        <w:rPr>
          <w:rFonts w:ascii="Microsoft YaHei" w:hAnsi="Microsoft YaHei" w:eastAsia="微软雅黑"/>
          <w:b/>
          <w:color w:val="6F5016"/>
          <w:sz w:val="17"/>
        </w:rPr>
        <w:t>用途｜</w:t>
      </w:r>
      <w:r>
        <w:rPr>
          <w:rFonts w:ascii="Microsoft YaHei" w:hAnsi="Microsoft YaHei" w:eastAsia="微软雅黑"/>
          <w:color w:val="332B22"/>
          <w:sz w:val="17"/>
        </w:rPr>
        <w:t>供专业老师会前或开场快速理解项目；不把候选工艺路线写成既定结论。</w:t>
      </w: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5"/>
        </w:rPr>
        <w:t>我们为什么做</w:t>
      </w:r>
    </w:p>
    <w:p>
      <w:pPr>
        <w:spacing w:after="40" w:line="283" w:lineRule="auto"/>
      </w:pPr>
      <w:r>
        <w:rPr>
          <w:rFonts w:ascii="Microsoft YaHei" w:hAnsi="Microsoft YaHei" w:eastAsia="微软雅黑"/>
          <w:b w:val="0"/>
          <w:color w:val="332B22"/>
          <w:sz w:val="17"/>
        </w:rPr>
        <w:t>团队希望回应金箔相关非遗“公众接触少、青年理解门槛高、数字内容零散”的现实问题，以轻量互动建立第一次接触，再把愿意深入的用户引向人物故事、专业知识与线下体验。现状判断与具体表述均待专业访谈核实。</w:t>
      </w: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5"/>
        </w:rPr>
        <w:t>首阶段用户与场景</w:t>
      </w:r>
    </w:p>
    <w:tbl>
      <w:tblPr>
        <w:tblStyle w:val="TableGrid"/>
        <w:tblW w:type="dxa" w:w="97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594"/>
        <w:gridCol w:w="3372"/>
        <w:gridCol w:w="3762"/>
      </w:tblGrid>
      <w:tr>
        <w:trPr>
          <w:tblHeader w:val="true"/>
          <w:cantSplit/>
        </w:trPr>
        <w:tc>
          <w:tcPr>
            <w:tcW w:type="dxa" w:w="2594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核心用户</w:t>
            </w:r>
          </w:p>
        </w:tc>
        <w:tc>
          <w:tcPr>
            <w:tcW w:type="dxa" w:w="3372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典型场景</w:t>
            </w:r>
          </w:p>
        </w:tc>
        <w:tc>
          <w:tcPr>
            <w:tcW w:type="dxa" w:w="3762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首轮目标</w:t>
            </w:r>
          </w:p>
        </w:tc>
      </w:tr>
      <w:tr>
        <w:trPr>
          <w:cantSplit/>
          <w:trHeight w:hRule="atLeast"/>
        </w:trPr>
        <w:tc>
          <w:tcPr>
            <w:tcW w:type="dxa" w:w="2594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广东高校学生，重点为18—24岁青年</w:t>
            </w:r>
          </w:p>
        </w:tc>
        <w:tc>
          <w:tcPr>
            <w:tcW w:type="dxa" w:w="3372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校园传播、课堂／社团体验、展览扫码、短内容引流</w:t>
            </w:r>
          </w:p>
        </w:tc>
        <w:tc>
          <w:tcPr>
            <w:tcW w:type="dxa" w:w="3762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愿意进入、3分钟内完成、愿意继续了解或参与线下活动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5"/>
        </w:rPr>
        <w:t>产品定位</w:t>
      </w:r>
    </w:p>
    <w:p>
      <w:pPr>
        <w:spacing w:after="40" w:line="283" w:lineRule="auto"/>
      </w:pPr>
      <w:r>
        <w:rPr>
          <w:rFonts w:ascii="Microsoft YaHei" w:hAnsi="Microsoft YaHei" w:eastAsia="微软雅黑"/>
          <w:b/>
          <w:color w:val="6F5016"/>
          <w:sz w:val="17"/>
        </w:rPr>
        <w:t>主线｜3分钟轻量工艺体验＋可选深度学习。互动模拟是核心入口，文化内容提供理解，3D／AR是候选增强手段，不先于内容真实性和基础体验。</w:t>
      </w:r>
    </w:p>
    <w:tbl>
      <w:tblPr>
        <w:tblStyle w:val="TableGrid"/>
        <w:tblW w:type="dxa" w:w="97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621"/>
        <w:gridCol w:w="4215"/>
        <w:gridCol w:w="3892"/>
      </w:tblGrid>
      <w:tr>
        <w:trPr>
          <w:tblHeader w:val="true"/>
          <w:cantSplit/>
        </w:trPr>
        <w:tc>
          <w:tcPr>
            <w:tcW w:type="dxa" w:w="1621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4215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首版作用</w:t>
            </w:r>
          </w:p>
        </w:tc>
        <w:tc>
          <w:tcPr>
            <w:tcW w:type="dxa" w:w="3892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边界</w:t>
            </w:r>
          </w:p>
        </w:tc>
      </w:tr>
      <w:tr>
        <w:trPr>
          <w:cantSplit/>
          <w:trHeight w:hRule="atLeast"/>
        </w:trPr>
        <w:tc>
          <w:tcPr>
            <w:tcW w:type="dxa" w:w="1621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互动模拟</w:t>
            </w:r>
          </w:p>
        </w:tc>
        <w:tc>
          <w:tcPr>
            <w:tcW w:type="dxa" w:w="421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用三个经确认的关键节点形成轻量操作与即时反馈</w:t>
            </w:r>
          </w:p>
        </w:tc>
        <w:tc>
          <w:tcPr>
            <w:tcW w:type="dxa" w:w="3892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不复制完整工艺，不暗示掌握真实技艺</w:t>
            </w:r>
          </w:p>
        </w:tc>
      </w:tr>
      <w:tr>
        <w:trPr>
          <w:cantSplit/>
          <w:trHeight w:hRule="atLeast"/>
        </w:trPr>
        <w:tc>
          <w:tcPr>
            <w:tcW w:type="dxa" w:w="1621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文化内容</w:t>
            </w:r>
          </w:p>
        </w:tc>
        <w:tc>
          <w:tcPr>
            <w:tcW w:type="dxa" w:w="4215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补充人物、工艺背景、价值与线下连接</w:t>
            </w:r>
          </w:p>
        </w:tc>
        <w:tc>
          <w:tcPr>
            <w:tcW w:type="dxa" w:w="3892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未经审核不公开；来源可追溯</w:t>
            </w:r>
          </w:p>
        </w:tc>
      </w:tr>
      <w:tr>
        <w:trPr>
          <w:cantSplit/>
          <w:trHeight w:hRule="atLeast"/>
        </w:trPr>
        <w:tc>
          <w:tcPr>
            <w:tcW w:type="dxa" w:w="1621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3D／AR候选</w:t>
            </w:r>
          </w:p>
        </w:tc>
        <w:tc>
          <w:tcPr>
            <w:tcW w:type="dxa" w:w="421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增强材料、工具或结果的观察与空间呈现</w:t>
            </w:r>
          </w:p>
        </w:tc>
        <w:tc>
          <w:tcPr>
            <w:tcW w:type="dxa" w:w="3892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有必要且成本可控时采用，不作为首版成败前提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5"/>
        </w:rPr>
        <w:t>本次首次访谈希望解决的五个问题</w:t>
      </w:r>
    </w:p>
    <w:tbl>
      <w:tblPr>
        <w:tblStyle w:val="TableGrid"/>
        <w:tblW w:type="dxa" w:w="97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946"/>
        <w:gridCol w:w="1946"/>
        <w:gridCol w:w="1946"/>
        <w:gridCol w:w="1946"/>
        <w:gridCol w:w="1944"/>
      </w:tblGrid>
      <w:tr>
        <w:trPr>
          <w:tblHeader w:val="true"/>
          <w:cantSplit/>
        </w:trPr>
        <w:tc>
          <w:tcPr>
            <w:tcW w:type="dxa" w:w="1946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1</w:t>
            </w:r>
          </w:p>
        </w:tc>
        <w:tc>
          <w:tcPr>
            <w:tcW w:type="dxa" w:w="1946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2</w:t>
            </w:r>
          </w:p>
        </w:tc>
        <w:tc>
          <w:tcPr>
            <w:tcW w:type="dxa" w:w="1946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3</w:t>
            </w:r>
          </w:p>
        </w:tc>
        <w:tc>
          <w:tcPr>
            <w:tcW w:type="dxa" w:w="1946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4</w:t>
            </w:r>
          </w:p>
        </w:tc>
        <w:tc>
          <w:tcPr>
            <w:tcW w:type="dxa" w:w="1944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5</w:t>
            </w:r>
          </w:p>
        </w:tc>
      </w:tr>
      <w:tr>
        <w:trPr>
          <w:cantSplit/>
          <w:trHeight w:hRule="atLeast"/>
        </w:trPr>
        <w:tc>
          <w:tcPr>
            <w:tcW w:type="dxa" w:w="194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公开身份应如何准确表述？</w:t>
            </w:r>
          </w:p>
        </w:tc>
        <w:tc>
          <w:tcPr>
            <w:tcW w:type="dxa" w:w="194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首版更适合制箔、贴箔还是第三种路线？</w:t>
            </w:r>
          </w:p>
        </w:tc>
        <w:tc>
          <w:tcPr>
            <w:tcW w:type="dxa" w:w="194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三分钟体验应保留哪三个关键节点？</w:t>
            </w:r>
          </w:p>
        </w:tc>
        <w:tc>
          <w:tcPr>
            <w:tcW w:type="dxa" w:w="194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哪些表述、动作或画面会失真／不宜公开？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4"/>
              </w:rPr>
              <w:t>哪些记录与使用范围可以授权，哪些需发布前复核？</w:t>
            </w:r>
          </w:p>
        </w:tc>
      </w:tr>
    </w:tbl>
    <w:p>
      <w:pPr>
        <w:spacing w:after="0"/>
      </w:pPr>
    </w:p>
    <w:p>
      <w:pPr>
        <w:spacing w:after="40" w:line="283" w:lineRule="auto"/>
      </w:pPr>
      <w:r>
        <w:rPr>
          <w:rFonts w:ascii="Microsoft YaHei" w:hAnsi="Microsoft YaHei" w:eastAsia="微软雅黑"/>
          <w:b w:val="0"/>
          <w:color w:val="6F675F"/>
          <w:sz w:val="16"/>
        </w:rPr>
        <w:t>依次覆盖：身份称谓、首版路线、三个互动节点、真实性红线、拍摄与素材使用范围。</w:t>
      </w: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5"/>
        </w:rPr>
        <w:t>项目边界与团队协作</w:t>
      </w:r>
    </w:p>
    <w:tbl>
      <w:tblPr>
        <w:tblStyle w:val="TableGrid"/>
        <w:tblW w:type="dxa" w:w="97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3308"/>
        <w:gridCol w:w="3178"/>
        <w:gridCol w:w="3242"/>
      </w:tblGrid>
      <w:tr>
        <w:trPr>
          <w:tblHeader w:val="true"/>
          <w:cantSplit/>
        </w:trPr>
        <w:tc>
          <w:tcPr>
            <w:tcW w:type="dxa" w:w="3308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明确不做</w:t>
            </w:r>
          </w:p>
        </w:tc>
        <w:tc>
          <w:tcPr>
            <w:tcW w:type="dxa" w:w="3178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四岗位并行</w:t>
            </w:r>
          </w:p>
        </w:tc>
        <w:tc>
          <w:tcPr>
            <w:tcW w:type="dxa" w:w="3242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期待合作</w:t>
            </w:r>
          </w:p>
        </w:tc>
      </w:tr>
      <w:tr>
        <w:trPr>
          <w:cantSplit/>
          <w:trHeight w:hRule="atLeast"/>
        </w:trPr>
        <w:tc>
          <w:tcPr>
            <w:tcW w:type="dxa" w:w="330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不教授完整真实工艺；不替代线下传承；未经审核不公开；第三方材料不默认获权。</w:t>
            </w:r>
          </w:p>
        </w:tc>
        <w:tc>
          <w:tcPr>
            <w:tcW w:type="dxa" w:w="317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岗位1产品与交互｜岗位2技术开发｜岗位3专业对接与传播｜岗位4研究与证据。</w:t>
            </w:r>
          </w:p>
        </w:tc>
        <w:tc>
          <w:tcPr>
            <w:tcW w:type="dxa" w:w="3242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请专业老师提供路线判断、真实性红线、公开边界、审核机制及后续资料线索。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680" w:right="1049" w:bottom="652" w:left="1049" w:header="408" w:footer="38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微软雅黑"/>
        <w:color w:val="6F675F"/>
        <w:sz w:val="16"/>
      </w:rPr>
      <w:t xml:space="preserve">V0.1 · 2026年7月19日    第 </w:t>
    </w:r>
    <w:r>
      <w:rPr>
        <w:rFonts w:ascii="Microsoft YaHei" w:hAnsi="Microsoft YaHei" w:eastAsia="微软雅黑"/>
        <w:color w:val="6F675F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YaHei" w:hAnsi="Microsoft YaHei" w:eastAsia="微软雅黑"/>
        <w:color w:val="6F675F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微软雅黑"/>
        <w:b/>
        <w:color w:val="6F675F"/>
        <w:sz w:val="16"/>
      </w:rPr>
      <w:t>金箔非遗数字体验与活化传播项目</w:t>
    </w:r>
    <w:r>
      <w:rPr>
        <w:rFonts w:ascii="Microsoft YaHei" w:hAnsi="Microsoft YaHei" w:eastAsia="微软雅黑"/>
        <w:color w:val="6F675F"/>
        <w:sz w:val="16"/>
      </w:rPr>
      <w:t xml:space="preserve">    |    01 金箔非遗数字体验项目一页纸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59" w:lineRule="auto"/>
    </w:pPr>
    <w:rPr>
      <w:rFonts w:ascii="Microsoft YaHei" w:hAnsi="Microsoft YaHei" w:eastAsia="微软雅黑"/>
      <w:b w:val="0"/>
      <w:color w:val="332B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32B22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3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6F501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6F501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金箔非遗数字体验项目一页纸 V0.1</dc:title>
  <dc:subject>金箔非遗项目首次专业访谈材料包</dc:subject>
  <dc:creator>金箔非遗项目团队</dc:creator>
  <cp:keywords>金箔, 非遗, 专业访谈, 攀登计划, 纸面原型, 授权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