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Microsoft YaHei" w:hAnsi="Microsoft YaHei" w:eastAsia="微软雅黑"/>
          <w:b/>
          <w:color w:val="A5781E"/>
          <w:sz w:val="20"/>
        </w:rPr>
        <w:t>广东省攀登计划 · 项目前期工作文件</w:t>
      </w:r>
    </w:p>
    <w:p>
      <w:pPr>
        <w:keepNext/>
        <w:spacing w:after="100"/>
      </w:pPr>
      <w:r>
        <w:rPr>
          <w:rFonts w:ascii="Microsoft YaHei" w:hAnsi="Microsoft YaHei" w:eastAsia="微软雅黑"/>
          <w:b/>
          <w:color w:val="332B22"/>
          <w:sz w:val="52"/>
        </w:rPr>
        <w:t>金箔非遗数字体验与活化传播项目</w:t>
      </w:r>
    </w:p>
    <w:p>
      <w:pPr>
        <w:keepNext/>
        <w:spacing w:after="300"/>
      </w:pPr>
      <w:r>
        <w:rPr>
          <w:rFonts w:ascii="Microsoft YaHei" w:hAnsi="Microsoft YaHei" w:eastAsia="微软雅黑"/>
          <w:color w:val="6F675F"/>
          <w:sz w:val="25"/>
        </w:rPr>
        <w:t>项目简报 V0.2｜从项目共识到可执行任务</w:t>
      </w:r>
    </w:p>
    <w:tbl>
      <w:tblPr>
        <w:tblStyle w:val="TableGrid"/>
        <w:tblW w:type="dxa" w:w="9292"/>
        <w:jc w:val="left"/>
        <w:tblLayout w:type="fixed"/>
        <w:tblLook w:firstColumn="1" w:firstRow="1" w:lastColumn="0" w:lastRow="0" w:noHBand="0" w:noVBand="1" w:val="04A0"/>
        <w:tblInd w:type="dxa" w:w="120"/>
      </w:tblPr>
      <w:tblGrid>
        <w:gridCol w:w="1858"/>
        <w:gridCol w:w="7434"/>
      </w:tblGrid>
      <w:tr>
        <w:trPr>
          <w:tblHeader w:val="true"/>
          <w:cantSplit/>
        </w:trPr>
        <w:tc>
          <w:tcPr>
            <w:tcW w:type="dxa" w:w="1858"/>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项目要素</w:t>
            </w:r>
          </w:p>
        </w:tc>
        <w:tc>
          <w:tcPr>
            <w:tcW w:type="dxa" w:w="7434"/>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当前定义</w:t>
            </w:r>
          </w:p>
        </w:tc>
      </w:tr>
      <w:tr>
        <w:trPr>
          <w:cantSplit/>
        </w:trPr>
        <w:tc>
          <w:tcPr>
            <w:tcW w:type="dxa" w:w="185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shd w:fill="F7F1E3" w:val="clear"/>
          </w:tcPr>
          <w:p>
            <w:pPr>
              <w:spacing w:before="0" w:after="0" w:line="276" w:lineRule="auto"/>
              <w:jc w:val="center"/>
            </w:pPr>
            <w:r/>
            <w:r>
              <w:rPr>
                <w:rFonts w:ascii="Microsoft YaHei" w:hAnsi="Microsoft YaHei" w:eastAsia="微软雅黑"/>
                <w:b/>
                <w:color w:val="6F5016"/>
                <w:sz w:val="18"/>
              </w:rPr>
              <w:t>核心用户</w:t>
            </w:r>
          </w:p>
        </w:tc>
        <w:tc>
          <w:tcPr>
            <w:tcW w:type="dxa" w:w="743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9"/>
              </w:rPr>
              <w:t>广东高校学生，重点为18—24岁青年</w:t>
            </w:r>
          </w:p>
        </w:tc>
      </w:tr>
      <w:tr>
        <w:trPr>
          <w:cantSplit/>
        </w:trPr>
        <w:tc>
          <w:tcPr>
            <w:tcW w:type="dxa" w:w="185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shd w:fill="F7F1E3" w:val="clear"/>
          </w:tcPr>
          <w:p>
            <w:pPr>
              <w:spacing w:before="0" w:after="0" w:line="276" w:lineRule="auto"/>
              <w:jc w:val="center"/>
            </w:pPr>
            <w:r/>
            <w:r>
              <w:rPr>
                <w:rFonts w:ascii="Microsoft YaHei" w:hAnsi="Microsoft YaHei" w:eastAsia="微软雅黑"/>
                <w:b/>
                <w:color w:val="6F5016"/>
                <w:sz w:val="18"/>
              </w:rPr>
              <w:t>核心目标</w:t>
            </w:r>
          </w:p>
        </w:tc>
        <w:tc>
          <w:tcPr>
            <w:tcW w:type="dxa" w:w="743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9"/>
              </w:rPr>
              <w:t>构建并验证一套面向高校青年的金箔非遗数字化传播模式</w:t>
            </w:r>
          </w:p>
        </w:tc>
      </w:tr>
      <w:tr>
        <w:trPr>
          <w:cantSplit/>
        </w:trPr>
        <w:tc>
          <w:tcPr>
            <w:tcW w:type="dxa" w:w="185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shd w:fill="F7F1E3" w:val="clear"/>
          </w:tcPr>
          <w:p>
            <w:pPr>
              <w:spacing w:before="0" w:after="0" w:line="276" w:lineRule="auto"/>
              <w:jc w:val="center"/>
            </w:pPr>
            <w:r/>
            <w:r>
              <w:rPr>
                <w:rFonts w:ascii="Microsoft YaHei" w:hAnsi="Microsoft YaHei" w:eastAsia="微软雅黑"/>
                <w:b/>
                <w:color w:val="6F5016"/>
                <w:sz w:val="18"/>
              </w:rPr>
              <w:t>核心产品</w:t>
            </w:r>
          </w:p>
        </w:tc>
        <w:tc>
          <w:tcPr>
            <w:tcW w:type="dxa" w:w="743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9"/>
              </w:rPr>
              <w:t>3分钟3D工艺互动＋可选AR展示＋真实内容与数字档案</w:t>
            </w:r>
          </w:p>
        </w:tc>
      </w:tr>
      <w:tr>
        <w:trPr>
          <w:cantSplit/>
        </w:trPr>
        <w:tc>
          <w:tcPr>
            <w:tcW w:type="dxa" w:w="185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shd w:fill="F7F1E3" w:val="clear"/>
          </w:tcPr>
          <w:p>
            <w:pPr>
              <w:spacing w:before="0" w:after="0" w:line="276" w:lineRule="auto"/>
              <w:jc w:val="center"/>
            </w:pPr>
            <w:r/>
            <w:r>
              <w:rPr>
                <w:rFonts w:ascii="Microsoft YaHei" w:hAnsi="Microsoft YaHei" w:eastAsia="微软雅黑"/>
                <w:b/>
                <w:color w:val="6F5016"/>
                <w:sz w:val="18"/>
              </w:rPr>
              <w:t>团队结构</w:t>
            </w:r>
          </w:p>
        </w:tc>
        <w:tc>
          <w:tcPr>
            <w:tcW w:type="dxa" w:w="743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9"/>
              </w:rPr>
              <w:t>4名学生、4个主责岗位、三条工作路线并行推进</w:t>
            </w:r>
          </w:p>
        </w:tc>
      </w:tr>
    </w:tbl>
    <w:p>
      <w:pPr>
        <w:spacing w:after="40"/>
      </w:pPr>
    </w:p>
    <w:p>
      <w:pPr>
        <w:spacing w:before="100" w:after="180" w:line="300" w:lineRule="auto"/>
        <w:ind w:left="198" w:right="142"/>
        <w:shd w:fill="FBF8F1" w:val="clear"/>
        <w:pBdr>
          <w:left w:val="single" w:sz="20" w:space="8" w:color="A5781E"/>
        </w:pBdr>
      </w:pPr>
      <w:r>
        <w:rPr>
          <w:rFonts w:ascii="Microsoft YaHei" w:hAnsi="Microsoft YaHei" w:eastAsia="微软雅黑"/>
          <w:b/>
          <w:color w:val="6F5016"/>
          <w:sz w:val="21"/>
        </w:rPr>
        <w:t>一句话定位｜</w:t>
      </w:r>
      <w:r>
        <w:rPr>
          <w:rFonts w:ascii="Microsoft YaHei" w:hAnsi="Microsoft YaHei" w:eastAsia="微软雅黑"/>
          <w:color w:val="332B22"/>
          <w:sz w:val="21"/>
        </w:rPr>
        <w:t>面向广东高校青年的金箔非遗轻量化数字体验与活化传播平台，以3D工艺互动为核心，连接传承人故事、数字档案与线下实践。</w:t>
      </w:r>
    </w:p>
    <w:p>
      <w:pPr>
        <w:pStyle w:val="Heading1"/>
        <w:keepNext/>
      </w:pPr>
      <w:r>
        <w:rPr>
          <w:rFonts w:ascii="Microsoft YaHei" w:hAnsi="Microsoft YaHei" w:eastAsia="微软雅黑"/>
          <w:b/>
          <w:color w:val="332B22"/>
          <w:sz w:val="34"/>
        </w:rPr>
        <w:t>执行摘要</w:t>
      </w:r>
    </w:p>
    <w:p>
      <w:pPr>
        <w:spacing w:after="120" w:line="300" w:lineRule="auto"/>
      </w:pPr>
      <w:r>
        <w:rPr>
          <w:rFonts w:ascii="Microsoft YaHei" w:hAnsi="Microsoft YaHei" w:eastAsia="微软雅黑"/>
          <w:b/>
          <w:color w:val="6F5016"/>
          <w:sz w:val="21"/>
        </w:rPr>
        <w:t>要解决的问题｜</w:t>
      </w:r>
      <w:r>
        <w:rPr>
          <w:rFonts w:ascii="Microsoft YaHei" w:hAnsi="Microsoft YaHei" w:eastAsia="微软雅黑"/>
          <w:color w:val="332B22"/>
          <w:sz w:val="21"/>
        </w:rPr>
        <w:t>高校青年对金箔非遗认知有限，现有传播多为静态图文或单向展示，缺少低门槛、强互动、可持续参与且能够验证效果的数字体验。</w:t>
      </w:r>
    </w:p>
    <w:p>
      <w:pPr>
        <w:spacing w:after="120" w:line="300" w:lineRule="auto"/>
      </w:pPr>
      <w:r>
        <w:rPr>
          <w:rFonts w:ascii="Microsoft YaHei" w:hAnsi="Microsoft YaHei" w:eastAsia="微软雅黑"/>
          <w:b/>
          <w:color w:val="6F5016"/>
          <w:sz w:val="21"/>
        </w:rPr>
        <w:t>项目方法｜</w:t>
      </w:r>
      <w:r>
        <w:rPr>
          <w:rFonts w:ascii="Microsoft YaHei" w:hAnsi="Microsoft YaHei" w:eastAsia="微软雅黑"/>
          <w:color w:val="332B22"/>
          <w:sz w:val="21"/>
        </w:rPr>
        <w:t>以3分钟3D贴箔互动吸引首次接触，以传承人真实口述和数字档案建立文化理解，再通过校园活动、问卷、访谈和行为数据检验传播效果。</w:t>
      </w:r>
    </w:p>
    <w:p>
      <w:pPr>
        <w:spacing w:after="120" w:line="300" w:lineRule="auto"/>
      </w:pPr>
      <w:r>
        <w:rPr>
          <w:rFonts w:ascii="Microsoft YaHei" w:hAnsi="Microsoft YaHei" w:eastAsia="微软雅黑"/>
          <w:b/>
          <w:color w:val="6F5016"/>
          <w:sz w:val="21"/>
        </w:rPr>
        <w:t>申报逻辑｜</w:t>
      </w:r>
      <w:r>
        <w:rPr>
          <w:rFonts w:ascii="Microsoft YaHei" w:hAnsi="Microsoft YaHei" w:eastAsia="微软雅黑"/>
          <w:color w:val="332B22"/>
          <w:sz w:val="21"/>
        </w:rPr>
        <w:t>项目不是单纯开发小程序，而是形成“产品＋内容＋研究＋实践＋证据”的完整成果链。</w:t>
      </w:r>
    </w:p>
    <w:tbl>
      <w:tblPr>
        <w:tblW w:type="dxa" w:w="9292"/>
        <w:jc w:val="left"/>
        <w:tblLayout w:type="fixed"/>
        <w:tblLook w:firstColumn="1" w:firstRow="1" w:lastColumn="0" w:lastRow="0" w:noHBand="0" w:noVBand="1" w:val="04A0"/>
        <w:tblInd w:type="dxa" w:w="90"/>
      </w:tblPr>
      <w:tblGrid>
        <w:gridCol w:w="2323"/>
        <w:gridCol w:w="2323"/>
        <w:gridCol w:w="2323"/>
        <w:gridCol w:w="2323"/>
      </w:tblGrid>
      <w:tr>
        <w:trPr>
          <w:cantSplit/>
        </w:trPr>
        <w:tc>
          <w:tcPr>
            <w:tcW w:type="dxa" w:w="2323"/>
            <w:vAlign w:val="center"/>
            <w:shd w:fill="F7F1E3" w:val="clear"/>
            <w:tcMar>
              <w:top w:w="140" w:type="dxa"/>
              <w:bottom w:w="140" w:type="dxa"/>
              <w:start w:w="90" w:type="dxa"/>
              <w:end w:w="90" w:type="dxa"/>
            </w:tcMar>
            <w:tcBorders>
              <w:top w:val="single" w:sz="4" w:color="E6D8BA"/>
              <w:left w:val="single" w:sz="4" w:color="E6D8BA"/>
              <w:bottom w:val="single" w:sz="4" w:color="E6D8BA"/>
              <w:right w:val="single" w:sz="4" w:color="E6D8BA"/>
              <w:insideH w:val="single" w:sz="4" w:color="E6D8BA"/>
              <w:insideV w:val="single" w:sz="4" w:color="E6D8BA"/>
            </w:tcBorders>
          </w:tcPr>
          <w:p>
            <w:pPr>
              <w:spacing w:after="40"/>
              <w:jc w:val="center"/>
            </w:pPr>
            <w:r/>
            <w:r>
              <w:rPr>
                <w:rFonts w:ascii="Microsoft YaHei" w:hAnsi="Microsoft YaHei" w:eastAsia="微软雅黑"/>
                <w:b/>
                <w:color w:val="6F5016"/>
                <w:sz w:val="34"/>
              </w:rPr>
              <w:t>800+</w:t>
            </w:r>
          </w:p>
          <w:p>
            <w:pPr>
              <w:spacing w:after="0"/>
              <w:jc w:val="center"/>
            </w:pPr>
            <w:r>
              <w:rPr>
                <w:rFonts w:ascii="Microsoft YaHei" w:hAnsi="Microsoft YaHei" w:eastAsia="微软雅黑"/>
                <w:color w:val="6F675F"/>
                <w:sz w:val="17"/>
              </w:rPr>
              <w:t>真实用户目标</w:t>
            </w:r>
          </w:p>
        </w:tc>
        <w:tc>
          <w:tcPr>
            <w:tcW w:type="dxa" w:w="2323"/>
            <w:vAlign w:val="center"/>
            <w:shd w:fill="F7F1E3" w:val="clear"/>
            <w:tcMar>
              <w:top w:w="140" w:type="dxa"/>
              <w:bottom w:w="140" w:type="dxa"/>
              <w:start w:w="90" w:type="dxa"/>
              <w:end w:w="90" w:type="dxa"/>
            </w:tcMar>
            <w:tcBorders>
              <w:top w:val="single" w:sz="4" w:color="E6D8BA"/>
              <w:left w:val="single" w:sz="4" w:color="E6D8BA"/>
              <w:bottom w:val="single" w:sz="4" w:color="E6D8BA"/>
              <w:right w:val="single" w:sz="4" w:color="E6D8BA"/>
              <w:insideH w:val="single" w:sz="4" w:color="E6D8BA"/>
              <w:insideV w:val="single" w:sz="4" w:color="E6D8BA"/>
            </w:tcBorders>
          </w:tcPr>
          <w:p>
            <w:pPr>
              <w:spacing w:after="40"/>
              <w:jc w:val="center"/>
            </w:pPr>
            <w:r/>
            <w:r>
              <w:rPr>
                <w:rFonts w:ascii="Microsoft YaHei" w:hAnsi="Microsoft YaHei" w:eastAsia="微软雅黑"/>
                <w:b/>
                <w:color w:val="6F5016"/>
                <w:sz w:val="34"/>
              </w:rPr>
              <w:t>300+</w:t>
            </w:r>
          </w:p>
          <w:p>
            <w:pPr>
              <w:spacing w:after="0"/>
              <w:jc w:val="center"/>
            </w:pPr>
            <w:r>
              <w:rPr>
                <w:rFonts w:ascii="Microsoft YaHei" w:hAnsi="Microsoft YaHei" w:eastAsia="微软雅黑"/>
                <w:color w:val="6F675F"/>
                <w:sz w:val="17"/>
              </w:rPr>
              <w:t>有效问卷</w:t>
            </w:r>
          </w:p>
        </w:tc>
        <w:tc>
          <w:tcPr>
            <w:tcW w:type="dxa" w:w="2323"/>
            <w:vAlign w:val="center"/>
            <w:shd w:fill="F7F1E3" w:val="clear"/>
            <w:tcMar>
              <w:top w:w="140" w:type="dxa"/>
              <w:bottom w:w="140" w:type="dxa"/>
              <w:start w:w="90" w:type="dxa"/>
              <w:end w:w="90" w:type="dxa"/>
            </w:tcMar>
            <w:tcBorders>
              <w:top w:val="single" w:sz="4" w:color="E6D8BA"/>
              <w:left w:val="single" w:sz="4" w:color="E6D8BA"/>
              <w:bottom w:val="single" w:sz="4" w:color="E6D8BA"/>
              <w:right w:val="single" w:sz="4" w:color="E6D8BA"/>
              <w:insideH w:val="single" w:sz="4" w:color="E6D8BA"/>
              <w:insideV w:val="single" w:sz="4" w:color="E6D8BA"/>
            </w:tcBorders>
          </w:tcPr>
          <w:p>
            <w:pPr>
              <w:spacing w:after="40"/>
              <w:jc w:val="center"/>
            </w:pPr>
            <w:r/>
            <w:r>
              <w:rPr>
                <w:rFonts w:ascii="Microsoft YaHei" w:hAnsi="Microsoft YaHei" w:eastAsia="微软雅黑"/>
                <w:b/>
                <w:color w:val="6F5016"/>
                <w:sz w:val="34"/>
              </w:rPr>
              <w:t>3场</w:t>
            </w:r>
          </w:p>
          <w:p>
            <w:pPr>
              <w:spacing w:after="0"/>
              <w:jc w:val="center"/>
            </w:pPr>
            <w:r>
              <w:rPr>
                <w:rFonts w:ascii="Microsoft YaHei" w:hAnsi="Microsoft YaHei" w:eastAsia="微软雅黑"/>
                <w:color w:val="6F675F"/>
                <w:sz w:val="17"/>
              </w:rPr>
              <w:t>校园实践</w:t>
            </w:r>
          </w:p>
        </w:tc>
        <w:tc>
          <w:tcPr>
            <w:tcW w:type="dxa" w:w="2323"/>
            <w:vAlign w:val="center"/>
            <w:shd w:fill="F7F1E3" w:val="clear"/>
            <w:tcMar>
              <w:top w:w="140" w:type="dxa"/>
              <w:bottom w:w="140" w:type="dxa"/>
              <w:start w:w="90" w:type="dxa"/>
              <w:end w:w="90" w:type="dxa"/>
            </w:tcMar>
            <w:tcBorders>
              <w:top w:val="single" w:sz="4" w:color="E6D8BA"/>
              <w:left w:val="single" w:sz="4" w:color="E6D8BA"/>
              <w:bottom w:val="single" w:sz="4" w:color="E6D8BA"/>
              <w:right w:val="single" w:sz="4" w:color="E6D8BA"/>
              <w:insideH w:val="single" w:sz="4" w:color="E6D8BA"/>
              <w:insideV w:val="single" w:sz="4" w:color="E6D8BA"/>
            </w:tcBorders>
          </w:tcPr>
          <w:p>
            <w:pPr>
              <w:spacing w:after="40"/>
              <w:jc w:val="center"/>
            </w:pPr>
            <w:r/>
            <w:r>
              <w:rPr>
                <w:rFonts w:ascii="Microsoft YaHei" w:hAnsi="Microsoft YaHei" w:eastAsia="微软雅黑"/>
                <w:b/>
                <w:color w:val="6F5016"/>
                <w:sz w:val="34"/>
              </w:rPr>
              <w:t>8—12期</w:t>
            </w:r>
          </w:p>
          <w:p>
            <w:pPr>
              <w:spacing w:after="0"/>
              <w:jc w:val="center"/>
            </w:pPr>
            <w:r>
              <w:rPr>
                <w:rFonts w:ascii="Microsoft YaHei" w:hAnsi="Microsoft YaHei" w:eastAsia="微软雅黑"/>
                <w:color w:val="6F675F"/>
                <w:sz w:val="17"/>
              </w:rPr>
              <w:t>系列短视频</w:t>
            </w:r>
          </w:p>
        </w:tc>
      </w:tr>
    </w:tbl>
    <w:p>
      <w:pPr>
        <w:spacing w:after="60"/>
      </w:pPr>
    </w:p>
    <w:p>
      <w:pPr>
        <w:pStyle w:val="Heading1"/>
        <w:keepNext/>
      </w:pPr>
      <w:r>
        <w:rPr>
          <w:rFonts w:ascii="Microsoft YaHei" w:hAnsi="Microsoft YaHei" w:eastAsia="微软雅黑"/>
          <w:b/>
          <w:color w:val="332B22"/>
          <w:sz w:val="34"/>
        </w:rPr>
        <w:t>1. 项目定义</w:t>
      </w:r>
    </w:p>
    <w:p>
      <w:pPr>
        <w:pStyle w:val="Heading2"/>
        <w:keepNext/>
      </w:pPr>
      <w:r>
        <w:rPr>
          <w:rFonts w:ascii="Microsoft YaHei" w:hAnsi="Microsoft YaHei" w:eastAsia="微软雅黑"/>
          <w:b/>
          <w:color w:val="6F5016"/>
          <w:sz w:val="27"/>
        </w:rPr>
        <w:t>1.1 核心目标与价值</w:t>
      </w:r>
    </w:p>
    <w:p>
      <w:pPr>
        <w:spacing w:after="120" w:line="300" w:lineRule="auto"/>
      </w:pPr>
      <w:r>
        <w:rPr>
          <w:rFonts w:ascii="Microsoft YaHei" w:hAnsi="Microsoft YaHei" w:eastAsia="微软雅黑"/>
          <w:color w:val="332B22"/>
          <w:sz w:val="21"/>
        </w:rPr>
        <w:t>本项目的核心目标是构建并验证一套面向广东高校青年的金箔非遗数字化传播模式。小程序是体验工具，数字档案是真实内容基础，传承人内容是传播载体，校园活动和用户研究用于验证效果。</w:t>
      </w:r>
    </w:p>
    <w:p>
      <w:pPr>
        <w:spacing w:after="120" w:line="300" w:lineRule="auto"/>
      </w:pPr>
      <w:r>
        <w:rPr>
          <w:rFonts w:ascii="Microsoft YaHei" w:hAnsi="Microsoft YaHei" w:eastAsia="微软雅黑"/>
          <w:color w:val="332B22"/>
          <w:sz w:val="21"/>
        </w:rPr>
        <w:t>最终成果由产品、内容、研究、知识产权、社会实践和证据材料共同组成。项目是否成功，不以“是否上线”单独判断，而以用户是否愿意进入、能否完成体验、认知是否提升以及是否产生进一步参与行为综合判断。</w:t>
      </w:r>
    </w:p>
    <w:p>
      <w:pPr>
        <w:pStyle w:val="Heading2"/>
        <w:keepNext/>
      </w:pPr>
      <w:r>
        <w:rPr>
          <w:rFonts w:ascii="Microsoft YaHei" w:hAnsi="Microsoft YaHei" w:eastAsia="微软雅黑"/>
          <w:b/>
          <w:color w:val="6F5016"/>
          <w:sz w:val="27"/>
        </w:rPr>
        <w:t>1.2 目标用户</w:t>
      </w:r>
    </w:p>
    <w:p>
      <w:pPr>
        <w:spacing w:after="120" w:line="300" w:lineRule="auto"/>
      </w:pPr>
      <w:r>
        <w:rPr>
          <w:rFonts w:ascii="Microsoft YaHei" w:hAnsi="Microsoft YaHei" w:eastAsia="微软雅黑"/>
          <w:b/>
          <w:color w:val="6F5016"/>
          <w:sz w:val="21"/>
        </w:rPr>
        <w:t>第一阶段核心用户｜</w:t>
      </w:r>
      <w:r>
        <w:rPr>
          <w:rFonts w:ascii="Microsoft YaHei" w:hAnsi="Microsoft YaHei" w:eastAsia="微软雅黑"/>
          <w:color w:val="332B22"/>
          <w:sz w:val="21"/>
        </w:rPr>
        <w:t>广东高校学生，重点年龄18—24岁。该群体习惯短视频和轻量互动，对非遗可能有好奇心，但通常缺少主动学习意愿和长时间阅读耐心。</w:t>
      </w:r>
    </w:p>
    <w:p>
      <w:pPr>
        <w:spacing w:after="120" w:line="300" w:lineRule="auto"/>
      </w:pPr>
      <w:r>
        <w:rPr>
          <w:rFonts w:ascii="Microsoft YaHei" w:hAnsi="Microsoft YaHei" w:eastAsia="微软雅黑"/>
          <w:b/>
          <w:color w:val="6F5016"/>
          <w:sz w:val="21"/>
        </w:rPr>
        <w:t>延伸用户｜</w:t>
      </w:r>
      <w:r>
        <w:rPr>
          <w:rFonts w:ascii="Microsoft YaHei" w:hAnsi="Microsoft YaHei" w:eastAsia="微软雅黑"/>
          <w:color w:val="332B22"/>
          <w:sz w:val="21"/>
        </w:rPr>
        <w:t>高校教师和校园文化活动组织者、非遗爱好者、青年文旅用户、传承人及非遗保护与传播相关机构。产品不设置排他性年龄限制。</w:t>
      </w:r>
    </w:p>
    <w:p>
      <w:pPr>
        <w:pStyle w:val="Heading2"/>
        <w:keepNext/>
      </w:pPr>
      <w:r>
        <w:rPr>
          <w:rFonts w:ascii="Microsoft YaHei" w:hAnsi="Microsoft YaHei" w:eastAsia="微软雅黑"/>
          <w:b/>
          <w:color w:val="6F5016"/>
          <w:sz w:val="27"/>
        </w:rPr>
        <w:t>1.3 项目问题链</w:t>
      </w:r>
    </w:p>
    <w:p>
      <w:pPr>
        <w:numPr>
          <w:ilvl w:val="0"/>
          <w:numId w:val="10"/>
        </w:numPr>
        <w:spacing w:after="80" w:line="300" w:lineRule="auto"/>
      </w:pPr>
      <w:r>
        <w:rPr>
          <w:rFonts w:ascii="Microsoft YaHei" w:hAnsi="Microsoft YaHei" w:eastAsia="微软雅黑"/>
          <w:color w:val="332B22"/>
          <w:sz w:val="21"/>
        </w:rPr>
        <w:t>传播入口偏重知识灌输，难以吸引青年完成首次接触。</w:t>
      </w:r>
    </w:p>
    <w:p>
      <w:pPr>
        <w:numPr>
          <w:ilvl w:val="0"/>
          <w:numId w:val="10"/>
        </w:numPr>
        <w:spacing w:after="80" w:line="300" w:lineRule="auto"/>
      </w:pPr>
      <w:r>
        <w:rPr>
          <w:rFonts w:ascii="Microsoft YaHei" w:hAnsi="Microsoft YaHei" w:eastAsia="微软雅黑"/>
          <w:color w:val="332B22"/>
          <w:sz w:val="21"/>
        </w:rPr>
        <w:t>照片、视频、口述和工艺资料分散，缺少统一整理和规范标注。</w:t>
      </w:r>
    </w:p>
    <w:p>
      <w:pPr>
        <w:numPr>
          <w:ilvl w:val="0"/>
          <w:numId w:val="10"/>
        </w:numPr>
        <w:spacing w:after="80" w:line="300" w:lineRule="auto"/>
      </w:pPr>
      <w:r>
        <w:rPr>
          <w:rFonts w:ascii="Microsoft YaHei" w:hAnsi="Microsoft YaHei" w:eastAsia="微软雅黑"/>
          <w:color w:val="332B22"/>
          <w:sz w:val="21"/>
        </w:rPr>
        <w:t>部分数字化项目重视觉技术、轻真实人物和工艺依据。</w:t>
      </w:r>
    </w:p>
    <w:p>
      <w:pPr>
        <w:numPr>
          <w:ilvl w:val="0"/>
          <w:numId w:val="10"/>
        </w:numPr>
        <w:spacing w:after="80" w:line="300" w:lineRule="auto"/>
      </w:pPr>
      <w:r>
        <w:rPr>
          <w:rFonts w:ascii="Microsoft YaHei" w:hAnsi="Microsoft YaHei" w:eastAsia="微软雅黑"/>
          <w:color w:val="332B22"/>
          <w:sz w:val="21"/>
        </w:rPr>
        <w:t>传播结果多停留在浏览量，缺少前后测、行为数据和线下实践证据。</w:t>
      </w:r>
    </w:p>
    <w:p>
      <w:pPr>
        <w:pStyle w:val="Heading1"/>
        <w:keepNext/>
      </w:pPr>
      <w:r>
        <w:rPr>
          <w:rFonts w:ascii="Microsoft YaHei" w:hAnsi="Microsoft YaHei" w:eastAsia="微软雅黑"/>
          <w:b/>
          <w:color w:val="332B22"/>
          <w:sz w:val="34"/>
        </w:rPr>
        <w:t>2. 解决方案与用户路径</w:t>
      </w:r>
    </w:p>
    <w:p>
      <w:pPr>
        <w:pStyle w:val="Heading2"/>
        <w:keepNext/>
      </w:pPr>
      <w:r>
        <w:rPr>
          <w:rFonts w:ascii="Microsoft YaHei" w:hAnsi="Microsoft YaHei" w:eastAsia="微软雅黑"/>
          <w:b/>
          <w:color w:val="6F5016"/>
          <w:sz w:val="27"/>
        </w:rPr>
        <w:t>2.1 “一核三支撑”结构</w:t>
      </w:r>
    </w:p>
    <w:p>
      <w:pPr>
        <w:spacing w:after="120" w:line="300" w:lineRule="auto"/>
      </w:pPr>
      <w:r>
        <w:rPr>
          <w:rFonts w:ascii="Microsoft YaHei" w:hAnsi="Microsoft YaHei" w:eastAsia="微软雅黑"/>
          <w:b/>
          <w:color w:val="6F5016"/>
          <w:sz w:val="21"/>
        </w:rPr>
        <w:t>核心体验｜</w:t>
      </w:r>
      <w:r>
        <w:rPr>
          <w:rFonts w:ascii="Microsoft YaHei" w:hAnsi="Microsoft YaHei" w:eastAsia="微软雅黑"/>
          <w:color w:val="332B22"/>
          <w:sz w:val="21"/>
        </w:rPr>
        <w:t>建设一套代表性“3分钟金箔轻量工艺体验”，以3D贴箔互动作为首版核心入口，并提供可选AR展示或合影功能。</w:t>
      </w:r>
    </w:p>
    <w:p>
      <w:pPr>
        <w:spacing w:after="120" w:line="300" w:lineRule="auto"/>
      </w:pPr>
      <w:r>
        <w:rPr>
          <w:rFonts w:ascii="Microsoft YaHei" w:hAnsi="Microsoft YaHei" w:eastAsia="微软雅黑"/>
          <w:b/>
          <w:color w:val="6F5016"/>
          <w:sz w:val="21"/>
        </w:rPr>
        <w:t>内容支撑｜</w:t>
      </w:r>
      <w:r>
        <w:rPr>
          <w:rFonts w:ascii="Microsoft YaHei" w:hAnsi="Microsoft YaHei" w:eastAsia="微软雅黑"/>
          <w:color w:val="332B22"/>
          <w:sz w:val="21"/>
        </w:rPr>
        <w:t>采集并整理传承人口述、真实工艺影像、工具、材料、步骤、作品及经审核的文字解说和元数据。</w:t>
      </w:r>
    </w:p>
    <w:p>
      <w:pPr>
        <w:spacing w:after="120" w:line="300" w:lineRule="auto"/>
      </w:pPr>
      <w:r>
        <w:rPr>
          <w:rFonts w:ascii="Microsoft YaHei" w:hAnsi="Microsoft YaHei" w:eastAsia="微软雅黑"/>
          <w:b/>
          <w:color w:val="6F5016"/>
          <w:sz w:val="21"/>
        </w:rPr>
        <w:t>传播支撑｜</w:t>
      </w:r>
      <w:r>
        <w:rPr>
          <w:rFonts w:ascii="Microsoft YaHei" w:hAnsi="Microsoft YaHei" w:eastAsia="微软雅黑"/>
          <w:color w:val="332B22"/>
          <w:sz w:val="21"/>
        </w:rPr>
        <w:t>形成8—12期系列短视频和具有连续识别度的传承人故事，负责吸引、解释和引导回流。</w:t>
      </w:r>
    </w:p>
    <w:p>
      <w:pPr>
        <w:spacing w:after="120" w:line="300" w:lineRule="auto"/>
      </w:pPr>
      <w:r>
        <w:rPr>
          <w:rFonts w:ascii="Microsoft YaHei" w:hAnsi="Microsoft YaHei" w:eastAsia="微软雅黑"/>
          <w:b/>
          <w:color w:val="6F5016"/>
          <w:sz w:val="21"/>
        </w:rPr>
        <w:t>实践验证｜</w:t>
      </w:r>
      <w:r>
        <w:rPr>
          <w:rFonts w:ascii="Microsoft YaHei" w:hAnsi="Microsoft YaHei" w:eastAsia="微软雅黑"/>
          <w:color w:val="332B22"/>
          <w:sz w:val="21"/>
        </w:rPr>
        <w:t>通过高校体验活动、问卷、访谈、行为数据和前后测，验证认知、兴趣和参与意愿的变化。</w:t>
      </w:r>
    </w:p>
    <w:p>
      <w:pPr>
        <w:spacing w:before="100" w:after="180" w:line="300" w:lineRule="auto"/>
        <w:ind w:left="198" w:right="142"/>
        <w:shd w:fill="FBF8F1" w:val="clear"/>
        <w:pBdr>
          <w:left w:val="single" w:sz="20" w:space="8" w:color="A5781E"/>
        </w:pBdr>
      </w:pPr>
      <w:r>
        <w:rPr>
          <w:rFonts w:ascii="Microsoft YaHei" w:hAnsi="Microsoft YaHei" w:eastAsia="微软雅黑"/>
          <w:b/>
          <w:color w:val="6F5016"/>
          <w:sz w:val="21"/>
        </w:rPr>
        <w:t>用户路径｜</w:t>
      </w:r>
      <w:r>
        <w:rPr>
          <w:rFonts w:ascii="Microsoft YaHei" w:hAnsi="Microsoft YaHei" w:eastAsia="微软雅黑"/>
          <w:color w:val="332B22"/>
          <w:sz w:val="21"/>
        </w:rPr>
        <w:t>接触吸引 → 3分钟互动体验 → 了解传承人与真实工艺 → 浏览数字档案 → 参与线下活动或主动传播 → 数据反馈与产品迭代</w:t>
      </w:r>
    </w:p>
    <w:p>
      <w:pPr>
        <w:pStyle w:val="Heading2"/>
        <w:keepNext/>
      </w:pPr>
      <w:r>
        <w:rPr>
          <w:rFonts w:ascii="Microsoft YaHei" w:hAnsi="Microsoft YaHei" w:eastAsia="微软雅黑"/>
          <w:b/>
          <w:color w:val="6F5016"/>
          <w:sz w:val="27"/>
        </w:rPr>
        <w:t>2.2 产品与内容原则</w:t>
      </w:r>
    </w:p>
    <w:p>
      <w:pPr>
        <w:numPr>
          <w:ilvl w:val="0"/>
          <w:numId w:val="11"/>
        </w:numPr>
        <w:spacing w:after="80" w:line="300" w:lineRule="auto"/>
      </w:pPr>
      <w:r>
        <w:rPr>
          <w:rFonts w:ascii="Microsoft YaHei" w:hAnsi="Microsoft YaHei" w:eastAsia="微软雅黑"/>
          <w:color w:val="332B22"/>
          <w:sz w:val="21"/>
        </w:rPr>
        <w:t>互动优先：首屏不以课程学习和知识测评作为主要入口，先让用户愿意开始。</w:t>
      </w:r>
    </w:p>
    <w:p>
      <w:pPr>
        <w:numPr>
          <w:ilvl w:val="0"/>
          <w:numId w:val="11"/>
        </w:numPr>
        <w:spacing w:after="80" w:line="300" w:lineRule="auto"/>
      </w:pPr>
      <w:r>
        <w:rPr>
          <w:rFonts w:ascii="Microsoft YaHei" w:hAnsi="Microsoft YaHei" w:eastAsia="微软雅黑"/>
          <w:color w:val="332B22"/>
          <w:sz w:val="21"/>
        </w:rPr>
        <w:t>真实优先：所有工艺步骤、解说文字和数字模拟均需传承人或专业老师审核。</w:t>
      </w:r>
    </w:p>
    <w:p>
      <w:pPr>
        <w:numPr>
          <w:ilvl w:val="0"/>
          <w:numId w:val="11"/>
        </w:numPr>
        <w:spacing w:after="80" w:line="300" w:lineRule="auto"/>
      </w:pPr>
      <w:r>
        <w:rPr>
          <w:rFonts w:ascii="Microsoft YaHei" w:hAnsi="Microsoft YaHei" w:eastAsia="微软雅黑"/>
          <w:color w:val="332B22"/>
          <w:sz w:val="21"/>
        </w:rPr>
        <w:t>核心可降级：3D主线可独立完成；设备不支持AR或用户拒绝相机权限时，体验仍然完整。</w:t>
      </w:r>
    </w:p>
    <w:p>
      <w:pPr>
        <w:numPr>
          <w:ilvl w:val="0"/>
          <w:numId w:val="11"/>
        </w:numPr>
        <w:spacing w:after="80" w:line="300" w:lineRule="auto"/>
      </w:pPr>
      <w:r>
        <w:rPr>
          <w:rFonts w:ascii="Microsoft YaHei" w:hAnsi="Microsoft YaHei" w:eastAsia="微软雅黑"/>
          <w:color w:val="332B22"/>
          <w:sz w:val="21"/>
        </w:rPr>
        <w:t>范围可控制：首版只做一个非遗项目、一位核心合作对象、一套代表性互动和一个可选AR场景。</w:t>
      </w:r>
    </w:p>
    <w:p>
      <w:pPr>
        <w:numPr>
          <w:ilvl w:val="0"/>
          <w:numId w:val="11"/>
        </w:numPr>
        <w:spacing w:after="80" w:line="300" w:lineRule="auto"/>
      </w:pPr>
      <w:r>
        <w:rPr>
          <w:rFonts w:ascii="Microsoft YaHei" w:hAnsi="Microsoft YaHei" w:eastAsia="微软雅黑"/>
          <w:color w:val="332B22"/>
          <w:sz w:val="21"/>
        </w:rPr>
        <w:t>效果可验证：功能、内容和活动均需对应明确数据或证据，不为展示而堆叠功能。</w:t>
      </w:r>
    </w:p>
    <w:p>
      <w:pPr>
        <w:pStyle w:val="Heading1"/>
        <w:keepNext/>
      </w:pPr>
      <w:r>
        <w:rPr>
          <w:rFonts w:ascii="Microsoft YaHei" w:hAnsi="Microsoft YaHei" w:eastAsia="微软雅黑"/>
          <w:b/>
          <w:color w:val="332B22"/>
          <w:sz w:val="34"/>
        </w:rPr>
        <w:t>3. 创新主张</w:t>
      </w:r>
    </w:p>
    <w:p>
      <w:pPr>
        <w:spacing w:after="120" w:line="300" w:lineRule="auto"/>
      </w:pPr>
      <w:r>
        <w:rPr>
          <w:rFonts w:ascii="Microsoft YaHei" w:hAnsi="Microsoft YaHei" w:eastAsia="微软雅黑"/>
          <w:b/>
          <w:color w:val="6F5016"/>
          <w:sz w:val="21"/>
        </w:rPr>
        <w:t>体验方式创新｜</w:t>
      </w:r>
      <w:r>
        <w:rPr>
          <w:rFonts w:ascii="Microsoft YaHei" w:hAnsi="Microsoft YaHei" w:eastAsia="微软雅黑"/>
          <w:color w:val="332B22"/>
          <w:sz w:val="21"/>
        </w:rPr>
        <w:t>将传统图文科普转化为3分钟轻量工艺体验，降低青年首次接触非遗的时间和理解门槛。</w:t>
      </w:r>
    </w:p>
    <w:p>
      <w:pPr>
        <w:spacing w:after="120" w:line="300" w:lineRule="auto"/>
      </w:pPr>
      <w:r>
        <w:rPr>
          <w:rFonts w:ascii="Microsoft YaHei" w:hAnsi="Microsoft YaHei" w:eastAsia="微软雅黑"/>
          <w:b/>
          <w:color w:val="6F5016"/>
          <w:sz w:val="21"/>
        </w:rPr>
        <w:t>文化叙事创新｜</w:t>
      </w:r>
      <w:r>
        <w:rPr>
          <w:rFonts w:ascii="Microsoft YaHei" w:hAnsi="Microsoft YaHei" w:eastAsia="微软雅黑"/>
          <w:color w:val="332B22"/>
          <w:sz w:val="21"/>
        </w:rPr>
        <w:t>把3D互动、传承人真实口述和数字档案串联，使数字操作对应真实人物、材料、工具和工艺流程。</w:t>
      </w:r>
    </w:p>
    <w:p>
      <w:pPr>
        <w:spacing w:after="120" w:line="300" w:lineRule="auto"/>
      </w:pPr>
      <w:r>
        <w:rPr>
          <w:rFonts w:ascii="Microsoft YaHei" w:hAnsi="Microsoft YaHei" w:eastAsia="微软雅黑"/>
          <w:b/>
          <w:color w:val="6F5016"/>
          <w:sz w:val="21"/>
        </w:rPr>
        <w:t>传播验证创新｜</w:t>
      </w:r>
      <w:r>
        <w:rPr>
          <w:rFonts w:ascii="Microsoft YaHei" w:hAnsi="Microsoft YaHei" w:eastAsia="微软雅黑"/>
          <w:color w:val="332B22"/>
          <w:sz w:val="21"/>
        </w:rPr>
        <w:t>用校园实践、用户行为数据、前后测和访谈检验实际效果，而不是只统计浏览量和点赞量。</w:t>
      </w:r>
    </w:p>
    <w:p>
      <w:pPr>
        <w:spacing w:before="100" w:after="180" w:line="300" w:lineRule="auto"/>
        <w:ind w:left="198" w:right="142"/>
        <w:shd w:fill="FBF8F1" w:val="clear"/>
        <w:pBdr>
          <w:left w:val="single" w:sz="20" w:space="8" w:color="A5781E"/>
        </w:pBdr>
      </w:pPr>
      <w:r>
        <w:rPr>
          <w:rFonts w:ascii="Microsoft YaHei" w:hAnsi="Microsoft YaHei" w:eastAsia="微软雅黑"/>
          <w:b/>
          <w:color w:val="6F5016"/>
          <w:sz w:val="21"/>
        </w:rPr>
        <w:t>创新概括｜</w:t>
      </w:r>
      <w:r>
        <w:rPr>
          <w:rFonts w:ascii="Microsoft YaHei" w:hAnsi="Microsoft YaHei" w:eastAsia="微软雅黑"/>
          <w:color w:val="332B22"/>
          <w:sz w:val="21"/>
        </w:rPr>
        <w:t>以互动吸引青年，以真实内容建立文化认同，以实践数据验证传播效果。3D/AR是实现目标的手段，不是项目全部创新依据。</w:t>
      </w:r>
    </w:p>
    <w:p>
      <w:pPr>
        <w:pStyle w:val="Heading1"/>
        <w:keepNext/>
      </w:pPr>
      <w:r>
        <w:rPr>
          <w:rFonts w:ascii="Microsoft YaHei" w:hAnsi="Microsoft YaHei" w:eastAsia="微软雅黑"/>
          <w:b/>
          <w:color w:val="332B22"/>
          <w:sz w:val="34"/>
        </w:rPr>
        <w:t>4. 项目范围与成果包</w:t>
      </w:r>
    </w:p>
    <w:p>
      <w:pPr>
        <w:pStyle w:val="Heading2"/>
        <w:keepNext/>
      </w:pPr>
      <w:r>
        <w:rPr>
          <w:rFonts w:ascii="Microsoft YaHei" w:hAnsi="Microsoft YaHei" w:eastAsia="微软雅黑"/>
          <w:b/>
          <w:color w:val="6F5016"/>
          <w:sz w:val="27"/>
        </w:rPr>
        <w:t>4.1 首期范围</w:t>
      </w:r>
    </w:p>
    <w:tbl>
      <w:tblPr>
        <w:tblStyle w:val="TableGrid"/>
        <w:tblW w:type="dxa" w:w="9292"/>
        <w:jc w:val="left"/>
        <w:tblLayout w:type="fixed"/>
        <w:tblLook w:firstColumn="1" w:firstRow="1" w:lastColumn="0" w:lastRow="0" w:noHBand="0" w:noVBand="1" w:val="04A0"/>
        <w:tblInd w:type="dxa" w:w="120"/>
      </w:tblPr>
      <w:tblGrid>
        <w:gridCol w:w="4646"/>
        <w:gridCol w:w="4646"/>
      </w:tblGrid>
      <w:tr>
        <w:trPr>
          <w:tblHeader w:val="true"/>
          <w:cantSplit/>
        </w:trPr>
        <w:tc>
          <w:tcPr>
            <w:tcW w:type="dxa" w:w="464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纳入首期</w:t>
            </w:r>
          </w:p>
        </w:tc>
        <w:tc>
          <w:tcPr>
            <w:tcW w:type="dxa" w:w="464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暂不纳入首期</w:t>
            </w:r>
          </w:p>
        </w:tc>
      </w:tr>
      <w:tr>
        <w:trPr>
          <w:cantSplit/>
        </w:trPr>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一个金箔非遗项目及一位核心合作对象</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同时覆盖多个非遗门类</w:t>
            </w:r>
          </w:p>
        </w:tc>
      </w:tr>
      <w:tr>
        <w:trPr>
          <w:cantSplit/>
        </w:trPr>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一个微信小程序</w:t>
            </w:r>
          </w:p>
        </w:tc>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独立APP、商城、支付和复杂会员体系</w:t>
            </w:r>
          </w:p>
        </w:tc>
      </w:tr>
      <w:tr>
        <w:trPr>
          <w:cantSplit/>
        </w:trPr>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一套3D贴箔互动＋一个可选AR场景</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大型3D游戏、多关卡重度游戏化和完整空间AR</w:t>
            </w:r>
          </w:p>
        </w:tc>
      </w:tr>
      <w:tr>
        <w:trPr>
          <w:cantSplit/>
        </w:trPr>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数字档案、传承人故事和系列短视频</w:t>
            </w:r>
          </w:p>
        </w:tc>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直播带货、商业经纪等重运营业务</w:t>
            </w:r>
          </w:p>
        </w:tc>
      </w:tr>
      <w:tr>
        <w:trPr>
          <w:cantSplit/>
        </w:trPr>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高校调研、用户测试和校园实践</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为增加数量而申请缺乏创新基础的专利</w:t>
            </w:r>
          </w:p>
        </w:tc>
      </w:tr>
    </w:tbl>
    <w:p>
      <w:pPr>
        <w:spacing w:after="40"/>
      </w:pPr>
    </w:p>
    <w:p>
      <w:pPr>
        <w:spacing w:before="100" w:after="180" w:line="300" w:lineRule="auto"/>
        <w:ind w:left="198" w:right="142"/>
        <w:shd w:fill="F2F2F2" w:val="clear"/>
        <w:pBdr>
          <w:left w:val="single" w:sz="20" w:space="8" w:color="A5781E"/>
        </w:pBdr>
      </w:pPr>
      <w:r>
        <w:rPr>
          <w:rFonts w:ascii="Microsoft YaHei" w:hAnsi="Microsoft YaHei" w:eastAsia="微软雅黑"/>
          <w:b/>
          <w:color w:val="6F5016"/>
          <w:sz w:val="21"/>
        </w:rPr>
        <w:t>范围控制规则｜</w:t>
      </w:r>
      <w:r>
        <w:rPr>
          <w:rFonts w:ascii="Microsoft YaHei" w:hAnsi="Microsoft YaHei" w:eastAsia="微软雅黑"/>
          <w:color w:val="332B22"/>
          <w:sz w:val="21"/>
        </w:rPr>
        <w:t>新增功能必须说明其对核心目标、评价指标和申报成果的直接贡献，否则不进入首期交付范围。</w:t>
      </w:r>
    </w:p>
    <w:p>
      <w:pPr>
        <w:pStyle w:val="Heading2"/>
        <w:keepNext/>
      </w:pPr>
      <w:r>
        <w:rPr>
          <w:rFonts w:ascii="Microsoft YaHei" w:hAnsi="Microsoft YaHei" w:eastAsia="微软雅黑"/>
          <w:b/>
          <w:color w:val="6F5016"/>
          <w:sz w:val="27"/>
        </w:rPr>
        <w:t>4.2 预期成果包</w:t>
      </w:r>
    </w:p>
    <w:tbl>
      <w:tblPr>
        <w:tblStyle w:val="TableGrid"/>
        <w:tblW w:type="dxa" w:w="9292"/>
        <w:jc w:val="left"/>
        <w:tblLayout w:type="fixed"/>
        <w:tblLook w:firstColumn="1" w:firstRow="1" w:lastColumn="0" w:lastRow="0" w:noHBand="0" w:noVBand="1" w:val="04A0"/>
        <w:tblInd w:type="dxa" w:w="120"/>
      </w:tblPr>
      <w:tblGrid>
        <w:gridCol w:w="1704"/>
        <w:gridCol w:w="5420"/>
        <w:gridCol w:w="2168"/>
      </w:tblGrid>
      <w:tr>
        <w:trPr>
          <w:tblHeader w:val="true"/>
          <w:cantSplit/>
        </w:trPr>
        <w:tc>
          <w:tcPr>
            <w:tcW w:type="dxa" w:w="1704"/>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类别</w:t>
            </w:r>
          </w:p>
        </w:tc>
        <w:tc>
          <w:tcPr>
            <w:tcW w:type="dxa" w:w="5420"/>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核心交付</w:t>
            </w:r>
          </w:p>
        </w:tc>
        <w:tc>
          <w:tcPr>
            <w:tcW w:type="dxa" w:w="2168"/>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目标规模</w:t>
            </w:r>
          </w:p>
        </w:tc>
      </w:tr>
      <w:tr>
        <w:trPr>
          <w:cantSplit/>
        </w:trPr>
        <w:tc>
          <w:tcPr>
            <w:tcW w:type="dxa" w:w="170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产品技术</w:t>
            </w:r>
          </w:p>
        </w:tc>
        <w:tc>
          <w:tcPr>
            <w:tcW w:type="dxa" w:w="542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微信小程序、3D互动、可选AR、数字档案功能及技术文档</w:t>
            </w:r>
          </w:p>
        </w:tc>
        <w:tc>
          <w:tcPr>
            <w:tcW w:type="dxa" w:w="216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1套完整可运行成果</w:t>
            </w:r>
          </w:p>
        </w:tc>
      </w:tr>
      <w:tr>
        <w:trPr>
          <w:cantSplit/>
        </w:trPr>
        <w:tc>
          <w:tcPr>
            <w:tcW w:type="dxa" w:w="1704"/>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知识产权</w:t>
            </w:r>
          </w:p>
        </w:tc>
        <w:tc>
          <w:tcPr>
            <w:tcW w:type="dxa" w:w="5420"/>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软件著作权；专利按真实创新条件启动</w:t>
            </w:r>
          </w:p>
        </w:tc>
        <w:tc>
          <w:tcPr>
            <w:tcW w:type="dxa" w:w="2168"/>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软著1项，专利为加分项</w:t>
            </w:r>
          </w:p>
        </w:tc>
      </w:tr>
      <w:tr>
        <w:trPr>
          <w:cantSplit/>
        </w:trPr>
        <w:tc>
          <w:tcPr>
            <w:tcW w:type="dxa" w:w="170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内容传播</w:t>
            </w:r>
          </w:p>
        </w:tc>
        <w:tc>
          <w:tcPr>
            <w:tcW w:type="dxa" w:w="542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规范化数字档案、口述与工艺影像专题、系列短视频</w:t>
            </w:r>
          </w:p>
        </w:tc>
        <w:tc>
          <w:tcPr>
            <w:tcW w:type="dxa" w:w="216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视频8—12期</w:t>
            </w:r>
          </w:p>
        </w:tc>
      </w:tr>
      <w:tr>
        <w:trPr>
          <w:cantSplit/>
        </w:trPr>
        <w:tc>
          <w:tcPr>
            <w:tcW w:type="dxa" w:w="1704"/>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研究评价</w:t>
            </w:r>
          </w:p>
        </w:tc>
        <w:tc>
          <w:tcPr>
            <w:tcW w:type="dxa" w:w="5420"/>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调研报告、论文初稿或投稿成果、问卷与前后测</w:t>
            </w:r>
          </w:p>
        </w:tc>
        <w:tc>
          <w:tcPr>
            <w:tcW w:type="dxa" w:w="2168"/>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问卷300+，前后测100+</w:t>
            </w:r>
          </w:p>
        </w:tc>
      </w:tr>
      <w:tr>
        <w:trPr>
          <w:cantSplit/>
        </w:trPr>
        <w:tc>
          <w:tcPr>
            <w:tcW w:type="dxa" w:w="1704"/>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实践影响</w:t>
            </w:r>
          </w:p>
        </w:tc>
        <w:tc>
          <w:tcPr>
            <w:tcW w:type="dxa" w:w="542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校园活动、真实用户、合作证明、数据和社会影响材料</w:t>
            </w:r>
          </w:p>
        </w:tc>
        <w:tc>
          <w:tcPr>
            <w:tcW w:type="dxa" w:w="2168"/>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活动3场，用户800+</w:t>
            </w:r>
          </w:p>
        </w:tc>
      </w:tr>
    </w:tbl>
    <w:p>
      <w:pPr>
        <w:spacing w:after="40"/>
      </w:pPr>
    </w:p>
    <w:p>
      <w:pPr>
        <w:pStyle w:val="Heading1"/>
        <w:keepNext/>
      </w:pPr>
      <w:r>
        <w:rPr>
          <w:rFonts w:ascii="Microsoft YaHei" w:hAnsi="Microsoft YaHei" w:eastAsia="微软雅黑"/>
          <w:b/>
          <w:color w:val="332B22"/>
          <w:sz w:val="34"/>
        </w:rPr>
        <w:t>5. 效果评价与证据链</w:t>
      </w:r>
    </w:p>
    <w:p>
      <w:pPr>
        <w:spacing w:after="120" w:line="300" w:lineRule="auto"/>
      </w:pPr>
      <w:r>
        <w:rPr>
          <w:rFonts w:ascii="Microsoft YaHei" w:hAnsi="Microsoft YaHei" w:eastAsia="微软雅黑"/>
          <w:b/>
          <w:color w:val="6F5016"/>
          <w:sz w:val="21"/>
        </w:rPr>
        <w:t>触达｜</w:t>
      </w:r>
      <w:r>
        <w:rPr>
          <w:rFonts w:ascii="Microsoft YaHei" w:hAnsi="Microsoft YaHei" w:eastAsia="微软雅黑"/>
          <w:color w:val="332B22"/>
          <w:sz w:val="21"/>
        </w:rPr>
        <w:t>真实用户不少于800人；校园体验或推广活动不少于3场。</w:t>
      </w:r>
    </w:p>
    <w:p>
      <w:pPr>
        <w:spacing w:after="120" w:line="300" w:lineRule="auto"/>
      </w:pPr>
      <w:r>
        <w:rPr>
          <w:rFonts w:ascii="Microsoft YaHei" w:hAnsi="Microsoft YaHei" w:eastAsia="微软雅黑"/>
          <w:b/>
          <w:color w:val="6F5016"/>
          <w:sz w:val="21"/>
        </w:rPr>
        <w:t>体验｜</w:t>
      </w:r>
      <w:r>
        <w:rPr>
          <w:rFonts w:ascii="Microsoft YaHei" w:hAnsi="Microsoft YaHei" w:eastAsia="微软雅黑"/>
          <w:color w:val="332B22"/>
          <w:sz w:val="21"/>
        </w:rPr>
        <w:t>进入核心体验后的完成率目标不低于60%；体验后继续查看故事或数字档案的比例目标不低于25%。</w:t>
      </w:r>
    </w:p>
    <w:p>
      <w:pPr>
        <w:spacing w:after="120" w:line="300" w:lineRule="auto"/>
      </w:pPr>
      <w:r>
        <w:rPr>
          <w:rFonts w:ascii="Microsoft YaHei" w:hAnsi="Microsoft YaHei" w:eastAsia="微软雅黑"/>
          <w:b/>
          <w:color w:val="6F5016"/>
          <w:sz w:val="21"/>
        </w:rPr>
        <w:t>认知｜</w:t>
      </w:r>
      <w:r>
        <w:rPr>
          <w:rFonts w:ascii="Microsoft YaHei" w:hAnsi="Microsoft YaHei" w:eastAsia="微软雅黑"/>
          <w:color w:val="332B22"/>
          <w:sz w:val="21"/>
        </w:rPr>
        <w:t>不少于100名用户完成体验前后测；金箔相关知识得分平均提升目标为20%以上。</w:t>
      </w:r>
    </w:p>
    <w:p>
      <w:pPr>
        <w:spacing w:after="120" w:line="300" w:lineRule="auto"/>
      </w:pPr>
      <w:r>
        <w:rPr>
          <w:rFonts w:ascii="Microsoft YaHei" w:hAnsi="Microsoft YaHei" w:eastAsia="微软雅黑"/>
          <w:b/>
          <w:color w:val="6F5016"/>
          <w:sz w:val="21"/>
        </w:rPr>
        <w:t>意愿｜</w:t>
      </w:r>
      <w:r>
        <w:rPr>
          <w:rFonts w:ascii="Microsoft YaHei" w:hAnsi="Microsoft YaHei" w:eastAsia="微软雅黑"/>
          <w:color w:val="332B22"/>
          <w:sz w:val="21"/>
        </w:rPr>
        <w:t>比较体验前后用户继续了解、关注、分享或参加线下活动的意愿变化，并结合访谈解释原因。</w:t>
      </w:r>
    </w:p>
    <w:p>
      <w:pPr>
        <w:spacing w:after="120" w:line="300" w:lineRule="auto"/>
      </w:pPr>
      <w:r>
        <w:rPr>
          <w:rFonts w:ascii="Microsoft YaHei" w:hAnsi="Microsoft YaHei" w:eastAsia="微软雅黑"/>
          <w:b/>
          <w:color w:val="6F5016"/>
          <w:sz w:val="21"/>
        </w:rPr>
        <w:t>成果｜</w:t>
      </w:r>
      <w:r>
        <w:rPr>
          <w:rFonts w:ascii="Microsoft YaHei" w:hAnsi="Microsoft YaHei" w:eastAsia="微软雅黑"/>
          <w:color w:val="332B22"/>
          <w:sz w:val="21"/>
        </w:rPr>
        <w:t>按计划完成小程序、数字档案、系列视频、软件著作权、调研报告、论文初稿和项目证据包。</w:t>
      </w:r>
    </w:p>
    <w:p>
      <w:pPr>
        <w:spacing w:before="100" w:after="180" w:line="300" w:lineRule="auto"/>
        <w:ind w:left="198" w:right="142"/>
        <w:shd w:fill="FBF8F1" w:val="clear"/>
        <w:pBdr>
          <w:left w:val="single" w:sz="20" w:space="8" w:color="A5781E"/>
        </w:pBdr>
      </w:pPr>
      <w:r>
        <w:rPr>
          <w:rFonts w:ascii="Microsoft YaHei" w:hAnsi="Microsoft YaHei" w:eastAsia="微软雅黑"/>
          <w:b/>
          <w:color w:val="6F5016"/>
          <w:sz w:val="21"/>
        </w:rPr>
        <w:t>数据原则｜</w:t>
      </w:r>
      <w:r>
        <w:rPr>
          <w:rFonts w:ascii="Microsoft YaHei" w:hAnsi="Microsoft YaHei" w:eastAsia="微软雅黑"/>
          <w:color w:val="332B22"/>
          <w:sz w:val="21"/>
        </w:rPr>
        <w:t>以上均为待验证的目标值，不作为已经取得的成绩表述。申报前30—50人的小范围测试用于校准目标，不为满足指标而筛选或修改数据。</w:t>
      </w:r>
    </w:p>
    <w:p>
      <w:pPr>
        <w:pStyle w:val="Heading1"/>
        <w:keepNext/>
      </w:pPr>
      <w:r>
        <w:rPr>
          <w:rFonts w:ascii="Microsoft YaHei" w:hAnsi="Microsoft YaHei" w:eastAsia="微软雅黑"/>
          <w:b/>
          <w:color w:val="332B22"/>
          <w:sz w:val="34"/>
        </w:rPr>
        <w:t>6. 四岗位团队与协作</w:t>
      </w:r>
    </w:p>
    <w:tbl>
      <w:tblPr>
        <w:tblStyle w:val="TableGrid"/>
        <w:tblW w:type="dxa" w:w="9292"/>
        <w:jc w:val="left"/>
        <w:tblLayout w:type="fixed"/>
        <w:tblLook w:firstColumn="1" w:firstRow="1" w:lastColumn="0" w:lastRow="0" w:noHBand="0" w:noVBand="1" w:val="04A0"/>
        <w:tblInd w:type="dxa" w:w="120"/>
      </w:tblPr>
      <w:tblGrid>
        <w:gridCol w:w="1626"/>
        <w:gridCol w:w="2710"/>
        <w:gridCol w:w="2710"/>
        <w:gridCol w:w="2246"/>
      </w:tblGrid>
      <w:tr>
        <w:trPr>
          <w:tblHeader w:val="true"/>
          <w:cantSplit/>
        </w:trPr>
        <w:tc>
          <w:tcPr>
            <w:tcW w:type="dxa" w:w="162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岗位</w:t>
            </w:r>
          </w:p>
        </w:tc>
        <w:tc>
          <w:tcPr>
            <w:tcW w:type="dxa" w:w="2710"/>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主责内容</w:t>
            </w:r>
          </w:p>
        </w:tc>
        <w:tc>
          <w:tcPr>
            <w:tcW w:type="dxa" w:w="2710"/>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核心交付</w:t>
            </w:r>
          </w:p>
        </w:tc>
        <w:tc>
          <w:tcPr>
            <w:tcW w:type="dxa" w:w="224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固定协作</w:t>
            </w:r>
          </w:p>
        </w:tc>
      </w:tr>
      <w:tr>
        <w:trPr>
          <w:cantSplit/>
        </w:trPr>
        <w:tc>
          <w:tcPr>
            <w:tcW w:type="dxa" w:w="162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1 产品与前端</w:t>
            </w:r>
          </w:p>
        </w:tc>
        <w:tc>
          <w:tcPr>
            <w:tcW w:type="dxa" w:w="271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用户流程、原型、小程序前端、体验优化</w:t>
            </w:r>
          </w:p>
        </w:tc>
        <w:tc>
          <w:tcPr>
            <w:tcW w:type="dxa" w:w="271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PRD、页面原型、前端功能、使用说明</w:t>
            </w:r>
          </w:p>
        </w:tc>
        <w:tc>
          <w:tcPr>
            <w:tcW w:type="dxa" w:w="22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与岗位2共同开发；与岗位3完成内容上架</w:t>
            </w:r>
          </w:p>
        </w:tc>
      </w:tr>
      <w:tr>
        <w:trPr>
          <w:cantSplit/>
        </w:trPr>
        <w:tc>
          <w:tcPr>
            <w:tcW w:type="dxa" w:w="162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2 3D与技术</w:t>
            </w:r>
          </w:p>
        </w:tc>
        <w:tc>
          <w:tcPr>
            <w:tcW w:type="dxa" w:w="2710"/>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架构、3D接入、互动逻辑、AR、数据与部署</w:t>
            </w:r>
          </w:p>
        </w:tc>
        <w:tc>
          <w:tcPr>
            <w:tcW w:type="dxa" w:w="2710"/>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3D互动、AR场景、接口、技术与兼容文档</w:t>
            </w:r>
          </w:p>
        </w:tc>
        <w:tc>
          <w:tcPr>
            <w:tcW w:type="dxa" w:w="22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与岗位1维护代码；与岗位4设计埋点</w:t>
            </w:r>
          </w:p>
        </w:tc>
      </w:tr>
      <w:tr>
        <w:trPr>
          <w:cantSplit/>
        </w:trPr>
        <w:tc>
          <w:tcPr>
            <w:tcW w:type="dxa" w:w="162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3 内容与档案</w:t>
            </w:r>
          </w:p>
        </w:tc>
        <w:tc>
          <w:tcPr>
            <w:tcW w:type="dxa" w:w="271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合作对接、采访拍摄、资料整理、元数据和视频</w:t>
            </w:r>
          </w:p>
        </w:tc>
        <w:tc>
          <w:tcPr>
            <w:tcW w:type="dxa" w:w="2710"/>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内容手册、数字档案、8—12期视频、授权记录</w:t>
            </w:r>
          </w:p>
        </w:tc>
        <w:tc>
          <w:tcPr>
            <w:tcW w:type="dxa" w:w="22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与岗位1上架内容；与岗位4开展访谈活动</w:t>
            </w:r>
          </w:p>
        </w:tc>
      </w:tr>
      <w:tr>
        <w:trPr>
          <w:cantSplit/>
        </w:trPr>
        <w:tc>
          <w:tcPr>
            <w:tcW w:type="dxa" w:w="162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4 调研与实践</w:t>
            </w:r>
          </w:p>
        </w:tc>
        <w:tc>
          <w:tcPr>
            <w:tcW w:type="dxa" w:w="2710"/>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问卷、测试、活动、传播、数据分析和证据归档</w:t>
            </w:r>
          </w:p>
        </w:tc>
        <w:tc>
          <w:tcPr>
            <w:tcW w:type="dxa" w:w="2710"/>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调研方案、300份问卷、活动材料、效果报告</w:t>
            </w:r>
          </w:p>
        </w:tc>
        <w:tc>
          <w:tcPr>
            <w:tcW w:type="dxa" w:w="22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与岗位2统计数据；与岗位3开展校园实践</w:t>
            </w:r>
          </w:p>
        </w:tc>
      </w:tr>
    </w:tbl>
    <w:p>
      <w:pPr>
        <w:spacing w:after="40"/>
      </w:pPr>
    </w:p>
    <w:p>
      <w:pPr>
        <w:pStyle w:val="Heading2"/>
        <w:keepNext/>
      </w:pPr>
      <w:r>
        <w:rPr>
          <w:rFonts w:ascii="Microsoft YaHei" w:hAnsi="Microsoft YaHei" w:eastAsia="微软雅黑"/>
          <w:b/>
          <w:color w:val="6F5016"/>
          <w:sz w:val="27"/>
        </w:rPr>
        <w:t>6.1 协作规则</w:t>
      </w:r>
    </w:p>
    <w:p>
      <w:pPr>
        <w:numPr>
          <w:ilvl w:val="0"/>
          <w:numId w:val="12"/>
        </w:numPr>
        <w:spacing w:after="80" w:line="300" w:lineRule="auto"/>
      </w:pPr>
      <w:r>
        <w:rPr>
          <w:rFonts w:ascii="Microsoft YaHei" w:hAnsi="Microsoft YaHei" w:eastAsia="微软雅黑"/>
          <w:color w:val="332B22"/>
          <w:sz w:val="21"/>
        </w:rPr>
        <w:t>岗位1和岗位2共同开发，但分别主责用户可见部分与3D、数据和运行部分。</w:t>
      </w:r>
    </w:p>
    <w:p>
      <w:pPr>
        <w:numPr>
          <w:ilvl w:val="0"/>
          <w:numId w:val="12"/>
        </w:numPr>
        <w:spacing w:after="80" w:line="300" w:lineRule="auto"/>
      </w:pPr>
      <w:r>
        <w:rPr>
          <w:rFonts w:ascii="Microsoft YaHei" w:hAnsi="Microsoft YaHei" w:eastAsia="微软雅黑"/>
          <w:color w:val="332B22"/>
          <w:sz w:val="21"/>
        </w:rPr>
        <w:t>岗位3提供经过整理和审核的内容，岗位1负责产品化呈现，避免开发人员临时改写文化内容。</w:t>
      </w:r>
    </w:p>
    <w:p>
      <w:pPr>
        <w:numPr>
          <w:ilvl w:val="0"/>
          <w:numId w:val="12"/>
        </w:numPr>
        <w:spacing w:after="80" w:line="300" w:lineRule="auto"/>
      </w:pPr>
      <w:r>
        <w:rPr>
          <w:rFonts w:ascii="Microsoft YaHei" w:hAnsi="Microsoft YaHei" w:eastAsia="微软雅黑"/>
          <w:color w:val="332B22"/>
          <w:sz w:val="21"/>
        </w:rPr>
        <w:t>岗位4先定义评价指标，岗位2再实施数据埋点，避免产品完成后才补统计。</w:t>
      </w:r>
    </w:p>
    <w:p>
      <w:pPr>
        <w:numPr>
          <w:ilvl w:val="0"/>
          <w:numId w:val="12"/>
        </w:numPr>
        <w:spacing w:after="80" w:line="300" w:lineRule="auto"/>
      </w:pPr>
      <w:r>
        <w:rPr>
          <w:rFonts w:ascii="Microsoft YaHei" w:hAnsi="Microsoft YaHei" w:eastAsia="微软雅黑"/>
          <w:color w:val="332B22"/>
          <w:sz w:val="21"/>
        </w:rPr>
        <w:t>全体成员参加关键访谈、阶段评审、用户测试和大型活动。</w:t>
      </w:r>
    </w:p>
    <w:p>
      <w:pPr>
        <w:numPr>
          <w:ilvl w:val="0"/>
          <w:numId w:val="12"/>
        </w:numPr>
        <w:spacing w:after="80" w:line="300" w:lineRule="auto"/>
      </w:pPr>
      <w:r>
        <w:rPr>
          <w:rFonts w:ascii="Microsoft YaHei" w:hAnsi="Microsoft YaHei" w:eastAsia="微软雅黑"/>
          <w:color w:val="332B22"/>
          <w:sz w:val="21"/>
        </w:rPr>
        <w:t>主责岗位意味着对交付结果负责，不意味着成员只能完成该岗位工作。</w:t>
      </w:r>
    </w:p>
    <w:p>
      <w:pPr>
        <w:pStyle w:val="Heading2"/>
        <w:keepNext/>
      </w:pPr>
      <w:r>
        <w:rPr>
          <w:rFonts w:ascii="Microsoft YaHei" w:hAnsi="Microsoft YaHei" w:eastAsia="微软雅黑"/>
          <w:b/>
          <w:color w:val="6F5016"/>
          <w:sz w:val="27"/>
        </w:rPr>
        <w:t>6.2 学生选岗方式</w:t>
      </w:r>
    </w:p>
    <w:p>
      <w:pPr>
        <w:numPr>
          <w:ilvl w:val="0"/>
          <w:numId w:val="13"/>
        </w:numPr>
        <w:spacing w:after="80" w:line="300" w:lineRule="auto"/>
      </w:pPr>
      <w:r>
        <w:rPr>
          <w:rFonts w:ascii="Microsoft YaHei" w:hAnsi="Microsoft YaHei" w:eastAsia="微软雅黑"/>
          <w:color w:val="332B22"/>
          <w:sz w:val="21"/>
        </w:rPr>
        <w:t>每名学生填写第一志愿和第二志愿。</w:t>
      </w:r>
    </w:p>
    <w:p>
      <w:pPr>
        <w:numPr>
          <w:ilvl w:val="0"/>
          <w:numId w:val="13"/>
        </w:numPr>
        <w:spacing w:after="80" w:line="300" w:lineRule="auto"/>
      </w:pPr>
      <w:r>
        <w:rPr>
          <w:rFonts w:ascii="Microsoft YaHei" w:hAnsi="Microsoft YaHei" w:eastAsia="微软雅黑"/>
          <w:color w:val="332B22"/>
          <w:sz w:val="21"/>
        </w:rPr>
        <w:t>每个岗位安排一个2—3小时的小型试做任务。</w:t>
      </w:r>
    </w:p>
    <w:p>
      <w:pPr>
        <w:numPr>
          <w:ilvl w:val="0"/>
          <w:numId w:val="13"/>
        </w:numPr>
        <w:spacing w:after="80" w:line="300" w:lineRule="auto"/>
      </w:pPr>
      <w:r>
        <w:rPr>
          <w:rFonts w:ascii="Microsoft YaHei" w:hAnsi="Microsoft YaHei" w:eastAsia="微软雅黑"/>
          <w:color w:val="332B22"/>
          <w:sz w:val="21"/>
        </w:rPr>
        <w:t>结合兴趣、试做结果和团队组合确定最终岗位，并设置交接备份人。</w:t>
      </w:r>
    </w:p>
    <w:p>
      <w:pPr>
        <w:pStyle w:val="Heading1"/>
        <w:keepNext/>
      </w:pPr>
      <w:r>
        <w:rPr>
          <w:rFonts w:ascii="Microsoft YaHei" w:hAnsi="Microsoft YaHei" w:eastAsia="微软雅黑"/>
          <w:b/>
          <w:color w:val="332B22"/>
          <w:sz w:val="34"/>
        </w:rPr>
        <w:t>7. 双阶段实施计划</w:t>
      </w:r>
    </w:p>
    <w:p>
      <w:pPr>
        <w:pStyle w:val="Heading2"/>
        <w:keepNext/>
      </w:pPr>
      <w:r>
        <w:rPr>
          <w:rFonts w:ascii="Microsoft YaHei" w:hAnsi="Microsoft YaHei" w:eastAsia="微软雅黑"/>
          <w:b/>
          <w:color w:val="6F5016"/>
          <w:sz w:val="27"/>
        </w:rPr>
        <w:t>7.1 申报前准备期：倒排8周</w:t>
      </w:r>
    </w:p>
    <w:tbl>
      <w:tblPr>
        <w:tblStyle w:val="TableGrid"/>
        <w:tblW w:type="dxa" w:w="9292"/>
        <w:jc w:val="left"/>
        <w:tblLayout w:type="fixed"/>
        <w:tblLook w:firstColumn="1" w:firstRow="1" w:lastColumn="0" w:lastRow="0" w:noHBand="0" w:noVBand="1" w:val="04A0"/>
        <w:tblInd w:type="dxa" w:w="120"/>
      </w:tblPr>
      <w:tblGrid>
        <w:gridCol w:w="1549"/>
        <w:gridCol w:w="4646"/>
        <w:gridCol w:w="3097"/>
      </w:tblGrid>
      <w:tr>
        <w:trPr>
          <w:tblHeader w:val="true"/>
          <w:cantSplit/>
        </w:trPr>
        <w:tc>
          <w:tcPr>
            <w:tcW w:type="dxa" w:w="1549"/>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时间</w:t>
            </w:r>
          </w:p>
        </w:tc>
        <w:tc>
          <w:tcPr>
            <w:tcW w:type="dxa" w:w="464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重点任务</w:t>
            </w:r>
          </w:p>
        </w:tc>
        <w:tc>
          <w:tcPr>
            <w:tcW w:type="dxa" w:w="3097"/>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阶段交付</w:t>
            </w:r>
          </w:p>
        </w:tc>
      </w:tr>
      <w:tr>
        <w:trPr>
          <w:cantSplit/>
        </w:trPr>
        <w:tc>
          <w:tcPr>
            <w:tcW w:type="dxa" w:w="1549"/>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第1—2周</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核实非遗背景、首次访谈、合作意向和素材授权</w:t>
            </w:r>
          </w:p>
        </w:tc>
        <w:tc>
          <w:tcPr>
            <w:tcW w:type="dxa" w:w="3097"/>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身份依据、访谈纪要、合作与授权文件</w:t>
            </w:r>
          </w:p>
        </w:tc>
      </w:tr>
      <w:tr>
        <w:trPr>
          <w:cantSplit/>
        </w:trPr>
        <w:tc>
          <w:tcPr>
            <w:tcW w:type="dxa" w:w="1549"/>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第3—4周</w:t>
            </w:r>
          </w:p>
        </w:tc>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完成项目简报、PRD、内容手册和技术验证</w:t>
            </w:r>
          </w:p>
        </w:tc>
        <w:tc>
          <w:tcPr>
            <w:tcW w:type="dxa" w:w="3097"/>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三份工作文件、技术可行性结论</w:t>
            </w:r>
          </w:p>
        </w:tc>
      </w:tr>
      <w:tr>
        <w:trPr>
          <w:cantSplit/>
        </w:trPr>
        <w:tc>
          <w:tcPr>
            <w:tcW w:type="dxa" w:w="1549"/>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第5—6周</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制作交互原型、1个3D演示和2期样片</w:t>
            </w:r>
          </w:p>
        </w:tc>
        <w:tc>
          <w:tcPr>
            <w:tcW w:type="dxa" w:w="3097"/>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可演示原型、3D样例、视频样片</w:t>
            </w:r>
          </w:p>
        </w:tc>
      </w:tr>
      <w:tr>
        <w:trPr>
          <w:cantSplit/>
        </w:trPr>
        <w:tc>
          <w:tcPr>
            <w:tcW w:type="dxa" w:w="1549"/>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第7周</w:t>
            </w:r>
          </w:p>
        </w:tc>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组织30—50名高校学生小范围测试</w:t>
            </w:r>
          </w:p>
        </w:tc>
        <w:tc>
          <w:tcPr>
            <w:tcW w:type="dxa" w:w="3097"/>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测试数据、问题清单、用户反馈</w:t>
            </w:r>
          </w:p>
        </w:tc>
      </w:tr>
      <w:tr>
        <w:trPr>
          <w:cantSplit/>
        </w:trPr>
        <w:tc>
          <w:tcPr>
            <w:tcW w:type="dxa" w:w="1549"/>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第8周</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迭代并整理申报支撑材料</w:t>
            </w:r>
          </w:p>
        </w:tc>
        <w:tc>
          <w:tcPr>
            <w:tcW w:type="dxa" w:w="3097"/>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合作证明、截图、数据和申报证据包</w:t>
            </w:r>
          </w:p>
        </w:tc>
      </w:tr>
    </w:tbl>
    <w:p>
      <w:pPr>
        <w:spacing w:after="40"/>
      </w:pPr>
    </w:p>
    <w:p>
      <w:pPr>
        <w:spacing w:before="100" w:after="180" w:line="300" w:lineRule="auto"/>
        <w:ind w:left="198" w:right="142"/>
        <w:shd w:fill="FBF8F1" w:val="clear"/>
        <w:pBdr>
          <w:left w:val="single" w:sz="20" w:space="8" w:color="A5781E"/>
        </w:pBdr>
      </w:pPr>
      <w:r>
        <w:rPr>
          <w:rFonts w:ascii="Microsoft YaHei" w:hAnsi="Microsoft YaHei" w:eastAsia="微软雅黑"/>
          <w:b/>
          <w:color w:val="6F5016"/>
          <w:sz w:val="21"/>
        </w:rPr>
        <w:t>申报最低基础｜</w:t>
      </w:r>
      <w:r>
        <w:rPr>
          <w:rFonts w:ascii="Microsoft YaHei" w:hAnsi="Microsoft YaHei" w:eastAsia="微软雅黑"/>
          <w:color w:val="332B22"/>
          <w:sz w:val="21"/>
        </w:rPr>
        <w:t>真实合作对象＋明确需求＋可演示原型＋样片内容＋首轮用户数据。</w:t>
      </w:r>
    </w:p>
    <w:p>
      <w:pPr>
        <w:pStyle w:val="Heading2"/>
        <w:keepNext/>
      </w:pPr>
      <w:r>
        <w:rPr>
          <w:rFonts w:ascii="Microsoft YaHei" w:hAnsi="Microsoft YaHei" w:eastAsia="微软雅黑"/>
          <w:b/>
          <w:color w:val="6F5016"/>
          <w:sz w:val="27"/>
        </w:rPr>
        <w:t>7.2 立项实施期：12—18个月</w:t>
      </w:r>
    </w:p>
    <w:tbl>
      <w:tblPr>
        <w:tblStyle w:val="TableGrid"/>
        <w:tblW w:type="dxa" w:w="9292"/>
        <w:jc w:val="left"/>
        <w:tblLayout w:type="fixed"/>
        <w:tblLook w:firstColumn="1" w:firstRow="1" w:lastColumn="0" w:lastRow="0" w:noHBand="0" w:noVBand="1" w:val="04A0"/>
        <w:tblInd w:type="dxa" w:w="120"/>
      </w:tblPr>
      <w:tblGrid>
        <w:gridCol w:w="1549"/>
        <w:gridCol w:w="4646"/>
        <w:gridCol w:w="3097"/>
      </w:tblGrid>
      <w:tr>
        <w:trPr>
          <w:tblHeader w:val="true"/>
          <w:cantSplit/>
        </w:trPr>
        <w:tc>
          <w:tcPr>
            <w:tcW w:type="dxa" w:w="1549"/>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阶段</w:t>
            </w:r>
          </w:p>
        </w:tc>
        <w:tc>
          <w:tcPr>
            <w:tcW w:type="dxa" w:w="464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重点任务</w:t>
            </w:r>
          </w:p>
        </w:tc>
        <w:tc>
          <w:tcPr>
            <w:tcW w:type="dxa" w:w="3097"/>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主要成果</w:t>
            </w:r>
          </w:p>
        </w:tc>
      </w:tr>
      <w:tr>
        <w:trPr>
          <w:cantSplit/>
        </w:trPr>
        <w:tc>
          <w:tcPr>
            <w:tcW w:type="dxa" w:w="1549"/>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第1—3月</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正式资料采集与小程序V1.0</w:t>
            </w:r>
          </w:p>
        </w:tc>
        <w:tc>
          <w:tcPr>
            <w:tcW w:type="dxa" w:w="3097"/>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素材库、访谈资料、产品V1.0</w:t>
            </w:r>
          </w:p>
        </w:tc>
      </w:tr>
      <w:tr>
        <w:trPr>
          <w:cantSplit/>
        </w:trPr>
        <w:tc>
          <w:tcPr>
            <w:tcW w:type="dxa" w:w="1549"/>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第4—6月</w:t>
            </w:r>
          </w:p>
        </w:tc>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完成3D互动、数字档案与软著申请</w:t>
            </w:r>
          </w:p>
        </w:tc>
        <w:tc>
          <w:tcPr>
            <w:tcW w:type="dxa" w:w="3097"/>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核心体验、档案系统、软著材料</w:t>
            </w:r>
          </w:p>
        </w:tc>
      </w:tr>
      <w:tr>
        <w:trPr>
          <w:cantSplit/>
        </w:trPr>
        <w:tc>
          <w:tcPr>
            <w:tcW w:type="dxa" w:w="1549"/>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第7—10月</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校园活动、短视频传播和规模化测试</w:t>
            </w:r>
          </w:p>
        </w:tc>
        <w:tc>
          <w:tcPr>
            <w:tcW w:type="dxa" w:w="3097"/>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活动证据、传播数据、用户样本</w:t>
            </w:r>
          </w:p>
        </w:tc>
      </w:tr>
      <w:tr>
        <w:trPr>
          <w:cantSplit/>
        </w:trPr>
        <w:tc>
          <w:tcPr>
            <w:tcW w:type="dxa" w:w="1549"/>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第11—14月</w:t>
            </w:r>
          </w:p>
        </w:tc>
        <w:tc>
          <w:tcPr>
            <w:tcW w:type="dxa" w:w="464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数据驱动迭代、报告和论文整理</w:t>
            </w:r>
          </w:p>
        </w:tc>
        <w:tc>
          <w:tcPr>
            <w:tcW w:type="dxa" w:w="3097"/>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产品迭代、调研报告、论文初稿</w:t>
            </w:r>
          </w:p>
        </w:tc>
      </w:tr>
      <w:tr>
        <w:trPr>
          <w:cantSplit/>
        </w:trPr>
        <w:tc>
          <w:tcPr>
            <w:tcW w:type="dxa" w:w="1549"/>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8"/>
              </w:rPr>
              <w:t>第15—18月</w:t>
            </w:r>
          </w:p>
        </w:tc>
        <w:tc>
          <w:tcPr>
            <w:tcW w:type="dxa" w:w="464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成果整合与结项</w:t>
            </w:r>
          </w:p>
        </w:tc>
        <w:tc>
          <w:tcPr>
            <w:tcW w:type="dxa" w:w="3097"/>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8"/>
              </w:rPr>
              <w:t>知识产权、社会影响和结项证据包</w:t>
            </w:r>
          </w:p>
        </w:tc>
      </w:tr>
    </w:tbl>
    <w:p>
      <w:pPr>
        <w:spacing w:after="40"/>
      </w:pPr>
    </w:p>
    <w:p>
      <w:pPr>
        <w:pStyle w:val="Heading1"/>
        <w:keepNext/>
      </w:pPr>
      <w:r>
        <w:rPr>
          <w:rFonts w:ascii="Microsoft YaHei" w:hAnsi="Microsoft YaHei" w:eastAsia="微软雅黑"/>
          <w:b/>
          <w:color w:val="332B22"/>
          <w:sz w:val="34"/>
        </w:rPr>
        <w:t>8. 风险与治理要求</w:t>
      </w:r>
    </w:p>
    <w:tbl>
      <w:tblPr>
        <w:tblStyle w:val="TableGrid"/>
        <w:tblW w:type="dxa" w:w="9292"/>
        <w:jc w:val="left"/>
        <w:tblLayout w:type="fixed"/>
        <w:tblLook w:firstColumn="1" w:firstRow="1" w:lastColumn="0" w:lastRow="0" w:noHBand="0" w:noVBand="1" w:val="04A0"/>
        <w:tblInd w:type="dxa" w:w="120"/>
      </w:tblPr>
      <w:tblGrid>
        <w:gridCol w:w="1936"/>
        <w:gridCol w:w="5033"/>
        <w:gridCol w:w="2323"/>
      </w:tblGrid>
      <w:tr>
        <w:trPr>
          <w:tblHeader w:val="true"/>
          <w:cantSplit/>
        </w:trPr>
        <w:tc>
          <w:tcPr>
            <w:tcW w:type="dxa" w:w="1936"/>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风险</w:t>
            </w:r>
          </w:p>
        </w:tc>
        <w:tc>
          <w:tcPr>
            <w:tcW w:type="dxa" w:w="5033"/>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控制措施</w:t>
            </w:r>
          </w:p>
        </w:tc>
        <w:tc>
          <w:tcPr>
            <w:tcW w:type="dxa" w:w="2323"/>
            <w:vAlign w:val="center"/>
            <w:shd w:fill="6F5016"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keepNext/>
              <w:spacing w:before="0" w:after="0" w:line="276" w:lineRule="auto"/>
              <w:jc w:val="center"/>
            </w:pPr>
            <w:r/>
            <w:r>
              <w:rPr>
                <w:rFonts w:ascii="Microsoft YaHei" w:hAnsi="Microsoft YaHei" w:eastAsia="微软雅黑"/>
                <w:b/>
                <w:color w:val="FFFFFF"/>
                <w:sz w:val="18"/>
              </w:rPr>
              <w:t>必须保留的证据</w:t>
            </w:r>
          </w:p>
        </w:tc>
      </w:tr>
      <w:tr>
        <w:trPr>
          <w:cantSplit/>
        </w:trPr>
        <w:tc>
          <w:tcPr>
            <w:tcW w:type="dxa" w:w="193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身份与资料真实性</w:t>
            </w:r>
          </w:p>
        </w:tc>
        <w:tc>
          <w:tcPr>
            <w:tcW w:type="dxa" w:w="5033"/>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申报前核实项目正式名称、级别、名录和合作对象身份</w:t>
            </w:r>
          </w:p>
        </w:tc>
        <w:tc>
          <w:tcPr>
            <w:tcW w:type="dxa" w:w="2323"/>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官方名录依据、合作证明</w:t>
            </w:r>
          </w:p>
        </w:tc>
      </w:tr>
      <w:tr>
        <w:trPr>
          <w:cantSplit/>
        </w:trPr>
        <w:tc>
          <w:tcPr>
            <w:tcW w:type="dxa" w:w="193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文化表达失真</w:t>
            </w:r>
          </w:p>
        </w:tc>
        <w:tc>
          <w:tcPr>
            <w:tcW w:type="dxa" w:w="5033"/>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工艺、文字和3D模拟由传承人或专业老师审核；标注为简化体验</w:t>
            </w:r>
          </w:p>
        </w:tc>
        <w:tc>
          <w:tcPr>
            <w:tcW w:type="dxa" w:w="2323"/>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审核记录、版本记录</w:t>
            </w:r>
          </w:p>
        </w:tc>
      </w:tr>
      <w:tr>
        <w:trPr>
          <w:cantSplit/>
        </w:trPr>
        <w:tc>
          <w:tcPr>
            <w:tcW w:type="dxa" w:w="193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版权与肖像</w:t>
            </w:r>
          </w:p>
        </w:tc>
        <w:tc>
          <w:tcPr>
            <w:tcW w:type="dxa" w:w="5033"/>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采集前取得书面授权；建立音乐、字体、图片、模型和AI素材来源清单</w:t>
            </w:r>
          </w:p>
        </w:tc>
        <w:tc>
          <w:tcPr>
            <w:tcW w:type="dxa" w:w="2323"/>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授权书、许可与来源表</w:t>
            </w:r>
          </w:p>
        </w:tc>
      </w:tr>
      <w:tr>
        <w:trPr>
          <w:cantSplit/>
        </w:trPr>
        <w:tc>
          <w:tcPr>
            <w:tcW w:type="dxa" w:w="193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3D/AR技术</w:t>
            </w:r>
          </w:p>
        </w:tc>
        <w:tc>
          <w:tcPr>
            <w:tcW w:type="dxa" w:w="5033"/>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3D主线独立可用；AR失败时自动降级；开展真机兼容测试</w:t>
            </w:r>
          </w:p>
        </w:tc>
        <w:tc>
          <w:tcPr>
            <w:tcW w:type="dxa" w:w="2323"/>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兼容清单、测试记录</w:t>
            </w:r>
          </w:p>
        </w:tc>
      </w:tr>
      <w:tr>
        <w:trPr>
          <w:cantSplit/>
        </w:trPr>
        <w:tc>
          <w:tcPr>
            <w:tcW w:type="dxa" w:w="1936"/>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学生与进度</w:t>
            </w:r>
          </w:p>
        </w:tc>
        <w:tc>
          <w:tcPr>
            <w:tcW w:type="dxa" w:w="5033"/>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模块主责、周任务、阶段验收、代码备份和文档交接</w:t>
            </w:r>
          </w:p>
        </w:tc>
        <w:tc>
          <w:tcPr>
            <w:tcW w:type="dxa" w:w="2323"/>
            <w:vAlign w:val="cente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任务表、验收记录、仓库记录</w:t>
            </w:r>
          </w:p>
        </w:tc>
      </w:tr>
      <w:tr>
        <w:trPr>
          <w:cantSplit/>
        </w:trPr>
        <w:tc>
          <w:tcPr>
            <w:tcW w:type="dxa" w:w="1936"/>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center"/>
            </w:pPr>
            <w:r/>
            <w:r>
              <w:rPr>
                <w:rFonts w:ascii="Microsoft YaHei" w:hAnsi="Microsoft YaHei" w:eastAsia="微软雅黑"/>
                <w:b w:val="0"/>
                <w:color w:val="332B22"/>
                <w:sz w:val="17"/>
              </w:rPr>
              <w:t>调研与隐私</w:t>
            </w:r>
          </w:p>
        </w:tc>
        <w:tc>
          <w:tcPr>
            <w:tcW w:type="dxa" w:w="5033"/>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知情同意、匿名收集、最少必要信息、限制原始数据访问</w:t>
            </w:r>
          </w:p>
        </w:tc>
        <w:tc>
          <w:tcPr>
            <w:tcW w:type="dxa" w:w="2323"/>
            <w:vAlign w:val="center"/>
            <w:shd w:fill="FBF8F1" w:val="clear"/>
            <w:tcMar>
              <w:top w:w="105" w:type="dxa"/>
              <w:bottom w:w="105" w:type="dxa"/>
              <w:start w:w="120" w:type="dxa"/>
              <w:end w:w="120" w:type="dxa"/>
            </w:tcMar>
            <w:tcBorders>
              <w:top w:val="single" w:sz="5" w:color="D8CDB7"/>
              <w:left w:val="single" w:sz="5" w:color="D8CDB7"/>
              <w:bottom w:val="single" w:sz="5" w:color="D8CDB7"/>
              <w:right w:val="single" w:sz="5" w:color="D8CDB7"/>
              <w:insideH w:val="single" w:sz="5" w:color="D8CDB7"/>
              <w:insideV w:val="single" w:sz="5" w:color="D8CDB7"/>
            </w:tcBorders>
          </w:tcPr>
          <w:p>
            <w:pPr>
              <w:spacing w:before="0" w:after="0" w:line="276" w:lineRule="auto"/>
              <w:jc w:val="left"/>
            </w:pPr>
            <w:r/>
            <w:r>
              <w:rPr>
                <w:rFonts w:ascii="Microsoft YaHei" w:hAnsi="Microsoft YaHei" w:eastAsia="微软雅黑"/>
                <w:b w:val="0"/>
                <w:color w:val="332B22"/>
                <w:sz w:val="17"/>
              </w:rPr>
              <w:t>同意说明、匿名数据与权限记录</w:t>
            </w:r>
          </w:p>
        </w:tc>
      </w:tr>
    </w:tbl>
    <w:p>
      <w:pPr>
        <w:spacing w:after="40"/>
      </w:pPr>
    </w:p>
    <w:p>
      <w:pPr>
        <w:pStyle w:val="Heading1"/>
        <w:keepNext/>
      </w:pPr>
      <w:r>
        <w:rPr>
          <w:rFonts w:ascii="Microsoft YaHei" w:hAnsi="Microsoft YaHei" w:eastAsia="微软雅黑"/>
          <w:b/>
          <w:color w:val="332B22"/>
          <w:sz w:val="34"/>
        </w:rPr>
        <w:t>9. 申报前待核验事项与下一步</w:t>
      </w:r>
    </w:p>
    <w:p>
      <w:pPr>
        <w:spacing w:after="120" w:line="300" w:lineRule="auto"/>
      </w:pPr>
      <w:r>
        <w:rPr>
          <w:rFonts w:ascii="Microsoft YaHei" w:hAnsi="Microsoft YaHei" w:eastAsia="微软雅黑"/>
          <w:color w:val="332B22"/>
          <w:sz w:val="21"/>
        </w:rPr>
        <w:t>现阶段可继续进行项目设计，但以下事项必须在申报前准备期第1—2周核实。在完成核验前，对外统一使用“金箔类非遗项目及其传承人或专业合作对象”表述，不擅自填写认定级别和称号。</w:t>
      </w:r>
    </w:p>
    <w:p>
      <w:pPr>
        <w:numPr>
          <w:ilvl w:val="0"/>
          <w:numId w:val="14"/>
        </w:numPr>
        <w:spacing w:after="80" w:line="300" w:lineRule="auto"/>
      </w:pPr>
      <w:r>
        <w:rPr>
          <w:rFonts w:ascii="Microsoft YaHei" w:hAnsi="Microsoft YaHei" w:eastAsia="微软雅黑"/>
          <w:color w:val="332B22"/>
          <w:sz w:val="21"/>
        </w:rPr>
        <w:t>确认非遗项目正式名称、所在城市、保护单位、认定级别及官方名录来源。</w:t>
      </w:r>
    </w:p>
    <w:p>
      <w:pPr>
        <w:numPr>
          <w:ilvl w:val="0"/>
          <w:numId w:val="14"/>
        </w:numPr>
        <w:spacing w:after="80" w:line="300" w:lineRule="auto"/>
      </w:pPr>
      <w:r>
        <w:rPr>
          <w:rFonts w:ascii="Microsoft YaHei" w:hAnsi="Microsoft YaHei" w:eastAsia="微软雅黑"/>
          <w:color w:val="332B22"/>
          <w:sz w:val="21"/>
        </w:rPr>
        <w:t>确认传承人或合作老师姓名、身份及可公开介绍内容。</w:t>
      </w:r>
    </w:p>
    <w:p>
      <w:pPr>
        <w:numPr>
          <w:ilvl w:val="0"/>
          <w:numId w:val="14"/>
        </w:numPr>
        <w:spacing w:after="80" w:line="300" w:lineRule="auto"/>
      </w:pPr>
      <w:r>
        <w:rPr>
          <w:rFonts w:ascii="Microsoft YaHei" w:hAnsi="Microsoft YaHei" w:eastAsia="微软雅黑"/>
          <w:color w:val="332B22"/>
          <w:sz w:val="21"/>
        </w:rPr>
        <w:t>明确可数字化展示的代表性工艺、工具、作品和故事范围。</w:t>
      </w:r>
    </w:p>
    <w:p>
      <w:pPr>
        <w:numPr>
          <w:ilvl w:val="0"/>
          <w:numId w:val="14"/>
        </w:numPr>
        <w:spacing w:after="80" w:line="300" w:lineRule="auto"/>
      </w:pPr>
      <w:r>
        <w:rPr>
          <w:rFonts w:ascii="Microsoft YaHei" w:hAnsi="Microsoft YaHei" w:eastAsia="微软雅黑"/>
          <w:color w:val="332B22"/>
          <w:sz w:val="21"/>
        </w:rPr>
        <w:t>取得采访、拍摄、数字化展示及申报材料使用授权。</w:t>
      </w:r>
    </w:p>
    <w:p>
      <w:pPr>
        <w:numPr>
          <w:ilvl w:val="0"/>
          <w:numId w:val="14"/>
        </w:numPr>
        <w:spacing w:after="80" w:line="300" w:lineRule="auto"/>
      </w:pPr>
      <w:r>
        <w:rPr>
          <w:rFonts w:ascii="Microsoft YaHei" w:hAnsi="Microsoft YaHei" w:eastAsia="微软雅黑"/>
          <w:color w:val="332B22"/>
          <w:sz w:val="21"/>
        </w:rPr>
        <w:t>确认合作方可参与的访谈、专业审核、线下活动和答辩支持方式。</w:t>
      </w:r>
    </w:p>
    <w:p>
      <w:pPr>
        <w:pStyle w:val="Heading2"/>
        <w:keepNext/>
      </w:pPr>
      <w:r>
        <w:rPr>
          <w:rFonts w:ascii="Microsoft YaHei" w:hAnsi="Microsoft YaHei" w:eastAsia="微软雅黑"/>
          <w:b/>
          <w:color w:val="6F5016"/>
          <w:sz w:val="27"/>
        </w:rPr>
        <w:t>下一批执行文件</w:t>
      </w:r>
    </w:p>
    <w:p>
      <w:pPr>
        <w:numPr>
          <w:ilvl w:val="0"/>
          <w:numId w:val="15"/>
        </w:numPr>
        <w:spacing w:after="80" w:line="300" w:lineRule="auto"/>
      </w:pPr>
      <w:r>
        <w:rPr>
          <w:rFonts w:ascii="Microsoft YaHei" w:hAnsi="Microsoft YaHei" w:eastAsia="微软雅黑"/>
          <w:color w:val="332B22"/>
          <w:sz w:val="21"/>
        </w:rPr>
        <w:t>《金箔非遗小程序产品需求文档（PRD）V0.1》</w:t>
      </w:r>
    </w:p>
    <w:p>
      <w:pPr>
        <w:numPr>
          <w:ilvl w:val="0"/>
          <w:numId w:val="15"/>
        </w:numPr>
        <w:spacing w:after="80" w:line="300" w:lineRule="auto"/>
      </w:pPr>
      <w:r>
        <w:rPr>
          <w:rFonts w:ascii="Microsoft YaHei" w:hAnsi="Microsoft YaHei" w:eastAsia="微软雅黑"/>
          <w:color w:val="332B22"/>
          <w:sz w:val="21"/>
        </w:rPr>
        <w:t>《金箔非遗内容采集与制作手册V0.1》</w:t>
      </w:r>
    </w:p>
    <w:p>
      <w:pPr>
        <w:numPr>
          <w:ilvl w:val="0"/>
          <w:numId w:val="15"/>
        </w:numPr>
        <w:spacing w:after="80" w:line="300" w:lineRule="auto"/>
      </w:pPr>
      <w:r>
        <w:rPr>
          <w:rFonts w:ascii="Microsoft YaHei" w:hAnsi="Microsoft YaHei" w:eastAsia="微软雅黑"/>
          <w:color w:val="332B22"/>
          <w:sz w:val="21"/>
        </w:rPr>
        <w:t>《四岗位申报前8周任务与验收表》</w:t>
      </w:r>
    </w:p>
    <w:p>
      <w:pPr>
        <w:numPr>
          <w:ilvl w:val="0"/>
          <w:numId w:val="15"/>
        </w:numPr>
        <w:spacing w:after="80" w:line="300" w:lineRule="auto"/>
      </w:pPr>
      <w:r>
        <w:rPr>
          <w:rFonts w:ascii="Microsoft YaHei" w:hAnsi="Microsoft YaHei" w:eastAsia="微软雅黑"/>
          <w:color w:val="332B22"/>
          <w:sz w:val="21"/>
        </w:rPr>
        <w:t>《用户研究与效果评价方案》</w:t>
      </w:r>
    </w:p>
    <w:p>
      <w:pPr>
        <w:numPr>
          <w:ilvl w:val="0"/>
          <w:numId w:val="15"/>
        </w:numPr>
        <w:spacing w:after="80" w:line="300" w:lineRule="auto"/>
      </w:pPr>
      <w:r>
        <w:rPr>
          <w:rFonts w:ascii="Microsoft YaHei" w:hAnsi="Microsoft YaHei" w:eastAsia="微软雅黑"/>
          <w:color w:val="332B22"/>
          <w:sz w:val="21"/>
        </w:rPr>
        <w:t>《素材授权、内容审核与证据归档模板包》</w:t>
      </w:r>
    </w:p>
    <w:p>
      <w:pPr>
        <w:spacing w:before="100" w:after="180" w:line="300" w:lineRule="auto"/>
        <w:ind w:left="198" w:right="142"/>
        <w:shd w:fill="F7F1E3" w:val="clear"/>
        <w:pBdr>
          <w:left w:val="single" w:sz="20" w:space="8" w:color="A5781E"/>
        </w:pBdr>
      </w:pPr>
      <w:r>
        <w:rPr>
          <w:rFonts w:ascii="Microsoft YaHei" w:hAnsi="Microsoft YaHei" w:eastAsia="微软雅黑"/>
          <w:b/>
          <w:color w:val="6F5016"/>
          <w:sz w:val="21"/>
        </w:rPr>
        <w:t>当前决策｜</w:t>
      </w:r>
      <w:r>
        <w:rPr>
          <w:rFonts w:ascii="Microsoft YaHei" w:hAnsi="Microsoft YaHei" w:eastAsia="微软雅黑"/>
          <w:color w:val="332B22"/>
          <w:sz w:val="21"/>
        </w:rPr>
        <w:t>项目简报确认后，下一步先编制PRD V0.1，再同步建立内容采集与制作手册。</w:t>
      </w:r>
    </w:p>
    <w:sectPr w:rsidR="00FC693F" w:rsidRPr="0006063C" w:rsidSect="00034616">
      <w:headerReference w:type="default" r:id="rId9"/>
      <w:footerReference w:type="default" r:id="rId10"/>
      <w:pgSz w:w="11906" w:h="16838"/>
      <w:pgMar w:top="1162" w:right="1247" w:bottom="1077"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Microsoft YaHei" w:hAnsi="Microsoft YaHei" w:eastAsia="微软雅黑"/>
        <w:color w:val="6F675F"/>
        <w:sz w:val="18"/>
      </w:rPr>
      <w:t xml:space="preserve">第 </w:t>
    </w:r>
    <w:r>
      <w:rPr>
        <w:rFonts w:ascii="Microsoft YaHei" w:hAnsi="Microsoft YaHei" w:eastAsia="微软雅黑"/>
        <w:color w:val="6F675F"/>
        <w:sz w:val="18"/>
      </w:rPr>
      <w:fldChar w:fldCharType="begin"/>
      <w:instrText xml:space="preserve">PAGE</w:instrText>
      <w:fldChar w:fldCharType="separate"/>
      <w:t>1</w:t>
      <w:fldChar w:fldCharType="end"/>
    </w:r>
    <w:r>
      <w:rPr>
        <w:rFonts w:ascii="Microsoft YaHei" w:hAnsi="Microsoft YaHei" w:eastAsia="微软雅黑"/>
        <w:color w:val="6F675F"/>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微软雅黑"/>
        <w:b/>
        <w:color w:val="6F675F"/>
        <w:sz w:val="17"/>
      </w:rPr>
      <w:t>金箔非遗数字体验与活化传播项目</w:t>
    </w:r>
    <w:r>
      <w:rPr>
        <w:rFonts w:ascii="Microsoft YaHei" w:hAnsi="Microsoft YaHei" w:eastAsia="微软雅黑"/>
        <w:color w:val="6F675F"/>
        <w:sz w:val="17"/>
      </w:rPr>
      <w:t xml:space="preserve">    |    项目简报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80"/>
        <w:spacing w:after="80" w:line="300" w:lineRule="auto"/>
      </w:pPr>
      <w:rPr>
        <w:rFonts w:ascii="Microsoft YaHei" w:hAnsi="Microsoft YaHei" w:eastAsia="微软雅黑"/>
      </w:rPr>
    </w:lvl>
  </w:abstractNum>
  <w:abstractNum w:abstractNumId="10">
    <w:multiLevelType w:val="singleLevel"/>
    <w:lvl w:ilvl="0">
      <w:start w:val="1"/>
      <w:numFmt w:val="bullet"/>
      <w:lvlText w:val="•"/>
      <w:suff w:val="tab"/>
      <w:pPr>
        <w:tabs>
          <w:tab w:val="num" w:pos="540"/>
        </w:tabs>
        <w:ind w:left="540" w:hanging="280"/>
        <w:spacing w:after="80" w:line="300" w:lineRule="auto"/>
      </w:pPr>
      <w:rPr>
        <w:rFonts w:ascii="Microsoft YaHei" w:hAnsi="Microsoft YaHei" w:eastAsia="微软雅黑"/>
      </w:rPr>
    </w:lvl>
  </w:abstractNum>
  <w:abstractNum w:abstractNumId="11">
    <w:multiLevelType w:val="singleLevel"/>
    <w:lvl w:ilvl="0">
      <w:start w:val="1"/>
      <w:numFmt w:val="bullet"/>
      <w:lvlText w:val="•"/>
      <w:suff w:val="tab"/>
      <w:pPr>
        <w:tabs>
          <w:tab w:val="num" w:pos="540"/>
        </w:tabs>
        <w:ind w:left="540" w:hanging="280"/>
        <w:spacing w:after="80" w:line="300" w:lineRule="auto"/>
      </w:pPr>
      <w:rPr>
        <w:rFonts w:ascii="Microsoft YaHei" w:hAnsi="Microsoft YaHei" w:eastAsia="微软雅黑"/>
      </w:rPr>
    </w:lvl>
  </w:abstractNum>
  <w:abstractNum w:abstractNumId="12">
    <w:multiLevelType w:val="singleLevel"/>
    <w:lvl w:ilvl="0">
      <w:start w:val="1"/>
      <w:numFmt w:val="decimal"/>
      <w:lvlText w:val="%1."/>
      <w:suff w:val="tab"/>
      <w:pPr>
        <w:tabs>
          <w:tab w:val="num" w:pos="540"/>
        </w:tabs>
        <w:ind w:left="540" w:hanging="280"/>
        <w:spacing w:after="80" w:line="300" w:lineRule="auto"/>
      </w:pPr>
      <w:rPr>
        <w:rFonts w:ascii="Microsoft YaHei" w:hAnsi="Microsoft YaHei" w:eastAsia="微软雅黑"/>
      </w:rPr>
    </w:lvl>
  </w:abstractNum>
  <w:abstractNum w:abstractNumId="13">
    <w:multiLevelType w:val="singleLevel"/>
    <w:lvl w:ilvl="0">
      <w:start w:val="1"/>
      <w:numFmt w:val="decimal"/>
      <w:lvlText w:val="%1."/>
      <w:suff w:val="tab"/>
      <w:pPr>
        <w:tabs>
          <w:tab w:val="num" w:pos="540"/>
        </w:tabs>
        <w:ind w:left="540" w:hanging="280"/>
        <w:spacing w:after="80" w:line="300" w:lineRule="auto"/>
      </w:pPr>
      <w:rPr>
        <w:rFonts w:ascii="Microsoft YaHei" w:hAnsi="Microsoft YaHei" w:eastAsia="微软雅黑"/>
      </w:rPr>
    </w:lvl>
  </w:abstractNum>
  <w:abstractNum w:abstractNumId="14">
    <w:multiLevelType w:val="singleLevel"/>
    <w:lvl w:ilvl="0">
      <w:start w:val="1"/>
      <w:numFmt w:val="bullet"/>
      <w:lvlText w:val="•"/>
      <w:suff w:val="tab"/>
      <w:pPr>
        <w:tabs>
          <w:tab w:val="num" w:pos="540"/>
        </w:tabs>
        <w:ind w:left="540" w:hanging="280"/>
        <w:spacing w:after="80" w:line="300" w:lineRule="auto"/>
      </w:pPr>
      <w:rPr>
        <w:rFonts w:ascii="Microsoft YaHei" w:hAnsi="Microsoft YaHei" w:eastAsia="微软雅黑"/>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微软雅黑"/>
      <w:b w:val="0"/>
      <w:color w:val="332B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微软雅黑"/>
      <w:b/>
      <w:bCs/>
      <w:color w:val="332B22"/>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微软雅黑"/>
      <w:b/>
      <w:bCs/>
      <w:color w:val="6F5016"/>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微软雅黑"/>
      <w:b/>
      <w:bCs/>
      <w:color w:val="6F50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金箔非遗数字体验与活化传播项目简报 V0.2</dc:title>
  <dc:subject>广东省攀登计划项目准备工作文件</dc:subject>
  <dc:creator>项目团队</dc:creator>
  <cp:keywords>金箔, 非遗, 广东高校, 3D互动, 项目简报</cp:keywords>
  <dc:description>generated by python-docx</dc:description>
  <cp:lastModifiedBy/>
  <cp:revision>1</cp:revision>
  <dcterms:created xsi:type="dcterms:W3CDTF">2013-12-23T23:15:00Z</dcterms:created>
  <dcterms:modified xsi:type="dcterms:W3CDTF">2013-12-23T23:15:00Z</dcterms:modified>
  <cp:category/>
</cp:coreProperties>
</file>