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C0392B"/>
        </w:pBdr>
        <w:shd w:val="clear" w:fill="FBEAEA"/>
        <w:spacing w:after="240"/>
      </w:pPr>
      <w:r>
        <w:rPr>
          <w:rFonts w:ascii="Microsoft YaHei" w:hAnsi="Microsoft YaHei" w:eastAsia="微软雅黑"/>
          <w:b/>
          <w:color w:val="C0392B"/>
          <w:sz w:val="22"/>
        </w:rPr>
        <w:t xml:space="preserve">【已被取代 SUPERSEDED】本文件描述的“3分钟3D工艺互动 + XR-Frame / AR / GLB模型”技术方案已暂缓，不代表当前产品形态。当前实际产品为微信原生小程序的五步2D网格 + 手势交互体验（做捻子→装家生→打箔→出具检查→切箔成叶）。自2026-08-10起，项目的唯一事实来源改为仓库根目录的 PRODUCT_DESIGN.md，本文件仅作历史参考，不再同步更新。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A5781E"/>
          <w:sz w:val="20"/>
        </w:rPr>
        <w:t>广东省攀登计划 · 产品执行文件</w:t>
      </w:r>
    </w:p>
    <w:p>
      <w:pPr>
        <w:keepNext/>
        <w:spacing w:after="100"/>
      </w:pPr>
      <w:r>
        <w:rPr>
          <w:rFonts w:ascii="Microsoft YaHei" w:hAnsi="Microsoft YaHei" w:eastAsia="微软雅黑"/>
          <w:b/>
          <w:color w:val="332B22"/>
          <w:sz w:val="52"/>
        </w:rPr>
        <w:t>金箔非遗小程序产品需求文档</w:t>
      </w:r>
    </w:p>
    <w:p>
      <w:pPr>
        <w:keepNext/>
        <w:spacing w:after="280"/>
      </w:pPr>
      <w:r>
        <w:rPr>
          <w:rFonts w:ascii="Microsoft YaHei" w:hAnsi="Microsoft YaHei" w:eastAsia="微软雅黑"/>
          <w:color w:val="6F675F"/>
          <w:sz w:val="25"/>
        </w:rPr>
        <w:t>PRD V0.3｜3分钟轻量工艺体验与活化传播平台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8"/>
        <w:gridCol w:w="7434"/>
      </w:tblGrid>
      <w:tr>
        <w:trPr>
          <w:tblHeader w:val="true"/>
          <w:cantSplit/>
        </w:trPr>
        <w:tc>
          <w:tcPr>
            <w:tcW w:type="dxa" w:w="185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文档项</w:t>
            </w:r>
          </w:p>
        </w:tc>
        <w:tc>
          <w:tcPr>
            <w:tcW w:type="dxa" w:w="743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当前定义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文档状态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已确认需求基线；供原型、开发、内容、研究和测试共同执行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核心用户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广东高校学生，重点为18—24岁青年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产品形态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微信原生小程序＋CloudBase＋XR-Frame 3D互动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首版主线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3分钟互动体验；制箔或贴箔路线在首次专业访谈后锁定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团队结构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4名学生分任产品前端、3D技术、内容档案、调研实践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产品定位｜</w:t>
      </w:r>
      <w:r>
        <w:rPr>
          <w:rFonts w:ascii="Microsoft YaHei" w:hAnsi="Microsoft YaHei" w:eastAsia="微软雅黑"/>
          <w:color w:val="332B22"/>
          <w:sz w:val="21"/>
        </w:rPr>
        <w:t>面向广东高校青年的金箔非遗轻量化数字体验与活化传播平台，以3D工艺互动为核心，连接传承人故事、数字档案与线下实践。</w:t>
      </w:r>
    </w:p>
    <w:p>
      <w:pPr>
        <w:spacing w:before="100" w:after="180" w:line="300" w:lineRule="auto"/>
        <w:ind w:left="198" w:right="142"/>
        <w:shd w:fill="F2F2F2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唯一待锁定决策｜</w:t>
      </w:r>
      <w:r>
        <w:rPr>
          <w:rFonts w:ascii="Microsoft YaHei" w:hAnsi="Microsoft YaHei" w:eastAsia="微软雅黑"/>
          <w:color w:val="332B22"/>
          <w:sz w:val="21"/>
        </w:rPr>
        <w:t>首次访谈后，由传承人或专业老师确认首版主线采用“制箔”还是“贴箔”。锁定后只制作一条主线，不并行开发两套完整体验。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文档使用说明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本文件定义首版小程序的产品边界、用户流程、功能要求、数据与隐私规则、内容发布流程、技术约束和验收标准。产品原型、开发任务、内容采集和用户研究均应引用本文件中的需求编号。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优先级说明｜</w:t>
      </w:r>
      <w:r>
        <w:rPr>
          <w:rFonts w:ascii="Microsoft YaHei" w:hAnsi="Microsoft YaHei" w:eastAsia="微软雅黑"/>
          <w:color w:val="332B22"/>
          <w:sz w:val="21"/>
        </w:rPr>
        <w:t>P0为申报演示必须完成；P1为正式首版应完成；P2为首版明确延后。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变更规则｜</w:t>
      </w:r>
      <w:r>
        <w:rPr>
          <w:rFonts w:ascii="Microsoft YaHei" w:hAnsi="Microsoft YaHei" w:eastAsia="微软雅黑"/>
          <w:color w:val="332B22"/>
          <w:sz w:val="21"/>
        </w:rPr>
        <w:t>新增需求必须说明其对应的项目目标、评价指标、负责人和对进度的影响，经指导教师与四岗位共同评审后方可纳入。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1. 产品目标与成功标准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1.1 产品目标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让第一次接触金箔非遗的高校青年，在不注册、不先学习长篇知识的情况下愿意进入体验。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用3分钟可完成的3D工艺互动建立对人物、工具、材料和工艺逻辑的初步认识。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把传承人真实影像、经审核的数字档案和校园实践连接为可持续传播路径。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通过行为数据、前后测、问卷、访谈和活动记录验证传播效果。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1.2 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首版不建设独立APP、商城、支付、直播带货或复杂会员系统。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首版不制作大型3D游戏、多关卡重度游戏化或完整空间AR。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首版不同时覆盖多个非遗门类，也不同时制作制箔与贴箔两条完整主线。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首版不以考试、排行榜、证书或强制分享作为核心留存手段。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1.3 成功指标</w:t>
      </w:r>
    </w:p>
    <w:tbl>
      <w:tblPr>
        <w:tblW w:type="dxa" w:w="929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23"/>
        <w:gridCol w:w="2323"/>
        <w:gridCol w:w="2323"/>
        <w:gridCol w:w="2323"/>
      </w:tblGrid>
      <w:tr>
        <w:trPr>
          <w:cantSplit/>
          <w:tblHeader w:val="true"/>
        </w:trPr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800+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真实用户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60%+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体验完成率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100+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配对前后测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3场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校园实践</w:t>
            </w:r>
          </w:p>
        </w:tc>
      </w:tr>
    </w:tbl>
    <w:p>
      <w:pPr>
        <w:spacing w:after="60"/>
      </w:pP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4"/>
        <w:gridCol w:w="3484"/>
        <w:gridCol w:w="2091"/>
        <w:gridCol w:w="2323"/>
      </w:tblGrid>
      <w:tr>
        <w:trPr>
          <w:tblHeader w:val="true"/>
          <w:cantSplit/>
        </w:trPr>
        <w:tc>
          <w:tcPr>
            <w:tcW w:type="dxa" w:w="139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指标层</w:t>
            </w:r>
          </w:p>
        </w:tc>
        <w:tc>
          <w:tcPr>
            <w:tcW w:type="dxa" w:w="348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指标定义</w:t>
            </w:r>
          </w:p>
        </w:tc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32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证据来源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触达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去重真实用户数；校园体验或推广活动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用户800+；活动3场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匿名行为数据、活动记录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体验</w:t>
            </w:r>
          </w:p>
        </w:tc>
        <w:tc>
          <w:tcPr>
            <w:tcW w:type="dxa" w:w="348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开始核心体验后完成全部3步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完成率不低于60%</w:t>
            </w:r>
          </w:p>
        </w:tc>
        <w:tc>
          <w:tcPr>
            <w:tcW w:type="dxa" w:w="23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experience_start / complete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深度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完成后进入故事、档案或活动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继续探索率不低于25%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result_action、archive_view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认知</w:t>
            </w:r>
          </w:p>
        </w:tc>
        <w:tc>
          <w:tcPr>
            <w:tcW w:type="dxa" w:w="348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同一研究样本的前后测得分变化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样本100+；均值提升20%目标</w:t>
            </w:r>
          </w:p>
        </w:tc>
        <w:tc>
          <w:tcPr>
            <w:tcW w:type="dxa" w:w="23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研究编号关联的配对数据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审核发布的系列传播内容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短视频8—12期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内容台账、发布记录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口径说明｜</w:t>
      </w:r>
      <w:r>
        <w:rPr>
          <w:rFonts w:ascii="Microsoft YaHei" w:hAnsi="Microsoft YaHei" w:eastAsia="微软雅黑"/>
          <w:color w:val="332B22"/>
          <w:sz w:val="21"/>
        </w:rPr>
        <w:t>上述为项目目标值，不得在申报书中表述为已取得成果；申报前30—50人测试用于校准指标。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2. 用户、场景与产品原则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2.1 核心用户与使用场景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核心用户｜</w:t>
      </w:r>
      <w:r>
        <w:rPr>
          <w:rFonts w:ascii="Microsoft YaHei" w:hAnsi="Microsoft YaHei" w:eastAsia="微软雅黑"/>
          <w:color w:val="332B22"/>
          <w:sz w:val="21"/>
        </w:rPr>
        <w:t>广东高校学生，重点为18—24岁青年；产品不设置年龄排他限制。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典型场景｜</w:t>
      </w:r>
      <w:r>
        <w:rPr>
          <w:rFonts w:ascii="Microsoft YaHei" w:hAnsi="Microsoft YaHei" w:eastAsia="微软雅黑"/>
          <w:color w:val="332B22"/>
          <w:sz w:val="21"/>
        </w:rPr>
        <w:t>在短视频、海报、课程或校园活动中扫码进入；利用课间或碎片时间完成体验；体验后自主选择继续了解或参加活动。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用户特征｜</w:t>
      </w:r>
      <w:r>
        <w:rPr>
          <w:rFonts w:ascii="Microsoft YaHei" w:hAnsi="Microsoft YaHei" w:eastAsia="微软雅黑"/>
          <w:color w:val="332B22"/>
          <w:sz w:val="21"/>
        </w:rPr>
        <w:t>对新奇互动有兴趣，但对长篇学习和强制答题耐心有限；愿意分享个性化结果，但不希望先完成复杂注册。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2.2 产品原则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先体验后学习：首屏直接提供“开始3分钟体验”，知识内容作为体验后的自愿延伸。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真实内容优先：工艺、人物和史实必须有来源并经专业审核，数字互动明确标注为简化模拟。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引导完成优先：核心体验不设失败、倒计时、扣分和数值排名，允许提示与重试。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核心流程可降级：3D加载失败或设备能力不足时提供2D、图文或视频替代路径。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最少干扰：核心流程无需注册；相机权限仅在用户点击AR时请求。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3. 范围与版本优先级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7"/>
        <w:gridCol w:w="1704"/>
        <w:gridCol w:w="4491"/>
        <w:gridCol w:w="2090"/>
      </w:tblGrid>
      <w:tr>
        <w:trPr>
          <w:tblHeader w:val="true"/>
          <w:cantSplit/>
        </w:trPr>
        <w:tc>
          <w:tcPr>
            <w:tcW w:type="dxa" w:w="10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70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版本目标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纳入功能</w:t>
            </w:r>
          </w:p>
        </w:tc>
        <w:tc>
          <w:tcPr>
            <w:tcW w:type="dxa" w:w="209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P0</w:t>
            </w:r>
          </w:p>
        </w:tc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申报演示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首页入口、分段真实视频、3步3D互动、即时反馈、结果页、3D降级、核心埋点</w:t>
            </w:r>
          </w:p>
        </w:tc>
        <w:tc>
          <w:tcPr>
            <w:tcW w:type="dxa" w:w="209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可在真实手机完成主流程并形成演示数据</w:t>
            </w:r>
          </w:p>
        </w:tc>
      </w:tr>
      <w:tr>
        <w:trPr>
          <w:cantSplit/>
        </w:trPr>
        <w:tc>
          <w:tcPr>
            <w:tcW w:type="dxa" w:w="10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P1</w:t>
            </w:r>
          </w:p>
        </w:tc>
        <w:tc>
          <w:tcPr>
            <w:tcW w:type="dxa" w:w="170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正式首版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传承人故事、金箔志、一个AR场景、活动、分享海报、内容导入发布</w:t>
            </w:r>
          </w:p>
        </w:tc>
        <w:tc>
          <w:tcPr>
            <w:tcW w:type="dxa" w:w="209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内容经审核、兼容测试通过、可开展校园验证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P2</w:t>
            </w:r>
          </w:p>
        </w:tc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后续迭代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登录、积分徽章、排行、复杂测评、收藏、多非遗、商城支付、直播</w:t>
            </w:r>
          </w:p>
        </w:tc>
        <w:tc>
          <w:tcPr>
            <w:tcW w:type="dxa" w:w="209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不进入首版工期与验收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范围冻结｜</w:t>
      </w:r>
      <w:r>
        <w:rPr>
          <w:rFonts w:ascii="Microsoft YaHei" w:hAnsi="Microsoft YaHei" w:eastAsia="微软雅黑"/>
          <w:color w:val="332B22"/>
          <w:sz w:val="21"/>
        </w:rPr>
        <w:t>P0验收前不得启动P2。P1新增功能须先证明不会影响核心体验、兼容性与用户研究进度。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4. 信息架构与核心流程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4.1 一级导航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4"/>
        <w:gridCol w:w="3407"/>
        <w:gridCol w:w="4491"/>
      </w:tblGrid>
      <w:tr>
        <w:trPr>
          <w:tblHeader w:val="true"/>
          <w:cantSplit/>
        </w:trPr>
        <w:tc>
          <w:tcPr>
            <w:tcW w:type="dxa" w:w="139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首页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快速理解价值并开始体验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主视觉、3分钟承诺、开始按钮、精选内容与活动入口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体验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完成3步轻量工艺互动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分段视频、3D操作、即时反馈、结果与延伸动作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金箔志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按兴趣了解真实人物与工艺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人物、工艺、工具与材料、作品与应用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活动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了解并进入线下参与渠道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活动列表、详情、官方报名二维码或渠道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首版不设置“我的”一级入口。登录、收藏、积分、证书和用户资产均不属于P0/P1必需能力。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4.2 核心用户流程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用户从首页点击“开始3分钟体验”，无需注册即可进入。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观看3—5秒真实人物开场；可跳过，字幕默认可读，静音不影响理解。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在每个互动步骤前观看5—8秒真实工艺片段，再完成对应3D操作。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系统提供即时描述性反馈、提示和重试，完成3步后生成个人金箔作品。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结果页提供AR、分享海报、金箔志、活动和再次体验等可选动作。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核心闭环｜</w:t>
      </w:r>
      <w:r>
        <w:rPr>
          <w:rFonts w:ascii="Microsoft YaHei" w:hAnsi="Microsoft YaHei" w:eastAsia="微软雅黑"/>
          <w:color w:val="332B22"/>
          <w:sz w:val="21"/>
        </w:rPr>
        <w:t>首页 → 真实开场 → 视频片段＋3D步骤×3 → 个人作品与反馈 → 可选深度内容／AR／活动。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4.3 工艺主线决策框架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在首次访谈前，产品仅保留共享的三阶段交互框架。访谈确认后，将下表中一列锁定为首版内容，并由专业老师审核术语、步骤与表现。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26"/>
        <w:gridCol w:w="2400"/>
        <w:gridCol w:w="2400"/>
        <w:gridCol w:w="2866"/>
      </w:tblGrid>
      <w:tr>
        <w:trPr>
          <w:tblHeader w:val="true"/>
          <w:cantSplit/>
        </w:trPr>
        <w:tc>
          <w:tcPr>
            <w:tcW w:type="dxa" w:w="162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共享阶段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候选A：制箔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候选B：贴箔</w:t>
            </w:r>
          </w:p>
        </w:tc>
        <w:tc>
          <w:tcPr>
            <w:tcW w:type="dxa" w:w="286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共享产品能力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 认识任务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认识材料、工具与目标厚度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选择器物、金箔与工具</w:t>
            </w:r>
          </w:p>
        </w:tc>
        <w:tc>
          <w:tcPr>
            <w:tcW w:type="dxa" w:w="286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真实短视频、3D对象、提示卡</w:t>
            </w:r>
          </w:p>
        </w:tc>
      </w:tr>
      <w:tr>
        <w:trPr>
          <w:cantSplit/>
        </w:trPr>
        <w:tc>
          <w:tcPr>
            <w:tcW w:type="dxa" w:w="162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 关键动作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模拟敲击力度与节奏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模拟取箔、移动与覆盖</w:t>
            </w:r>
          </w:p>
        </w:tc>
        <w:tc>
          <w:tcPr>
            <w:tcW w:type="dxa" w:w="286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手势识别、即时反馈、重试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 检查完成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观察厚度、完整性与裁切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刷平、修补并检查覆盖</w:t>
            </w:r>
          </w:p>
        </w:tc>
        <w:tc>
          <w:tcPr>
            <w:tcW w:type="dxa" w:w="286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完成状态、个性结果、文化提示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锁定依据｜</w:t>
      </w:r>
      <w:r>
        <w:rPr>
          <w:rFonts w:ascii="Microsoft YaHei" w:hAnsi="Microsoft YaHei" w:eastAsia="微软雅黑"/>
          <w:color w:val="332B22"/>
          <w:sz w:val="21"/>
        </w:rPr>
        <w:t>合作对象的代表性工艺、可拍摄性、3分钟内的可交互性、文化准确性和技术可实现性。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5. 功能需求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5.1 首页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首屏展示一句话价值和“开始3分钟体验”主按钮。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首次进入无需滚动即可看到并点击主按钮。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首屏不以课程、知识测评或注册作为前置。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未登录用户可直接进入EXP-01。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展示精选故事、金箔志和近期活动入口。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内容为空时模块可隐藏，不影响主按钮。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记录主按钮点击来源。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触发home_cta_click并携带入口来源。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5.2 分段视频与体验准备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进入体验后播放3—5秒传承人或专业老师开场。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视频可跳过，有字幕，静音状态可理解。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每个步骤前播放5—8秒真实工艺片段。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每段可跳过；结束或跳过后进入对应操作。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首次加载显示清晰进度与预计等待说明。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用户不会停留在无反馈空白页。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说明体验为简化数字模拟。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开始前或首步可见，不宣称替代真实工艺。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5.3 三步3D互动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按已锁定工艺主线提供连续3步操作。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步骤顺序、术语和动作经专业审核。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每步提供首次引导和按需提示。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无操作或多次偏离时出现提示；用户可继续。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操作后立即给出视觉、文字或动效反馈。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不以声音或颜色作为唯一反馈。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不设置倒计时、失败、扣分或公开排名。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用户通过提示和重试可完成全部步骤。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后台记录步骤时长、提示次数和重试次数。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不向用户展示数值分数，但事件字段可查询。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INT-06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支持退出并记录退出步骤。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退出不进入死循环；触发experience_exit。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5.4 结果页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生成并展示个人3D金箔作品。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完成3步后自动进入结果页并可旋转查看。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根据操作过程给出描述性反馈。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反馈使用“细致、稳定、均匀”等措辞，不显示分数或排名。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展示一条经审核的文化知识提示。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知识内容可追溯至内容台账和审核记录。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提供AR、分享、金箔志、活动和重试入口。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各动作可选；拒绝权限或分享失败不影响结果。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分享海报不得强制填写姓名、手机号。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可匿名生成；分享动作由用户主动发起。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5.5 金箔志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设置人物、工艺、工具与材料、作品与应用四类内容。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分类入口均可独立配置和隐藏空分类。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列表卡片展示标题、摘要、封面与类型。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点击进入1分钟可读详情。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详情支持短文、图片与可选长视频。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视频非自动播放；弱网下正文仍可阅读。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详情底部显示来源、审核人和审核日期。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未审核内容不得进入已发布状态。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P1仅提供分类筛选，不做全文搜索。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四类筛选结果正确；无搜索入口。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5.6 活动、AR与分享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ACT-01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活动模块展示列表、详情、时间地点和主办方。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信息与官方发布一致，过期状态明确。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ACT-02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点击“我要参加”后展示学校或主办方官方报名渠道。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小程序仅记录意向点击，不代收报名信息。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结果页提供一个可选AR展示场景。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仅点击后申请相机权限；拒绝后返回结果页。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SHR-01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生成包含作品、项目识别和小程序入口的分享海报。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分享失败可重试或返回，不阻断其他动作。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6. 状态、异常与降级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36"/>
        <w:gridCol w:w="4336"/>
        <w:gridCol w:w="3020"/>
      </w:tblGrid>
      <w:tr>
        <w:trPr>
          <w:tblHeader w:val="true"/>
          <w:cantSplit/>
        </w:trPr>
        <w:tc>
          <w:tcPr>
            <w:tcW w:type="dxa" w:w="19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302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3D加载中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显示进度和操作提示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无空白页；用户可返回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加载超过8秒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提示继续等待并说明可退出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不重复弹窗、不误判完成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加载15秒失败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提供重试或2D／图文／视频替代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替代路径可完成基础内容体验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弱网或断网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提示网络状态并允许重试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恢复网络后无需重启小程序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拒绝相机权限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关闭AR并返回结果页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不再次强制请求，不影响其他功能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视频加载失败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显示封面、字幕摘要与跳过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用户仍可进入对应3D步骤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内容为空或下架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隐藏入口或显示友好空状态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不出现无效链接和报错代码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7. 数据埋点与效果评价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7.1 核心事件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1"/>
        <w:gridCol w:w="2555"/>
        <w:gridCol w:w="2555"/>
        <w:gridCol w:w="2091"/>
      </w:tblGrid>
      <w:tr>
        <w:trPr>
          <w:tblHeader w:val="true"/>
          <w:cantSplit/>
        </w:trPr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home_cta_click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点击首页主按钮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source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入口转化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experience_start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进入核心体验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session_id、route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开始人数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video_play / skip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播放或跳过分段视频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segment_id、watch_time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内容接受度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step_start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进入某一步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漏斗起点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step_hint / retry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使用提示或重试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step_id、count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难度诊断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step_complete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完成某一步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step_id、duration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步骤完成率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experience_exit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中途退出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step_id、duration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流失诊断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experience_complete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完成全部3步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total_duration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核心完成率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result_action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结果页点击后续动作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action_type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深度探索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archive_view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打开金箔志详情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content_id、category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内容偏好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activity_interest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点击我要参加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activity_id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活动意向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完成率｜</w:t>
      </w:r>
      <w:r>
        <w:rPr>
          <w:rFonts w:ascii="Microsoft YaHei" w:hAnsi="Microsoft YaHei" w:eastAsia="微软雅黑"/>
          <w:color w:val="332B22"/>
          <w:sz w:val="21"/>
        </w:rPr>
        <w:t>experience_complete 去重会话数 ÷ experience_start 去重会话数。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继续探索率｜</w:t>
      </w:r>
      <w:r>
        <w:rPr>
          <w:rFonts w:ascii="Microsoft YaHei" w:hAnsi="Microsoft YaHei" w:eastAsia="微软雅黑"/>
          <w:color w:val="332B22"/>
          <w:sz w:val="21"/>
        </w:rPr>
        <w:t>完成体验后触发AR、分享、金箔志或活动动作的去重用户数 ÷ 完成体验去重用户数。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数据质量｜</w:t>
      </w:r>
      <w:r>
        <w:rPr>
          <w:rFonts w:ascii="Microsoft YaHei" w:hAnsi="Microsoft YaHei" w:eastAsia="微软雅黑"/>
          <w:color w:val="332B22"/>
          <w:sz w:val="21"/>
        </w:rPr>
        <w:t>事件均需包含时间、版本、设备能力、会话编号和匿名用户编号；测试账号与正式数据应可区分。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7.2 两层用户研究设计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4"/>
        <w:gridCol w:w="2400"/>
        <w:gridCol w:w="3407"/>
        <w:gridCol w:w="1781"/>
      </w:tblGrid>
      <w:tr>
        <w:trPr>
          <w:tblHeader w:val="true"/>
          <w:cantSplit/>
        </w:trPr>
        <w:tc>
          <w:tcPr>
            <w:tcW w:type="dxa" w:w="170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对象与规模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收集内容</w:t>
            </w:r>
          </w:p>
        </w:tc>
        <w:tc>
          <w:tcPr>
            <w:tcW w:type="dxa" w:w="178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一般用户层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约800名真实用户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匿名行为；体验后自愿填写学校、年级、专业大类、兴趣</w:t>
            </w:r>
          </w:p>
        </w:tc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评价触达、完成率和探索行为</w:t>
            </w:r>
          </w:p>
        </w:tc>
      </w:tr>
      <w:tr>
        <w:trPr>
          <w:cantSplit/>
        </w:trPr>
        <w:tc>
          <w:tcPr>
            <w:tcW w:type="dxa" w:w="170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正式研究层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不少于100名知情同意样本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手机号或微信联系方式、前测、后测、随访、行为事件</w:t>
            </w:r>
          </w:p>
        </w:tc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配对分析、访谈和论文研究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8. 隐私、同意与数据分离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核心体验不以填写手机号、微信号或研究问卷为前提；非必要信息由用户自愿提供。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正式研究样本在收集联系方式和配对数据前展示研究目的、使用范围、保存期限、退出方式和联系人，并取得明确同意。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活动报名继续使用学校或主办方官方渠道；若活动参与者同时进入研究，需另行完成研究同意。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联系方式仅用于约定的随访、访谈或通知，不得转作营销、公开传播或与无关数据合并。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原始研究数据仅限授权成员访问；对外报告和论文使用去标识化或汇总结果。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1"/>
        <w:gridCol w:w="4646"/>
        <w:gridCol w:w="2555"/>
      </w:tblGrid>
      <w:tr>
        <w:trPr>
          <w:tblHeader w:val="true"/>
          <w:cantSplit/>
        </w:trPr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464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访问要求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research_contacts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research_id、手机号／微信、同意时间、联系状态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单独存储，仅研究负责人和指导教师授权访问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research_responses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research_id、前测、后测、随访答案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不存直接联系方式；按研究编号关联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behavior_events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anonymous_id／research_id、事件、时间、版本、参数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研究样本经同意后才关联research_id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合规基线｜</w:t>
      </w:r>
      <w:r>
        <w:rPr>
          <w:rFonts w:ascii="Microsoft YaHei" w:hAnsi="Microsoft YaHei" w:eastAsia="微软雅黑"/>
          <w:color w:val="332B22"/>
          <w:sz w:val="21"/>
        </w:rPr>
        <w:t>目的明确、范围合理、最少必要、知情自愿、明确同意、可撤回、限制访问。是否愿意留下手机号，不替代告知与同意程序。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9. 内容生产、审核与发布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9.1 首版工作流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岗位3在结构化Excel／CSV内容台账中建档，分配内容ID和素材ID。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传承人或专业老师审核工艺、人物与史实；团队核对授权、来源和文字规范。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内容状态依次流转为草稿、待审核、已审核、已发布；只有已审核内容可导入。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岗位1或岗位2使用受控导入脚本写入云数据库，媒体文件上传云存储。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发布后保留版本、修改人、修改时间、修改原因和下架记录。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首版约束｜</w:t>
      </w:r>
      <w:r>
        <w:rPr>
          <w:rFonts w:ascii="Microsoft YaHei" w:hAnsi="Microsoft YaHei" w:eastAsia="微软雅黑"/>
          <w:color w:val="332B22"/>
          <w:sz w:val="21"/>
        </w:rPr>
        <w:t>不建设复杂CMS，也不允许内容学生直接在云数据库中随意修改。云控制台仅用于技术维护和紧急处置。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9.2 内容台账最低字段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956"/>
        <w:gridCol w:w="278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495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最低字段</w:t>
            </w:r>
          </w:p>
        </w:tc>
        <w:tc>
          <w:tcPr>
            <w:tcW w:type="dxa" w:w="278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识别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content_id、category、title、summary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ID唯一且发布后不复用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正文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body、media_ids、related_ids</w:t>
            </w:r>
          </w:p>
        </w:tc>
        <w:tc>
          <w:tcPr>
            <w:tcW w:type="dxa" w:w="278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正文引用素材ID，不直接写本地路径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真实性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source、reviewer、review_date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来源可追溯；审核人和日期不可为空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授权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authorization_id、rights_scope</w:t>
            </w:r>
          </w:p>
        </w:tc>
        <w:tc>
          <w:tcPr>
            <w:tcW w:type="dxa" w:w="278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图片、视频、肖像、模型均需对应授权或许可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状态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status、version、updated_by、updated_at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仅reviewed可导入published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10. 技术方案与数据结构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10.1 技术架构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3252"/>
        <w:gridCol w:w="4491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52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首版职责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客户端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微信原生小程序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页面、状态管理、视频、分享、权限与降级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3D／AR</w:t>
            </w:r>
          </w:p>
        </w:tc>
        <w:tc>
          <w:tcPr>
            <w:tcW w:type="dxa" w:w="325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微信XR-Frame＋优化后的GLB模型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3步互动、结果作品、一个可选AR场景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云服务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腾讯云开发CloudBase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云数据库、云存储、云函数、内容读取与数据写入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内容导入</w:t>
            </w:r>
          </w:p>
        </w:tc>
        <w:tc>
          <w:tcPr>
            <w:tcW w:type="dxa" w:w="325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Excel／CSV＋受控导入脚本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审核后批量校验、导入、版本记录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媒体策略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云存储＋按需加载／分包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视频、图片和3D资源不阻塞首页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P0/P1不引入PHP、MySQL、自建服务器或uni-app，不建设复杂后台管理系统。若后续内容量和运营频率显著增加，再单独评估轻量管理端。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10.2 建议集合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8"/>
        <w:gridCol w:w="4956"/>
        <w:gridCol w:w="2168"/>
      </w:tblGrid>
      <w:tr>
        <w:trPr>
          <w:tblHeader w:val="true"/>
          <w:cantSplit/>
        </w:trPr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495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责任岗位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app_config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版本、功能开关、首页推荐和工艺路线配置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岗位1／2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content_items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人物、工艺、工具材料、作品应用内容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岗位3提供，岗位1／2导入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media_assets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图片、视频、模型及授权引用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岗位2／3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activities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活动信息、状态和官方报名渠道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岗位4提供，岗位1导入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behavior_events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匿名或研究编号关联的行为事件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岗位2／4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research_contacts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正式研究样本联系方式与同意记录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岗位4，限制访问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research_responses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前后测、随访和访谈结构化数据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audit_records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内容版本、导入、修改和下架记录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岗位2／3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2F2F2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设计边界｜</w:t>
      </w:r>
      <w:r>
        <w:rPr>
          <w:rFonts w:ascii="Microsoft YaHei" w:hAnsi="Microsoft YaHei" w:eastAsia="微软雅黑"/>
          <w:color w:val="332B22"/>
          <w:sz w:val="21"/>
        </w:rPr>
        <w:t>本节只定义逻辑集合。字段类型、索引、权限规则和云函数接口应在《技术设计说明书》中进一步细化。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11. 非功能需求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723"/>
        <w:gridCol w:w="3020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72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内部目标</w:t>
            </w:r>
          </w:p>
        </w:tc>
        <w:tc>
          <w:tcPr>
            <w:tcW w:type="dxa" w:w="302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首页性能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校园Wi-Fi／4G下2.5秒内可用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6台真机冷启动与二次启动记录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3D性能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中档手机6秒内可操作；全程显示进度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记录加载时长、帧率和失败原因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资源体积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核心GLB目标≤6MB；单场景网络资源目标≤12MB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构建产物和网络面板检查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步骤视频5—8秒、有字幕、静音可理解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内容检查与用户测试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兼容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iOS／Android高、中、低档共6台真机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设备矩阵、截图和问题闭环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可访问性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触控区域清晰、对比度足够、不依赖单一颜色或声音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页面与交互走查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稳定性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核心流程无崩溃、死循环和不可退出状态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弱网、断网、权限拒绝与异常测试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安全与权限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相机仅按需申请；敏感集合最小权限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权限规则与访问测试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校准规则｜</w:t>
      </w:r>
      <w:r>
        <w:rPr>
          <w:rFonts w:ascii="Microsoft YaHei" w:hAnsi="Microsoft YaHei" w:eastAsia="微软雅黑"/>
          <w:color w:val="332B22"/>
          <w:sz w:val="21"/>
        </w:rPr>
        <w:t>以上为内部工程目标，完成技术原型后根据真实设备和资源复杂度校准，但不得取消降级、权限和稳定性要求。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12. 验收与测试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12.1 P0申报演示验收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从首页无需注册进入体验，完整完成真实开场、3段短视频、3步3D操作和结果页。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3D加载失败、视频失败和弱网情况下均有可理解提示、重试或替代内容。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核心事件在测试环境可查询，完成率漏斗与退出步骤可计算。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工艺路线、术语、视频和文化提示已取得专业审核记录。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至少完成一轮30—50名高校学生测试并形成问题、改进和数据摘要。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12.2 P1正式首版验收矩阵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5730"/>
        <w:gridCol w:w="2013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573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必须通过的检查</w:t>
            </w:r>
          </w:p>
        </w:tc>
        <w:tc>
          <w:tcPr>
            <w:tcW w:type="dxa" w:w="201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功能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HOME、EXP、INT、RES、ARC、ACT、AR、SHR需求逐项通过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岗位1／2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已发布内容均有来源、授权、审核人、日期和版本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设备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6台真机覆盖微信版本、系统、性能和相机权限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数据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事件不漏报、不重复；测试数据可识别；指标可复算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岗位2／4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同意文本、研究编号、三表分离和退出机制可用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实践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活动渠道有效，意向点击与主办方汇总报名数可对照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13. 四岗位责任与交接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81"/>
        <w:gridCol w:w="4646"/>
        <w:gridCol w:w="2865"/>
      </w:tblGrid>
      <w:tr>
        <w:trPr>
          <w:tblHeader w:val="true"/>
          <w:cantSplit/>
        </w:trPr>
        <w:tc>
          <w:tcPr>
            <w:tcW w:type="dxa" w:w="178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464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在本PRD中的主责</w:t>
            </w:r>
          </w:p>
        </w:tc>
        <w:tc>
          <w:tcPr>
            <w:tcW w:type="dxa" w:w="286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必须交接的材料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 产品与前端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首页、导航、页面流程、视频、结果、金箔志、活动和前端埋点</w:t>
            </w:r>
          </w:p>
        </w:tc>
        <w:tc>
          <w:tcPr>
            <w:tcW w:type="dxa" w:w="286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原型、页面清单、组件说明、验收截图、使用说明</w:t>
            </w:r>
          </w:p>
        </w:tc>
      </w:tr>
      <w:tr>
        <w:trPr>
          <w:cantSplit/>
        </w:trPr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 3D与技术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XR-Frame、3D交互、AR、CloudBase、导入、权限、性能和数据</w:t>
            </w:r>
          </w:p>
        </w:tc>
        <w:tc>
          <w:tcPr>
            <w:tcW w:type="dxa" w:w="286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模型规范、接口、集合、部署、设备测试和故障说明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 内容与档案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访谈、拍摄、内容台账、授权、专业审核和发布素材</w:t>
            </w:r>
          </w:p>
        </w:tc>
        <w:tc>
          <w:tcPr>
            <w:tcW w:type="dxa" w:w="286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内容手册、素材ID、来源授权、审核与版本记录</w:t>
            </w:r>
          </w:p>
        </w:tc>
      </w:tr>
      <w:tr>
        <w:trPr>
          <w:cantSplit/>
        </w:trPr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4 调研与实践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研究设计、同意、问卷、活动、数据分析和证据归档</w:t>
            </w:r>
          </w:p>
        </w:tc>
        <w:tc>
          <w:tcPr>
            <w:tcW w:type="dxa" w:w="286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研究方案、数据字典、活动材料、分析报告和证据目录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共同责任｜</w:t>
      </w:r>
      <w:r>
        <w:rPr>
          <w:rFonts w:ascii="Microsoft YaHei" w:hAnsi="Microsoft YaHei" w:eastAsia="微软雅黑"/>
          <w:color w:val="332B22"/>
          <w:sz w:val="21"/>
        </w:rPr>
        <w:t>四名学生共同参加首次专业访谈、P0评审、用户测试复盘和P1验收；主责人对结果负责，备份人能够接手。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14. 待锁定事项与下一步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7"/>
        <w:gridCol w:w="2168"/>
        <w:gridCol w:w="1858"/>
        <w:gridCol w:w="2169"/>
      </w:tblGrid>
      <w:tr>
        <w:trPr>
          <w:tblHeader w:val="true"/>
          <w:cantSplit/>
        </w:trPr>
        <w:tc>
          <w:tcPr>
            <w:tcW w:type="dxa" w:w="309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锁定时间</w:t>
            </w:r>
          </w:p>
        </w:tc>
        <w:tc>
          <w:tcPr>
            <w:tcW w:type="dxa" w:w="185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16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所需证据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首版采用制箔或贴箔主线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7月23日前（首次访谈后48小时内）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指导教师＋岗位2／3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访谈纪要、专业确认、技术评估</w:t>
            </w:r>
          </w:p>
        </w:tc>
      </w:tr>
      <w:tr>
        <w:trPr>
          <w:cantSplit/>
        </w:trPr>
        <w:tc>
          <w:tcPr>
            <w:tcW w:type="dxa" w:w="30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非遗项目正式名称与认定信息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7月30日前（申报准备第1—2周）</w:t>
            </w:r>
          </w:p>
        </w:tc>
        <w:tc>
          <w:tcPr>
            <w:tcW w:type="dxa" w:w="185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  <w:tc>
          <w:tcPr>
            <w:tcW w:type="dxa" w:w="216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官方名录或保护单位材料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小程序正式名称与视觉识别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7月30日前后（低保真原型评审时）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岗位1／3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命名清单、合作方意见</w:t>
            </w:r>
          </w:p>
        </w:tc>
      </w:tr>
      <w:tr>
        <w:trPr>
          <w:cantSplit/>
        </w:trPr>
        <w:tc>
          <w:tcPr>
            <w:tcW w:type="dxa" w:w="30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AR展示对象与最低设备基线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8月6日前后（3D技术原型评审时）</w:t>
            </w:r>
          </w:p>
        </w:tc>
        <w:tc>
          <w:tcPr>
            <w:tcW w:type="dxa" w:w="185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</w:t>
            </w:r>
          </w:p>
        </w:tc>
        <w:tc>
          <w:tcPr>
            <w:tcW w:type="dxa" w:w="216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模型样例、6台设备测试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正式研究问卷与同意文本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8月13日前（首轮正式研究前）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岗位4＋指导教师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预测试、修改记录、定稿文件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工艺路线锁定后，团队应立即完成交互脚本、素材清单、3D资产清单和P0任务拆解，并将本PRD更新为下一正式版本（预计V0.4）。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建议执行顺序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完成首次访谈并锁定制箔或贴箔主线。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岗位1产出低保真流程原型，岗位3同步完成对应内容与拍摄清单。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岗位2制作一个步骤的3D技术原型并在6台设备中先测中低档机。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岗位4定义埋点字段、前后测和测试招募流程。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四岗位共同评审后进入P0开发，按需求编号逐项验收。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15. 风险登记表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本表汇总项目关键风险，供四岗位与指导教师在里程碑评审时对照复盘；风险状态应随项目进展更新，而非一次性固化。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162"/>
        <w:gridCol w:w="1568"/>
        <w:gridCol w:w="2497"/>
        <w:gridCol w:w="1336"/>
        <w:gridCol w:w="929"/>
      </w:tblGrid>
      <w:tr>
        <w:trPr>
          <w:tblHeader w:val="true"/>
          <w:cantSplit/>
        </w:trPr>
        <w:tc>
          <w:tcPr>
            <w:tcW w:type="dxa" w:w="18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62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影响域／等级</w:t>
            </w:r>
          </w:p>
        </w:tc>
        <w:tc>
          <w:tcPr>
            <w:tcW w:type="dxa" w:w="15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触发信号</w:t>
            </w:r>
          </w:p>
        </w:tc>
        <w:tc>
          <w:tcPr>
            <w:tcW w:type="dxa" w:w="249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应对预案</w:t>
            </w:r>
          </w:p>
        </w:tc>
        <w:tc>
          <w:tcPr>
            <w:tcW w:type="dxa" w:w="1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状态／下次复核</w:t>
            </w:r>
          </w:p>
        </w:tc>
        <w:tc>
          <w:tcPr>
            <w:tcW w:type="dxa" w:w="92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首次专业访谈延期，未能48小时内锁定制箔／贴箔</w:t>
            </w:r>
          </w:p>
        </w:tc>
        <w:tc>
          <w:tcPr>
            <w:tcW w:type="dxa" w:w="116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内容／进度｜高</w:t>
            </w:r>
          </w:p>
        </w:tc>
        <w:tc>
          <w:tcPr>
            <w:tcW w:type="dxa" w:w="15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访谈未如期安排；专业意见尚不足以锁定主线</w:t>
            </w:r>
          </w:p>
        </w:tc>
        <w:tc>
          <w:tcPr>
            <w:tcW w:type="dxa" w:w="24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设置访谈硬截止日（不晚于7月23日）；逾期时仅建立内部临时技术占位路线，用于交互和性能验证，不对外发布；专业确认后可以调整或推翻临时路线。</w:t>
            </w:r>
          </w:p>
        </w:tc>
        <w:tc>
          <w:tcPr>
            <w:tcW w:type="dxa" w:w="1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观察中／7月20日</w:t>
            </w:r>
          </w:p>
        </w:tc>
        <w:tc>
          <w:tcPr>
            <w:tcW w:type="dxa" w:w="92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指导教师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传承人拍摄、形象或工艺授权未能及时取得</w:t>
            </w:r>
          </w:p>
        </w:tc>
        <w:tc>
          <w:tcPr>
            <w:tcW w:type="dxa" w:w="116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内容／合规｜高</w:t>
            </w:r>
          </w:p>
        </w:tc>
        <w:tc>
          <w:tcPr>
            <w:tcW w:type="dxa" w:w="15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授权协商超过2周仍未达成</w:t>
            </w:r>
          </w:p>
        </w:tc>
        <w:tc>
          <w:tcPr>
            <w:tcW w:type="dxa" w:w="24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提前准备书面授权模板；未授权素材仅用于内部联调，不进入公开版本；必要时使用已获授权的专业老师讲解素材作为内部P0替代。</w:t>
            </w:r>
          </w:p>
        </w:tc>
        <w:tc>
          <w:tcPr>
            <w:tcW w:type="dxa" w:w="1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观察中／7月24日</w:t>
            </w:r>
          </w:p>
        </w:tc>
        <w:tc>
          <w:tcPr>
            <w:tcW w:type="dxa" w:w="92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XR-Frame手势或动作识别技术不可行</w:t>
            </w:r>
          </w:p>
        </w:tc>
        <w:tc>
          <w:tcPr>
            <w:tcW w:type="dxa" w:w="116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技术｜高</w:t>
            </w:r>
          </w:p>
        </w:tc>
        <w:tc>
          <w:tcPr>
            <w:tcW w:type="dxa" w:w="15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单步骤原型仍无法稳定识别</w:t>
            </w:r>
          </w:p>
        </w:tc>
        <w:tc>
          <w:tcPr>
            <w:tcW w:type="dxa" w:w="24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降级为点击、拖动或滑动等简化交互，保留引导完成原则；在P0开发前暴露并记录降级决定。</w:t>
            </w:r>
          </w:p>
        </w:tc>
        <w:tc>
          <w:tcPr>
            <w:tcW w:type="dxa" w:w="1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验证中／8月6日</w:t>
            </w:r>
          </w:p>
        </w:tc>
        <w:tc>
          <w:tcPr>
            <w:tcW w:type="dxa" w:w="92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中低端机型加载时间或资源体积超预算</w:t>
            </w:r>
          </w:p>
        </w:tc>
        <w:tc>
          <w:tcPr>
            <w:tcW w:type="dxa" w:w="116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技术／性能｜中高</w:t>
            </w:r>
          </w:p>
        </w:tc>
        <w:tc>
          <w:tcPr>
            <w:tcW w:type="dxa" w:w="15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中低档机加载超过15秒或帧率过低</w:t>
            </w:r>
          </w:p>
        </w:tc>
        <w:tc>
          <w:tcPr>
            <w:tcW w:type="dxa" w:w="24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先压缩模型与纹理，再降低特效和交互复杂度；仍不达标时启用2D、图文或视频替代路径。</w:t>
            </w:r>
          </w:p>
        </w:tc>
        <w:tc>
          <w:tcPr>
            <w:tcW w:type="dxa" w:w="1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验证中／8月6日</w:t>
            </w:r>
          </w:p>
        </w:tc>
        <w:tc>
          <w:tcPr>
            <w:tcW w:type="dxa" w:w="92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800+真实用户目标未达成</w:t>
            </w:r>
          </w:p>
        </w:tc>
        <w:tc>
          <w:tcPr>
            <w:tcW w:type="dxa" w:w="116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增长／指标｜中</w:t>
            </w:r>
          </w:p>
        </w:tc>
        <w:tc>
          <w:tcPr>
            <w:tcW w:type="dxa" w:w="15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30—50人测试后，渠道转化预估明显低于目标</w:t>
            </w:r>
          </w:p>
        </w:tc>
        <w:tc>
          <w:tcPr>
            <w:tcW w:type="dxa" w:w="24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按渠道执行获客路径；申报前根据真实测试校准目标，数据不足时如实调整，不将目标值表述为既有成果。</w:t>
            </w:r>
          </w:p>
        </w:tc>
        <w:tc>
          <w:tcPr>
            <w:tcW w:type="dxa" w:w="1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未触发／8月20日</w:t>
            </w:r>
          </w:p>
        </w:tc>
        <w:tc>
          <w:tcPr>
            <w:tcW w:type="dxa" w:w="92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团队成员退出或投入不足</w:t>
            </w:r>
          </w:p>
        </w:tc>
        <w:tc>
          <w:tcPr>
            <w:tcW w:type="dxa" w:w="116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团队｜高</w:t>
            </w:r>
          </w:p>
        </w:tc>
        <w:tc>
          <w:tcPr>
            <w:tcW w:type="dxa" w:w="15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原型评审或P0评审交付延迟</w:t>
            </w:r>
          </w:p>
        </w:tc>
        <w:tc>
          <w:tcPr>
            <w:tcW w:type="dxa" w:w="24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明确岗位备份人；代码、素材、数据和文档每周交接，不在临近交付时集中补齐。</w:t>
            </w:r>
          </w:p>
        </w:tc>
        <w:tc>
          <w:tcPr>
            <w:tcW w:type="dxa" w:w="1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未触发／每周五</w:t>
            </w:r>
          </w:p>
        </w:tc>
        <w:tc>
          <w:tcPr>
            <w:tcW w:type="dxa" w:w="92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指导教师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研究样本知情同意或招募不足</w:t>
            </w:r>
          </w:p>
        </w:tc>
        <w:tc>
          <w:tcPr>
            <w:tcW w:type="dxa" w:w="116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研究｜中</w:t>
            </w:r>
          </w:p>
        </w:tc>
        <w:tc>
          <w:tcPr>
            <w:tcW w:type="dxa" w:w="15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首轮正式研究招募未达到计划样本</w:t>
            </w:r>
          </w:p>
        </w:tc>
        <w:tc>
          <w:tcPr>
            <w:tcW w:type="dxa" w:w="24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结合线下活动招募；研究补偿遵循知情自愿并与传播激励分开，不以奖励替代告知和明确同意。</w:t>
            </w:r>
          </w:p>
        </w:tc>
        <w:tc>
          <w:tcPr>
            <w:tcW w:type="dxa" w:w="1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未触发／8月13日</w:t>
            </w:r>
          </w:p>
        </w:tc>
        <w:tc>
          <w:tcPr>
            <w:tcW w:type="dxa" w:w="92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内容审核形成瓶颈</w:t>
            </w:r>
          </w:p>
        </w:tc>
        <w:tc>
          <w:tcPr>
            <w:tcW w:type="dxa" w:w="116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内容／进度｜中</w:t>
            </w:r>
          </w:p>
        </w:tc>
        <w:tc>
          <w:tcPr>
            <w:tcW w:type="dxa" w:w="15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待审内容积压超过约定审核周期</w:t>
            </w:r>
          </w:p>
        </w:tc>
        <w:tc>
          <w:tcPr>
            <w:tcW w:type="dxa" w:w="24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约定3个工作日反馈的审核目标，批量提交并保留版本；未审核内容不得进入公开版本。</w:t>
            </w:r>
          </w:p>
        </w:tc>
        <w:tc>
          <w:tcPr>
            <w:tcW w:type="dxa" w:w="1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未触发／8月13日</w:t>
            </w:r>
          </w:p>
        </w:tc>
        <w:tc>
          <w:tcPr>
            <w:tcW w:type="dxa" w:w="92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岗位3</w:t>
            </w:r>
          </w:p>
        </w:tc>
      </w:tr>
    </w:tbl>
    <w:p>
      <w:pPr>
        <w:spacing w:after="12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使用说明｜</w:t>
      </w:r>
      <w:r>
        <w:rPr>
          <w:rFonts w:ascii="Microsoft YaHei" w:hAnsi="Microsoft YaHei" w:eastAsia="微软雅黑"/>
          <w:color w:val="332B22"/>
          <w:sz w:val="21"/>
        </w:rPr>
        <w:t>新增风险须补充影响域、触发信号、应对预案、当前状态和复核时间；每周更新状态及实际处置记录。已缓解风险保留记录并标注状态，不删除。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16. 获客路径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现有指标中“800+真实用户”与“短视频8—12期”是孤立的两个数字，中间需要一层转化路径来承接，建议按渠道拆解执行与复盘。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3000"/>
        <w:gridCol w:w="2600"/>
        <w:gridCol w:w="2092"/>
      </w:tblGrid>
      <w:tr>
        <w:trPr>
          <w:tblHeader w:val="true"/>
          <w:cantSplit/>
        </w:trPr>
        <w:tc>
          <w:tcPr>
            <w:tcW w:type="dxa" w:w="16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渠道</w:t>
            </w:r>
          </w:p>
        </w:tc>
        <w:tc>
          <w:tcPr>
            <w:tcW w:type="dxa" w:w="30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具体形式</w:t>
            </w:r>
          </w:p>
        </w:tc>
        <w:tc>
          <w:tcPr>
            <w:tcW w:type="dxa" w:w="26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预期作用</w:t>
            </w:r>
          </w:p>
        </w:tc>
        <w:tc>
          <w:tcPr>
            <w:tcW w:type="dxa" w:w="2092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承接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短视频（抖音/视频号/B站，8—12期）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传承人故事片段＋“3分钟体验”引导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建立认知，引发好奇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视频简介/评论区二维码 → 首页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校园海报/易拉宝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3场线下活动现场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触达on-site人群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扫码即入首页（HOME-04已埋点来源）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课程植入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与高校相关课程（设计/文化类）老师合作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精准触达18—24岁目标人群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课堂扫码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分享海报（RES-04/SHR-01）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用户完成体验后自发分享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二次传播，边际成本最低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好友扫码 → 首页，需在分享来源加埋点验证裂变效果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7"/>
              </w:rPr>
              <w:t xml:space="preserve">校园社群/社团合作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非遗相关社团、学生会渠道转发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冷启动种子用户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color w:val="332B22"/>
                <w:sz w:val="17"/>
              </w:rPr>
              <w:t xml:space="preserve">群内链接/二维码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建议动作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color w:val="332B22"/>
          <w:sz w:val="21"/>
        </w:rPr>
        <w:t xml:space="preserve">在home_cta_click事件的source字段中，提前定义渠道枚举值（如video_douyin／poster_campus／share_friend／course／community），使800+目标可按渠道拆解复盘。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b/>
          <w:color w:val="6F5016"/>
          <w:sz w:val="21"/>
        </w:rPr>
      </w:r>
      <w:r>
        <w:rPr>
          <w:rFonts w:ascii="Microsoft YaHei" w:hAnsi="Microsoft YaHei" w:eastAsia="微软雅黑"/>
          <w:color w:val="332B22"/>
          <w:sz w:val="21"/>
        </w:rPr>
        <w:t>3场线下活动应作为获客重点抓手：现场直接扫码体验；如设置传播激励，应保持自愿、适度且与正式研究参与无关。研究样本的知情同意与研究补偿另行管理。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微软雅黑"/>
          <w:color w:val="332B22"/>
          <w:sz w:val="21"/>
        </w:rPr>
        <w:t xml:space="preserve">短视频发布节奏建议与活动时间错开或呼应（如活动前一周发预热短视频），避免内容发布和活动成为两条不相关的时间线。</w:t>
      </w: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口径说明｜</w:t>
      </w:r>
      <w:r>
        <w:rPr>
          <w:rFonts w:ascii="Microsoft YaHei" w:hAnsi="Microsoft YaHei" w:eastAsia="微软雅黑"/>
          <w:color w:val="332B22"/>
          <w:sz w:val="21"/>
        </w:rPr>
        <w:t xml:space="preserve">本节渠道效果同样适用第1.3节“口径说明”约束：申报前以30—50人测试数据校准，不得在申报书中表述为已取得成果。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17. 项目排期与里程碑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 xml:space="preserve">以2026年7月17日为起点、9月初参赛为终点，倒排7周里程碑；此排期基于当前假设的启动日期，若首次访谈实际时间提前或推迟，后续周次应整体平移，而不是压缩P0联调与真机测试时间。</w:t>
      </w:r>
    </w:p>
    <w:tbl>
      <w:tblPr>
        <w:tblStyle w:val="TableGrid"/>
        <w:tblW w:type="dxa" w:w="8292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900"/>
        <w:gridCol w:w="1900"/>
        <w:gridCol w:w="2400"/>
        <w:gridCol w:w="3092"/>
      </w:tblGrid>
      <w:tr>
        <w:trPr>
          <w:tblHeader w:val="true"/>
          <w:cantSplit/>
        </w:trPr>
        <w:tc>
          <w:tcPr>
            <w:tcW w:type="dxa" w:w="9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周次</w:t>
            </w:r>
          </w:p>
        </w:tc>
        <w:tc>
          <w:tcPr>
            <w:tcW w:type="dxa" w:w="19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日期区间</w:t>
            </w:r>
          </w:p>
        </w:tc>
        <w:tc>
          <w:tcPr>
            <w:tcW w:type="dxa" w:w="2400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里程碑</w:t>
            </w:r>
          </w:p>
        </w:tc>
        <w:tc>
          <w:tcPr>
            <w:tcW w:type="dxa" w:w="3092"/>
            <w:vAlign w:val="center"/>
            <w:shd w:fill="6F5016" w:val="clea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 xml:space="preserve">关键产出／验收对照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5"/>
              </w:rPr>
              <w:t xml:space="preserve">第1周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7月17日—7月23日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完成首次专业访谈，锁定制箔或贴箔主线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访谈纪要、专业确认（对应第14节“首版采用制箔或贴箔主线”）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5"/>
              </w:rPr>
              <w:t xml:space="preserve">第2周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7月24日—7月30日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低保真流程原型、内容拍摄清单与授权边界确认；3D单步骤技术原型启动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岗位1原型、岗位3拍摄与授权清单；小程序名称和视觉识别锁定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5"/>
              </w:rPr>
              <w:t xml:space="preserve">第3周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7月31日—8月6日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3D单步骤原型完成中低档机测试；正式拍摄；前端骨架、云环境和埋点字典完成；P0开发启动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模型样例与6台设备记录；开场及三步骤原始素材；埋点字典初稿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5"/>
              </w:rPr>
              <w:t xml:space="preserve">第4周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8月7日—8月13日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P0核心流程开发；视频剪辑、字幕、专业审核与内容导入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HOME／EXP／INT／RES逐项开发；开场和3段步骤视频审核通过；问卷与同意文本定稿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5"/>
              </w:rPr>
              <w:t xml:space="preserve">第5周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8月14日—8月20日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P0联调、体验版发布、埋点核验、6台真机兼容测试和30—50人测试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体验版二维码；真机与弱网／权限记录；测试问题清单和数据摘要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5"/>
              </w:rPr>
              <w:t xml:space="preserve">第6周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8月21日—8月27日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问题修复、性能与降级优化、内容导入收尾和P0演示数据整理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完成率漏斗、退出步骤统计、降级测试记录；内容台账审核状态清零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b/>
                <w:color w:val="332B22"/>
                <w:sz w:val="15"/>
              </w:rPr>
              <w:t xml:space="preserve">第7周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  <w:t xml:space="preserve">8月28日—9月3日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版本冻结、最终演练、申报材料和演示准备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color w:val="332B22"/>
                <w:sz w:val="15"/>
              </w:rPr>
            </w:r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P0验收通过；材料、PPT、演示脚本和部署备份定稿；备赛9月初比赛</w:t>
            </w:r>
          </w:p>
        </w:tc>
      </w:tr>
    </w:tbl>
    <w:p>
      <w:pPr>
        <w:spacing w:after="12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排期原则｜</w:t>
      </w:r>
      <w:r>
        <w:rPr>
          <w:rFonts w:ascii="Microsoft YaHei" w:hAnsi="Microsoft YaHei" w:eastAsia="微软雅黑"/>
          <w:color w:val="332B22"/>
          <w:sz w:val="21"/>
        </w:rPr>
        <w:t>P0申报演示验收须在参赛前至少预留1周缓冲；第5周测试发现重大问题时，第6周优先修复。三步流程必须完整，至少一个步骤达到高保真；技术风险触发时，其余步骤可采用简化交互，但不得取消真实视频、即时反馈和结果页。岗位周任务详见《金箔非遗项目四岗位7周任务与验收表V0.1》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附录：技术与合规参考</w:t>
      </w:r>
    </w:p>
    <w:p>
      <w:pPr>
        <w:spacing w:after="40" w:line="240" w:lineRule="auto"/>
      </w:pPr>
      <w:r>
        <w:rPr>
          <w:rFonts w:ascii="Microsoft YaHei" w:hAnsi="Microsoft YaHei" w:eastAsia="微软雅黑"/>
          <w:color w:val="332B22"/>
          <w:sz w:val="18"/>
        </w:rPr>
        <w:t>微信XR-Frame官方文档：https://developers.weixin.qq.com/miniprogram/dev/component/xr-frame/</w:t>
      </w:r>
    </w:p>
    <w:p>
      <w:pPr>
        <w:spacing w:after="40" w:line="240" w:lineRule="auto"/>
      </w:pPr>
      <w:r>
        <w:rPr>
          <w:rFonts w:ascii="Microsoft YaHei" w:hAnsi="Microsoft YaHei" w:eastAsia="微软雅黑"/>
          <w:color w:val="332B22"/>
          <w:sz w:val="18"/>
        </w:rPr>
        <w:t>腾讯云开发CloudBase官方文档：https://cloud.tencent.cn/document/product/876/121103</w:t>
      </w:r>
    </w:p>
    <w:p>
      <w:pPr>
        <w:spacing w:after="40" w:line="240" w:lineRule="auto"/>
      </w:pPr>
      <w:r>
        <w:rPr>
          <w:rFonts w:ascii="Microsoft YaHei" w:hAnsi="Microsoft YaHei" w:eastAsia="微软雅黑"/>
          <w:color w:val="332B22"/>
          <w:sz w:val="18"/>
        </w:rPr>
        <w:t>《中华人民共和国个人信息保护法》：https://www.npc.gov.cn/npc/c2/c30834/202108/t20210820_313088.html</w:t>
      </w:r>
    </w:p>
    <w:p>
      <w:pPr>
        <w:spacing w:before="40" w:after="0" w:line="24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18"/>
        </w:rPr>
        <w:t>版本说明｜</w:t>
      </w:r>
      <w:r>
        <w:rPr>
          <w:rFonts w:ascii="Microsoft YaHei" w:hAnsi="Microsoft YaHei" w:eastAsia="微软雅黑"/>
          <w:b w:val="0"/>
          <w:color w:val="332B22"/>
          <w:sz w:val="18"/>
        </w:rPr>
        <w:t>PRD V0.3固化截至当前已确认的产品决策；涉及合作对象身份、正式工艺路线和真实素材的内容，须以首次专业访谈及书面审核为准。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47" w:bottom="1077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微软雅黑"/>
        <w:color w:val="6F675F"/>
        <w:sz w:val="18"/>
      </w:rPr>
      <w:t xml:space="preserve">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7"/>
      </w:rPr>
      <w:t>金箔非遗数字体验与活化传播项目</w:t>
    </w:r>
    <w:r>
      <w:rPr>
        <w:rFonts w:ascii="Microsoft YaHei" w:hAnsi="Microsoft YaHei" w:eastAsia="微软雅黑"/>
        <w:color w:val="6F675F"/>
        <w:sz w:val="17"/>
      </w:rPr>
      <w:t xml:space="preserve">    |    产品需求文档 PRD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微软雅黑"/>
      <w:b w:val="0"/>
      <w:color w:val="332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金箔非遗小程序产品需求文档 PRD V0.3</dc:title>
  <dc:subject>广东省攀登计划金箔非遗数字体验项目产品需求与执行基线</dc:subject>
  <dc:creator>项目团队</dc:creator>
  <cp:keywords>金箔, 非遗, 微信小程序, 3D互动, XR-Frame, CloudBase,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