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YaHei" w:hAnsi="Microsoft YaHei" w:eastAsia="微软雅黑"/>
          <w:b/>
          <w:color w:val="A5781E"/>
          <w:sz w:val="19"/>
        </w:rPr>
        <w:t>广东省攀登计划 · 学生执行文件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8"/>
        </w:rPr>
        <w:t>金箔非遗项目四岗位7周任务与验收表</w:t>
      </w:r>
    </w:p>
    <w:p>
      <w:pPr>
        <w:spacing w:after="180"/>
      </w:pPr>
      <w:r>
        <w:rPr>
          <w:rFonts w:ascii="Microsoft YaHei" w:hAnsi="Microsoft YaHei" w:eastAsia="微软雅黑"/>
          <w:color w:val="6F675F"/>
          <w:sz w:val="23"/>
        </w:rPr>
        <w:t>V0.1｜从岗位选择到P0申报演示验收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3"/>
        <w:gridCol w:w="12915"/>
      </w:tblGrid>
      <w:tr>
        <w:trPr>
          <w:tblHeader w:val="true"/>
          <w:cantSplit/>
        </w:trPr>
        <w:tc>
          <w:tcPr>
            <w:tcW w:type="dxa" w:w="210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执行项</w:t>
            </w:r>
          </w:p>
        </w:tc>
        <w:tc>
          <w:tcPr>
            <w:tcW w:type="dxa" w:w="1291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当前定义</w:t>
            </w:r>
          </w:p>
        </w:tc>
      </w:tr>
      <w:tr>
        <w:trPr>
          <w:cantSplit/>
        </w:trPr>
        <w:tc>
          <w:tcPr>
            <w:tcW w:type="dxa" w:w="210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执行周期</w:t>
            </w:r>
          </w:p>
        </w:tc>
        <w:tc>
          <w:tcPr>
            <w:tcW w:type="dxa" w:w="129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2026年7月17日—9月3日，共7周；官方节点变化时整体平移</w:t>
            </w:r>
          </w:p>
        </w:tc>
      </w:tr>
      <w:tr>
        <w:trPr>
          <w:cantSplit/>
        </w:trPr>
        <w:tc>
          <w:tcPr>
            <w:tcW w:type="dxa" w:w="210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团队结构</w:t>
            </w:r>
          </w:p>
        </w:tc>
        <w:tc>
          <w:tcPr>
            <w:tcW w:type="dxa" w:w="129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4名学生、4个主责岗位；每个岗位设置可接手的备份协作人</w:t>
            </w:r>
          </w:p>
        </w:tc>
      </w:tr>
      <w:tr>
        <w:trPr>
          <w:cantSplit/>
        </w:trPr>
        <w:tc>
          <w:tcPr>
            <w:tcW w:type="dxa" w:w="210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核心目标</w:t>
            </w:r>
          </w:p>
        </w:tc>
        <w:tc>
          <w:tcPr>
            <w:tcW w:type="dxa" w:w="129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完成P0三步体验、真实内容、埋点、真机测试和申报演示证据</w:t>
            </w:r>
          </w:p>
        </w:tc>
      </w:tr>
      <w:tr>
        <w:trPr>
          <w:cantSplit/>
        </w:trPr>
        <w:tc>
          <w:tcPr>
            <w:tcW w:type="dxa" w:w="210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验收方式</w:t>
            </w:r>
          </w:p>
        </w:tc>
        <w:tc>
          <w:tcPr>
            <w:tcW w:type="dxa" w:w="129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每周提交可检查交付物，由协作岗位复核，指导教师完成里程碑验收</w:t>
            </w:r>
          </w:p>
        </w:tc>
      </w:tr>
    </w:tbl>
    <w:p>
      <w:pPr>
        <w:spacing w:after="2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执行规则｜</w:t>
      </w:r>
      <w:r>
        <w:rPr>
          <w:rFonts w:ascii="Microsoft YaHei" w:hAnsi="Microsoft YaHei" w:eastAsia="微软雅黑"/>
          <w:color w:val="332B22"/>
          <w:sz w:val="21"/>
        </w:rPr>
        <w:t>状态统一使用“未开始、进行中、待验收、已通过、需返工、已阻塞”。工艺真实性、素材授权和知情同意属于否决性条件，不以进度压力降低要求。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岗位边界与固定协作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2"/>
        <w:gridCol w:w="6608"/>
        <w:gridCol w:w="6458"/>
      </w:tblGrid>
      <w:tr>
        <w:trPr>
          <w:tblHeader w:val="true"/>
          <w:cantSplit/>
        </w:trPr>
        <w:tc>
          <w:tcPr>
            <w:tcW w:type="dxa" w:w="195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660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</w:t>
            </w:r>
          </w:p>
        </w:tc>
        <w:tc>
          <w:tcPr>
            <w:tcW w:type="dxa" w:w="645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固定协作与备份</w:t>
            </w:r>
          </w:p>
        </w:tc>
      </w:tr>
      <w:tr>
        <w:trPr>
          <w:cantSplit/>
        </w:trPr>
        <w:tc>
          <w:tcPr>
            <w:tcW w:type="dxa" w:w="19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1 产品与前端</w:t>
            </w:r>
          </w:p>
        </w:tc>
        <w:tc>
          <w:tcPr>
            <w:tcW w:type="dxa" w:w="6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原型、页面、视频呈现、结果页、内容入口和前端埋点</w:t>
            </w:r>
          </w:p>
        </w:tc>
        <w:tc>
          <w:tcPr>
            <w:tcW w:type="dxa" w:w="64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与岗位2共同维护主流程；与岗位3完成内容上架</w:t>
            </w:r>
          </w:p>
        </w:tc>
      </w:tr>
      <w:tr>
        <w:trPr>
          <w:cantSplit/>
        </w:trPr>
        <w:tc>
          <w:tcPr>
            <w:tcW w:type="dxa" w:w="195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2 3D与技术</w:t>
            </w:r>
          </w:p>
        </w:tc>
        <w:tc>
          <w:tcPr>
            <w:tcW w:type="dxa" w:w="660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XR-Frame、3D交互、CloudBase、性能、权限、部署和数据</w:t>
            </w:r>
          </w:p>
        </w:tc>
        <w:tc>
          <w:tcPr>
            <w:tcW w:type="dxa" w:w="645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与岗位1共同开发；与岗位4完成埋点核验</w:t>
            </w:r>
          </w:p>
        </w:tc>
      </w:tr>
      <w:tr>
        <w:trPr>
          <w:cantSplit/>
        </w:trPr>
        <w:tc>
          <w:tcPr>
            <w:tcW w:type="dxa" w:w="19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3 内容与档案</w:t>
            </w:r>
          </w:p>
        </w:tc>
        <w:tc>
          <w:tcPr>
            <w:tcW w:type="dxa" w:w="66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访谈、拍摄、授权、内容台账、专业审核和传播素材</w:t>
            </w:r>
          </w:p>
        </w:tc>
        <w:tc>
          <w:tcPr>
            <w:tcW w:type="dxa" w:w="64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与岗位1上架内容；与岗位4支持活动和访谈</w:t>
            </w:r>
          </w:p>
        </w:tc>
      </w:tr>
      <w:tr>
        <w:trPr>
          <w:cantSplit/>
        </w:trPr>
        <w:tc>
          <w:tcPr>
            <w:tcW w:type="dxa" w:w="195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6"/>
              </w:rPr>
              <w:t>4 调研与实践</w:t>
            </w:r>
          </w:p>
        </w:tc>
        <w:tc>
          <w:tcPr>
            <w:tcW w:type="dxa" w:w="660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研究、同意、问卷、测试、活动、数据分析和证据归档</w:t>
            </w:r>
          </w:p>
        </w:tc>
        <w:tc>
          <w:tcPr>
            <w:tcW w:type="dxa" w:w="645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与岗位2复算数据；与岗位3开展校园实践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第1周｜7月17日—7月23日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完成专业访谈并锁定工艺主线，同时建立授权、技术和研究基线。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参加专业访谈，整理目标用户、核心流程、P0页面和待决策项；建立产品决策记录。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依赖岗位3的访谈安排与纪要；与岗位2共同判断交互可实现性。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P0页面清单V0.1、待决策清单、产品决策记录。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覆盖首页、体验、结果页及异常入口；每个待决策项均有责任人、期限和证据要求。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建立微信小程序、CloudBase和XR-Frame基础环境；准备6台真机清单；评估制箔与贴箔的技术差异。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依赖岗位1的核心流程；从岗位3获得候选动作、工具和材料信息。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可运行工程骨架、XR基础场景、设备清单、技术可行性记录。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至少1台真机可运行XR基础场景；明确两条候选路线的模型、手势、性能和降级风险。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组织首次访谈，核实项目和合作对象信息，明确可拍摄工艺、公开边界与授权范围。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全体参加关键访谈；岗位2提供技术问题，岗位4提供研究问题。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访谈纪要、专业确认、身份依据清单、授权事项清单、首批素材目录。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制箔或贴箔主线有专业依据；每类素材标明可拍、可公开、需补授权或不可使用。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定义一般用户层与正式研究层的目标、样本口径、招募路径和前后测构念。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依赖岗位1的用户路径；与岗位3确认访谈和活动可接触人群。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研究目标说明、样本口径表、招募计划、前后测构念清单。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明确800用户、100配对样本和30—50人测试的定义、排除规则与证据来源。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第2周｜7月24日—7月30日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完成低保真方案、拍摄与资产清单，启动单步骤3D原型和研究工具设计。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制作首页至结果页的低保真可点击原型，补齐加载、空状态、退出、权限拒绝和降级路径。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工艺主线已锁定；岗位2反馈技术边界，岗位3审核文化表述。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低保真原型V0.1、页面状态清单、评审问题单。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主流程无需注册可完成；覆盖HOME、EXP、INT、RES及主要异常状态；评审问题均有结论。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指导教师＋岗位2／3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制定模型、纹理、动画、手势和资源体积规范；启动一个代表性步骤的技术原型。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依赖岗位3提供工具、材料和动作参考；与岗位1确认反馈方式。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3D资产规范V0.1、GLB资产清单、单步骤原型工程。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核心GLB目标不超过6MB；交互动作、反馈、提示和降级方案均写入规范。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岗位1＋指导教师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完成开场及三步骤拍摄脚本、镜头清单、采访提纲和内容台账；推进书面授权。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依赖岗位1的低保真流程和岗位2的动作／资产需求。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拍摄执行单、采访提纲、内容台账V0.1、授权文件清单。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每个视频段落对应一个体验节点；素材均有内容ID、来源、授权状态和审核人字段。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指导教师＋岗位1／2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形成埋点字典和问卷初稿，定义渠道来源、完成率、继续探索率及研究编号规则。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依赖岗位1页面清单和岗位2事件实现方式；与岗位3核对知识题。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埋点字典V0.1、问卷V0.1、知情同意文本V0.1、招募话术。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事件覆盖home_cta_click至activity_interest；联系方式、问卷和行为数据分表设计明确。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第3周｜7月31日—8月6日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完成单步骤技术验证、正式拍摄、前端骨架和研究预测试。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建立首页、体验、结果页和导航骨架；确定基础视觉组件和前端埋点接入位置。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使用已评审低保真原型；与岗位2约定页面和3D场景接口。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前端工程骨架、组件清单、可点击高保真关键页面、接口约定。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首页可进入体验占位页；返回、退出和降级入口可用；组件命名和状态统一。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岗位2＋指导教师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完成单步骤3D原型、CloudBase基础集合和6台设备中的中低档机优先测试。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依赖岗位3的动作参考与岗位1的交互反馈；向岗位4提供事件字段。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单步骤可操作原型、设备测试记录、性能数据、技术路线结论、埋点字典技术稿。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中档机6秒目标有实测记录；失败时有点击／滑动或2D替代；主线技术路线可进入P0开发。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实施正式拍摄并完成双份备份；整理开场和三步骤素材，剪出一个示例片段。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依赖拍摄授权和技术镜头清单；岗位4协助现场记录。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原始素材包、备份清单、素材ID目录、示例短片、拍摄现场记录。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关键镜头完整、声音可用、人物和工艺信息一致；所有素材可追溯至授权与来源。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指导教师＋岗位1／2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对问卷和知情同意文本进行8—12人预测试；冻结渠道枚举和数据质量规则。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依赖岗位2的事件字段和岗位3的知识内容；测试对象不计入正式样本。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预测试记录、问卷V0.2、同意文本V0.2、埋点字典定稿。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题目无明显歧义；前后测可配对；渠道、测试账号、无效数据和退出样本规则明确。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第4周｜8月7日—8月13日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完成P0三步流程、视频成片与审核，并冻结测试工具。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开发首页、分段视频、结果页和导航；接入3D场景、内容配置、权限与异常提示。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依赖岗位2提供三步场景接口，岗位3提供审核视频和文案。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HOME／EXP／RES功能、前端埋点、分享与降级入口。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HOME-01至HOME-04、EXP-01至EXP-04、RES-01至RES-05可按验收口径逐项检查。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实现三步完整3D流程、提示重试、描述性反馈、结果作品、核心埋点和加载降级。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依赖岗位1的页面接口和岗位3的专业动作审核；与岗位4核对数据。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INT三步场景、结果作品、行为事件、加载和2D／视频降级逻辑。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INT-01至INT-06通过；三步均可完成，至少1步高保真；简化步骤不得取消真实视频、即时反馈和结果页。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指导教师＋岗位1／4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完成开场和三段步骤视频剪辑、字幕、解说、专业审核及小程序导入包。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岗位1提供画幅与时长规范；岗位2核对动作节奏；专业老师完成审核。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4段审核视频、字幕文件、审核记录、内容台账V0.2、导入素材包。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开场3—5秒、步骤5—8秒；静音可理解；每项内容有来源、授权、审核人和日期。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指导教师＋专业老师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定稿问卷、同意文本、测试方案和招募名单；建立匿名编号与研究编号管理表。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依赖岗位1／2提供可测试流程和事件版本；岗位3审核知识题。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问卷定稿、同意文本定稿、测试主持稿、招募与编号规则。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一般用户不强制留联系方式；正式研究样本可撤回；三类数据可按研究编号安全关联。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第5周｜8月14日—8月20日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完成P0联调、体验版发布、6台真机测试和首轮30—50人用户测试。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完成前端联调和体验版发布，修复主流程、文案、页面跳转和用户可理解性问题。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依赖岗位2部署和岗位3内容导入；支持岗位4现场测试。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体验版二维码、前端问题清单、修复记录、关键页面截图。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从首页到结果页无需注册可完整体验；空状态、返回和分享失败不阻断主流程。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指导教师＋岗位4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开展6台真机、弱网、断网、相机拒绝、视频失败和埋点准确性测试。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与岗位1联合联调；向岗位4提供可查询事件和测试账号标记。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设备矩阵、性能记录、异常测试、事件核验表、部署版本记录。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无崩溃和死循环；15秒失败可降级；事件不漏报、不重复，测试数据可识别。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指导教师＋岗位1／4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完成上线内容、字幕、授权和文化准确性终检；现场观察用户对视频和术语的理解。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依赖岗位1展示效果和岗位4测试安排；问题回传给专业老师。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上线内容清单、内容终检表、授权索引、用户内容反馈记录。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公开内容全部处于已审核状态；未授权或待确认内容不进入体验版；反馈问题可追踪。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指导教师＋岗位4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组织30—50名高校学生测试，记录完成、退出、继续探索、问卷与访谈反馈。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岗位1／2提供稳定体验版，岗位3协助现场说明；研究补偿与传播激励分开。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招募记录、匿名行为数据、问卷数据、访谈纪要、现场照片和问题优先级。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样本来源与排除规则可追溯；联系方式仅在明确同意的正式研究中收集；问题按严重度分级。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第6周｜8月21日—8月27日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修复高优先级问题，完成性能降级、内容收尾和申报数据摘要。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修复P0高优先级问题并冻结页面结构；完成演示路径、使用说明和申报截图。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依赖岗位4的问题优先级和岗位2的版本；岗位3复核修改文案。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P0候选版本、修复清单、演示路径、使用说明初稿、截图包。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阻断和高优先级问题关闭；页面与PRD一致；新增功能未突破P0范围。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指导教师＋岗位2／4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压缩模型和纹理，优化加载与帧率，完善视频／2D降级、日志、部署和备份。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依据第5周设备记录；与岗位1共同验证降级体验。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优化版本、资源体积表、降级测试记录、部署与恢复说明。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核心GLB和场景资源达到校准目标；中低档机可完成；部署失败可恢复至上一版本。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完成内容台账、素材ID、审核、授权和版本记录收尾，整理申报用人物与工艺证据。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根据测试反馈修改内容；与岗位1确认最终展示版本。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内容证据包、授权索引、审核记录、最终素材目录、精选申报素材。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已发布内容审核状态清零；每项申报素材可追溯；不得使用未确认称号和级别。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清洗测试数据并计算漏斗、退出步骤和继续探索率，形成问题与效果摘要。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依赖岗位2事件数据和岗位1版本号；与岗位3解释内容反馈。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数据字典、清洗记录、漏斗表、用户反馈摘要、改进闭环表。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指标可按原始数据复算；测试账号和无效样本已排除；目标值与既有成果表述严格区分。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第7周｜8月28日—9月3日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本周验收门｜</w:t>
      </w:r>
      <w:r>
        <w:rPr>
          <w:rFonts w:ascii="Microsoft YaHei" w:hAnsi="Microsoft YaHei" w:eastAsia="微软雅黑"/>
          <w:color w:val="332B22"/>
          <w:sz w:val="21"/>
        </w:rPr>
        <w:t>冻结P0版本，完成部署备份、申报材料、演示脚本和答辩演练。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72"/>
        <w:gridCol w:w="3089"/>
        <w:gridCol w:w="2610"/>
        <w:gridCol w:w="2556"/>
        <w:gridCol w:w="3195"/>
        <w:gridCol w:w="1331"/>
        <w:gridCol w:w="1065"/>
      </w:tblGrid>
      <w:tr>
        <w:trPr>
          <w:tblHeader w:val="true"/>
          <w:cantSplit/>
        </w:trPr>
        <w:tc>
          <w:tcPr>
            <w:tcW w:type="dxa" w:w="11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岗位</w:t>
            </w:r>
          </w:p>
        </w:tc>
        <w:tc>
          <w:tcPr>
            <w:tcW w:type="dxa" w:w="308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主责任务</w:t>
            </w:r>
          </w:p>
        </w:tc>
        <w:tc>
          <w:tcPr>
            <w:tcW w:type="dxa" w:w="261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协作／前置依赖</w:t>
            </w:r>
          </w:p>
        </w:tc>
        <w:tc>
          <w:tcPr>
            <w:tcW w:type="dxa" w:w="25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本周交付物</w:t>
            </w:r>
          </w:p>
        </w:tc>
        <w:tc>
          <w:tcPr>
            <w:tcW w:type="dxa" w:w="319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验收标准</w:t>
            </w:r>
          </w:p>
        </w:tc>
        <w:tc>
          <w:tcPr>
            <w:tcW w:type="dxa" w:w="133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验收人</w:t>
            </w:r>
          </w:p>
        </w:tc>
        <w:tc>
          <w:tcPr>
            <w:tcW w:type="dxa" w:w="10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1 产品与前端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冻结P0版本，完成演示操作脚本、关键截图、用户说明和现场演示分工。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与岗位2确认部署版本；使用岗位3／4提供的内容和证据。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P0正式候选版、演示脚本、截图包、使用说明、版本说明。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12.1节P0验收全部通过；3分钟主流程可连续演示；现场操作不依赖临时修改。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2 3D与技术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完成部署、云端和本地备份、离线演示预案、故障恢复与技术答辩材料。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与岗位1联合演练；从岗位4获取数据口径。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部署记录、备份包、离线演示视频、故障清单、技术答辩卡。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网络异常仍有可展示方案；备份可恢复；技术指标与实测记录一致，不夸大能力。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 内容与档案</w:t>
            </w:r>
          </w:p>
        </w:tc>
        <w:tc>
          <w:tcPr>
            <w:tcW w:type="dxa" w:w="308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整理传承人故事、工艺依据、授权和内容审核材料，完成答辩用视觉与视频素材。</w:t>
            </w:r>
          </w:p>
        </w:tc>
        <w:tc>
          <w:tcPr>
            <w:tcW w:type="dxa" w:w="2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与岗位1确认演示画面；向岗位4提供社会文化价值证据。</w:t>
            </w:r>
          </w:p>
        </w:tc>
        <w:tc>
          <w:tcPr>
            <w:tcW w:type="dxa" w:w="25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内容答辩包、精选视频、人物与工艺证据、授权和审核索引。</w:t>
            </w:r>
          </w:p>
        </w:tc>
        <w:tc>
          <w:tcPr>
            <w:tcW w:type="dxa" w:w="319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所有身份、级别和工艺表述有依据；视频与图片授权明确；故事与产品体验一致。</w:t>
            </w:r>
          </w:p>
        </w:tc>
        <w:tc>
          <w:tcPr>
            <w:tcW w:type="dxa" w:w="13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指导教师＋专业老师</w:t>
            </w:r>
          </w:p>
        </w:tc>
        <w:tc>
          <w:tcPr>
            <w:tcW w:type="dxa" w:w="10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</w:trPr>
        <w:tc>
          <w:tcPr>
            <w:tcW w:type="dxa" w:w="117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4 调研与实践</w:t>
            </w:r>
          </w:p>
        </w:tc>
        <w:tc>
          <w:tcPr>
            <w:tcW w:type="dxa" w:w="308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完成申报数据、获客路径、风险状态、PPT证据页和答辩问答，组织全流程演练。</w:t>
            </w:r>
          </w:p>
        </w:tc>
        <w:tc>
          <w:tcPr>
            <w:tcW w:type="dxa" w:w="261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整合岗位1／2／3交付；指导教师校准表述。</w:t>
            </w:r>
          </w:p>
        </w:tc>
        <w:tc>
          <w:tcPr>
            <w:tcW w:type="dxa" w:w="25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数据摘要、风险状态表、获客计划、PPT证据页、答辩题库和演练记录。</w:t>
            </w:r>
          </w:p>
        </w:tc>
        <w:tc>
          <w:tcPr>
            <w:tcW w:type="dxa" w:w="319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目标、测试结果和未来计划严格区分；核心数据可追溯；至少完成2轮计时演练。</w:t>
            </w:r>
          </w:p>
        </w:tc>
        <w:tc>
          <w:tcPr>
            <w:tcW w:type="dxa" w:w="133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  <w:tc>
          <w:tcPr>
            <w:tcW w:type="dxa" w:w="106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spacing w:after="20"/>
      </w:pPr>
    </w:p>
    <w:p>
      <w:pPr>
        <w:spacing w:after="0" w:line="300" w:lineRule="auto"/>
      </w:pPr>
      <w:r>
        <w:rPr>
          <w:rFonts w:ascii="Microsoft YaHei" w:hAnsi="Microsoft YaHei" w:eastAsia="微软雅黑"/>
          <w:color w:val="332B22"/>
          <w:sz w:val="21"/>
        </w:rPr>
        <w:t>周验收记录：主责人提交交付物与证据；协作人确认接口和交接；指导教师记录“通过、返工或阻塞”结论及下一步。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2"/>
        </w:rPr>
        <w:t>P0最终验收与交接清单</w:t>
      </w: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冻结条件｜</w:t>
      </w:r>
      <w:r>
        <w:rPr>
          <w:rFonts w:ascii="Microsoft YaHei" w:hAnsi="Microsoft YaHei" w:eastAsia="微软雅黑"/>
          <w:color w:val="332B22"/>
          <w:sz w:val="21"/>
        </w:rPr>
        <w:t>只有下列验收域全部通过，才可将版本标记为P0申报演示候选版。目标值、测试结果和未来计划必须在材料中分别表述。</w:t>
      </w:r>
    </w:p>
    <w:tbl>
      <w:tblPr>
        <w:tblStyle w:val="TableGrid"/>
        <w:tblW w:type="dxa" w:w="1501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2"/>
        <w:gridCol w:w="4929"/>
        <w:gridCol w:w="4621"/>
        <w:gridCol w:w="1925"/>
        <w:gridCol w:w="1541"/>
      </w:tblGrid>
      <w:tr>
        <w:trPr>
          <w:tblHeader w:val="true"/>
          <w:cantSplit/>
        </w:trPr>
        <w:tc>
          <w:tcPr>
            <w:tcW w:type="dxa" w:w="200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验收域</w:t>
            </w:r>
          </w:p>
        </w:tc>
        <w:tc>
          <w:tcPr>
            <w:tcW w:type="dxa" w:w="492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最终检查</w:t>
            </w:r>
          </w:p>
        </w:tc>
        <w:tc>
          <w:tcPr>
            <w:tcW w:type="dxa" w:w="462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必须提交的证据</w:t>
            </w:r>
          </w:p>
        </w:tc>
        <w:tc>
          <w:tcPr>
            <w:tcW w:type="dxa" w:w="192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责任岗位</w:t>
            </w:r>
          </w:p>
        </w:tc>
        <w:tc>
          <w:tcPr>
            <w:tcW w:type="dxa" w:w="154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产品流程</w:t>
            </w:r>
          </w:p>
        </w:tc>
        <w:tc>
          <w:tcPr>
            <w:tcW w:type="dxa" w:w="49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首页至结果页无需注册可完成；HOME／EXP／INT／RES逐项通过</w:t>
            </w:r>
          </w:p>
        </w:tc>
        <w:tc>
          <w:tcPr>
            <w:tcW w:type="dxa" w:w="46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体验版二维码、截图、验收记录</w:t>
            </w:r>
          </w:p>
        </w:tc>
        <w:tc>
          <w:tcPr>
            <w:tcW w:type="dxa" w:w="192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岗位1／2</w:t>
            </w:r>
          </w:p>
        </w:tc>
        <w:tc>
          <w:tcPr>
            <w:tcW w:type="dxa" w:w="15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3D与降级</w:t>
            </w:r>
          </w:p>
        </w:tc>
        <w:tc>
          <w:tcPr>
            <w:tcW w:type="dxa" w:w="492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三步完整；至少1步高保真；加载、弱网和失败降级有效</w:t>
            </w:r>
          </w:p>
        </w:tc>
        <w:tc>
          <w:tcPr>
            <w:tcW w:type="dxa" w:w="462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6台设备记录、性能与降级报告</w:t>
            </w:r>
          </w:p>
        </w:tc>
        <w:tc>
          <w:tcPr>
            <w:tcW w:type="dxa" w:w="192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岗位2</w:t>
            </w:r>
          </w:p>
        </w:tc>
        <w:tc>
          <w:tcPr>
            <w:tcW w:type="dxa" w:w="15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内容真实性</w:t>
            </w:r>
          </w:p>
        </w:tc>
        <w:tc>
          <w:tcPr>
            <w:tcW w:type="dxa" w:w="49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视频、术语、人物和工艺经审核，简化模拟有说明</w:t>
            </w:r>
          </w:p>
        </w:tc>
        <w:tc>
          <w:tcPr>
            <w:tcW w:type="dxa" w:w="46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内容台账、审核与版本记录</w:t>
            </w:r>
          </w:p>
        </w:tc>
        <w:tc>
          <w:tcPr>
            <w:tcW w:type="dxa" w:w="192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岗位3</w:t>
            </w:r>
          </w:p>
        </w:tc>
        <w:tc>
          <w:tcPr>
            <w:tcW w:type="dxa" w:w="15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授权合规</w:t>
            </w:r>
          </w:p>
        </w:tc>
        <w:tc>
          <w:tcPr>
            <w:tcW w:type="dxa" w:w="492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公开素材均在授权范围内，未授权素材不进入公开版本</w:t>
            </w:r>
          </w:p>
        </w:tc>
        <w:tc>
          <w:tcPr>
            <w:tcW w:type="dxa" w:w="462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授权索引、素材ID和许可文件</w:t>
            </w:r>
          </w:p>
        </w:tc>
        <w:tc>
          <w:tcPr>
            <w:tcW w:type="dxa" w:w="192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岗位3</w:t>
            </w:r>
          </w:p>
        </w:tc>
        <w:tc>
          <w:tcPr>
            <w:tcW w:type="dxa" w:w="15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数据埋点</w:t>
            </w:r>
          </w:p>
        </w:tc>
        <w:tc>
          <w:tcPr>
            <w:tcW w:type="dxa" w:w="49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事件不漏报、不重复；测试数据可识别；指标可复算</w:t>
            </w:r>
          </w:p>
        </w:tc>
        <w:tc>
          <w:tcPr>
            <w:tcW w:type="dxa" w:w="46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埋点字典、事件核验和漏斗表</w:t>
            </w:r>
          </w:p>
        </w:tc>
        <w:tc>
          <w:tcPr>
            <w:tcW w:type="dxa" w:w="192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岗位2／4</w:t>
            </w:r>
          </w:p>
        </w:tc>
        <w:tc>
          <w:tcPr>
            <w:tcW w:type="dxa" w:w="15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研究与隐私</w:t>
            </w:r>
          </w:p>
        </w:tc>
        <w:tc>
          <w:tcPr>
            <w:tcW w:type="dxa" w:w="492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同意文本、研究编号、三表分离、退出和限制访问可用</w:t>
            </w:r>
          </w:p>
        </w:tc>
        <w:tc>
          <w:tcPr>
            <w:tcW w:type="dxa" w:w="462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问卷、同意文本、数据字典</w:t>
            </w:r>
          </w:p>
        </w:tc>
        <w:tc>
          <w:tcPr>
            <w:tcW w:type="dxa" w:w="192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岗位4</w:t>
            </w:r>
          </w:p>
        </w:tc>
        <w:tc>
          <w:tcPr>
            <w:tcW w:type="dxa" w:w="15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用户测试</w:t>
            </w:r>
          </w:p>
        </w:tc>
        <w:tc>
          <w:tcPr>
            <w:tcW w:type="dxa" w:w="49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完成30—50人测试并形成问题、修复和数据摘要</w:t>
            </w:r>
          </w:p>
        </w:tc>
        <w:tc>
          <w:tcPr>
            <w:tcW w:type="dxa" w:w="46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招募、问卷、访谈和闭环记录</w:t>
            </w:r>
          </w:p>
        </w:tc>
        <w:tc>
          <w:tcPr>
            <w:tcW w:type="dxa" w:w="192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岗位4</w:t>
            </w:r>
          </w:p>
        </w:tc>
        <w:tc>
          <w:tcPr>
            <w:tcW w:type="dxa" w:w="15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部署与备份</w:t>
            </w:r>
          </w:p>
        </w:tc>
        <w:tc>
          <w:tcPr>
            <w:tcW w:type="dxa" w:w="492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云端、本地和离线演示方案可用；版本可恢复</w:t>
            </w:r>
          </w:p>
        </w:tc>
        <w:tc>
          <w:tcPr>
            <w:tcW w:type="dxa" w:w="462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部署记录、备份包、恢复说明</w:t>
            </w:r>
          </w:p>
        </w:tc>
        <w:tc>
          <w:tcPr>
            <w:tcW w:type="dxa" w:w="192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岗位2</w:t>
            </w:r>
          </w:p>
        </w:tc>
        <w:tc>
          <w:tcPr>
            <w:tcW w:type="dxa" w:w="15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  <w:tr>
        <w:trPr>
          <w:cantSplit/>
        </w:trPr>
        <w:tc>
          <w:tcPr>
            <w:tcW w:type="dxa" w:w="200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5"/>
              </w:rPr>
              <w:t>申报证据</w:t>
            </w:r>
          </w:p>
        </w:tc>
        <w:tc>
          <w:tcPr>
            <w:tcW w:type="dxa" w:w="492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产品、内容、数据、合作与实践材料可追溯</w:t>
            </w:r>
          </w:p>
        </w:tc>
        <w:tc>
          <w:tcPr>
            <w:tcW w:type="dxa" w:w="462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证据目录、PPT页和演示脚本</w:t>
            </w:r>
          </w:p>
        </w:tc>
        <w:tc>
          <w:tcPr>
            <w:tcW w:type="dxa" w:w="192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全体</w:t>
            </w:r>
          </w:p>
        </w:tc>
        <w:tc>
          <w:tcPr>
            <w:tcW w:type="dxa" w:w="15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待验收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交接要求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每个岗位必须提交最新版文件、源文件位置、账号与权限说明、已知问题、恢复方式和备份人确认。仅提交截图或口头说明不视为完成交接。</w:t>
      </w: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变更规则｜</w:t>
      </w:r>
      <w:r>
        <w:rPr>
          <w:rFonts w:ascii="Microsoft YaHei" w:hAnsi="Microsoft YaHei" w:eastAsia="微软雅黑"/>
          <w:color w:val="332B22"/>
          <w:sz w:val="21"/>
        </w:rPr>
        <w:t>新增任务必须说明对应的PRD需求、影响周次、主责人和验收标准；未通过范围评审的P1/P2功能不得进入P0工期。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794" w:left="85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7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四岗位7周任务与验收表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金箔非遗项目四岗位7周任务与验收表 V0.1</dc:title>
  <dc:subject>广东省攀登计划申报前7周学生执行与验收基线</dc:subject>
  <dc:creator>项目团队</dc:creator>
  <cp:keywords>金箔, 非遗, 四岗位, 七周排期, 任务,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