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Microsoft YaHei" w:hAnsi="Microsoft YaHei" w:eastAsia="微软雅黑"/>
          <w:b/>
          <w:color w:val="A5781E"/>
          <w:sz w:val="20"/>
        </w:rPr>
        <w:t>广东省攀登计划 · 项目执行设计文件</w:t>
      </w:r>
    </w:p>
    <w:p>
      <w:pPr>
        <w:spacing w:after="80"/>
      </w:pPr>
      <w:r>
        <w:rPr>
          <w:rFonts w:ascii="Microsoft YaHei" w:hAnsi="Microsoft YaHei" w:eastAsia="微软雅黑"/>
          <w:b/>
          <w:color w:val="332B22"/>
          <w:sz w:val="48"/>
        </w:rPr>
        <w:t>金箔非遗项目首次专业访谈材料包</w:t>
      </w:r>
    </w:p>
    <w:p>
      <w:pPr>
        <w:spacing w:after="200"/>
        <w:pBdr>
          <w:bottom w:val="single" w:sz="16" w:space="4" w:color="A5781E"/>
        </w:pBdr>
      </w:pPr>
      <w:r>
        <w:rPr>
          <w:rFonts w:ascii="Microsoft YaHei" w:hAnsi="Microsoft YaHei" w:eastAsia="微软雅黑"/>
          <w:color w:val="6F675F"/>
          <w:sz w:val="23"/>
        </w:rPr>
        <w:t>设计说明 V0.1｜文件结构、使用边界、执行流程与验收标准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46"/>
        <w:gridCol w:w="1478"/>
        <w:gridCol w:w="2956"/>
        <w:gridCol w:w="3224"/>
      </w:tblGrid>
      <w:tr>
        <w:trPr>
          <w:tblHeader w:val="true"/>
          <w:cantSplit/>
        </w:trPr>
        <w:tc>
          <w:tcPr>
            <w:tcW w:type="dxa" w:w="1746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478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956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适用阶段</w:t>
            </w:r>
          </w:p>
        </w:tc>
        <w:tc>
          <w:tcPr>
            <w:tcW w:type="dxa" w:w="322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交付结构</w:t>
            </w:r>
          </w:p>
        </w:tc>
      </w:tr>
      <w:tr>
        <w:trPr>
          <w:cantSplit/>
          <w:trHeight w:hRule="atLeast"/>
        </w:trPr>
        <w:tc>
          <w:tcPr>
            <w:tcW w:type="dxa" w:w="17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2026年7月19日</w:t>
            </w:r>
          </w:p>
        </w:tc>
        <w:tc>
          <w:tcPr>
            <w:tcW w:type="dxa" w:w="147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已确认</w:t>
            </w:r>
          </w:p>
        </w:tc>
        <w:tc>
          <w:tcPr>
            <w:tcW w:type="dxa" w:w="29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首次专业访谈全流程</w:t>
            </w:r>
          </w:p>
        </w:tc>
        <w:tc>
          <w:tcPr>
            <w:tcW w:type="dxa" w:w="32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9份独立文件＋1份总目录</w:t>
            </w:r>
          </w:p>
        </w:tc>
      </w:tr>
    </w:tbl>
    <w:p>
      <w:pPr>
        <w:spacing w:after="20"/>
      </w:pPr>
    </w:p>
    <w:p>
      <w:pPr>
        <w:spacing w:before="60" w:after="140" w:line="288" w:lineRule="auto"/>
        <w:ind w:left="160" w:right="120"/>
        <w:shd w:fill="F6F0E3"/>
      </w:pPr>
      <w:r>
        <w:rPr>
          <w:rFonts w:ascii="Microsoft YaHei" w:hAnsi="Microsoft YaHei" w:eastAsia="微软雅黑"/>
          <w:b/>
          <w:color w:val="6F5016"/>
          <w:sz w:val="20"/>
        </w:rPr>
        <w:t>设计结论｜</w:t>
      </w:r>
      <w:r>
        <w:rPr>
          <w:rFonts w:ascii="Microsoft YaHei" w:hAnsi="Microsoft YaHei" w:eastAsia="微软雅黑"/>
          <w:color w:val="332B22"/>
          <w:sz w:val="20"/>
        </w:rPr>
        <w:t>在尚无可运行Demo的情况下，以五屏纸面体验原型作为访谈核心工具；制箔与贴箔均保持为候选路线，所有工艺事实和公开范围必须经专业老师确认。</w:t>
      </w:r>
    </w:p>
    <w:p>
      <w:pPr>
        <w:spacing w:after="180" w:line="300" w:lineRule="auto"/>
      </w:pPr>
      <w:r>
        <w:rPr>
          <w:rFonts w:ascii="Microsoft YaHei" w:hAnsi="Microsoft YaHei" w:eastAsia="微软雅黑"/>
          <w:b w:val="0"/>
          <w:color w:val="6F675F"/>
          <w:sz w:val="21"/>
        </w:rPr>
        <w:t>本文件用于指导后续10份访谈材料的制作、使用和验收。</w:t>
      </w:r>
    </w:p>
    <w:p>
      <w:pPr>
        <w:pStyle w:val="Heading1"/>
      </w:pPr>
      <w:r>
        <w:rPr>
          <w:rFonts w:ascii="Microsoft YaHei" w:hAnsi="Microsoft YaHei" w:eastAsia="微软雅黑"/>
          <w:b/>
          <w:color w:val="332B22"/>
          <w:sz w:val="32"/>
        </w:rPr>
        <w:t>一、设计目标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本材料包用于支持金箔非遗项目团队与专业老师开展首次正式访谈。在尚无可运行Demo的情况下，以纸面体验原型替代软件演示，使专业老师能够围绕候选工艺路线、三分钟体验流程、真实性红线、拍摄与素材授权范围提出具体且可执行的意见。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材料包同时承担以下功能：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让访谈对象快速理解项目目标、核心用户和首版产品边界。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把抽象讨论转化为对纸面流程、候选路线和逐屏内容的具体评审。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形成对工艺真实性、公开边界和授权范围的可追踪记录。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为四岗位第1周交付和第2周低保真原型工作提供共同依据。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为后续攀登计划申报、答辩和研究工作保留规范证据链。</w:t>
      </w:r>
    </w:p>
    <w:p>
      <w:pPr>
        <w:pStyle w:val="Heading1"/>
      </w:pPr>
      <w:r>
        <w:rPr>
          <w:rFonts w:ascii="Microsoft YaHei" w:hAnsi="Microsoft YaHei" w:eastAsia="微软雅黑"/>
          <w:b/>
          <w:color w:val="332B22"/>
          <w:sz w:val="32"/>
        </w:rPr>
        <w:t>二、已确认的总体原则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交付形式为“9份独立使用文件＋1份总目录”，每份均为可独立打开、打印和填写的Word文档。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项目第一阶段核心用户为广东高校学生，重点为18—24岁青年。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产品主线为“3分钟轻量工艺体验＋可选深度学习”，互动模拟是核心入口。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首次访谈前不得把“制箔”或“贴箔”写成已经确定的首版路线。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未经专业确认的工艺动作、术语、顺序、工具材料和公开内容，统一标记为“候选方案／待专业确认”。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数字体验不得暗示用户已经掌握真实工艺。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未审核内容不得进入公开小程序、短视频、申报附件、答辩展示或校园公开活动。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授权采用逐项选择，不使用“一次签字即全部授权”的笼统表述。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历史照片、作品图片和第三方材料需单独确认权利归属，不因接受访谈而自动取得使用权。</w:t>
      </w:r>
    </w:p>
    <w:p>
      <w:pPr>
        <w:pStyle w:val="Heading1"/>
      </w:pPr>
      <w:r>
        <w:rPr>
          <w:rFonts w:ascii="Microsoft YaHei" w:hAnsi="Microsoft YaHei" w:eastAsia="微软雅黑"/>
          <w:b/>
          <w:color w:val="332B22"/>
          <w:sz w:val="32"/>
        </w:rPr>
        <w:t>三、文件组成</w:t>
      </w:r>
    </w:p>
    <w:p>
      <w:pPr>
        <w:pStyle w:val="Heading2"/>
      </w:pPr>
      <w:r>
        <w:rPr>
          <w:rFonts w:ascii="Microsoft YaHei" w:hAnsi="Microsoft YaHei" w:eastAsia="微软雅黑"/>
          <w:b/>
          <w:color w:val="6F5016"/>
          <w:sz w:val="26"/>
        </w:rPr>
        <w:t>00｜首次专业访谈材料包总目录与使用顺序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用途：作为整套材料的入口和归档索引。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主要内容：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材料包适用场景和使用原则。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10份文件的名称、负责人、使用时间、填写要求和归档位置。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访谈前、访谈中、访谈后24小时内的操作顺序。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必带材料和可选材料清单。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版本、日期、项目联系人和资料完整性确认栏。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6F5016"/>
          <w:sz w:val="26"/>
        </w:rPr>
        <w:t>01｜金箔非遗数字体验项目一页纸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用途：访谈开始前递交或提前发送，让专业老师在一页内理解项目。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主要内容：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项目缘起与现实问题。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核心用户与第一阶段使用场景。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“3分钟轻量工艺体验＋可选深度学习”的产品定位。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互动模拟、文化内容、3D/AR候选技术的关系。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首次访谈希望解决的五个关键问题。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项目边界：不教授完整真实工艺、不替代线下传承、不在未经审核时公开。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四岗位分工和后续合作方式简述。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6F5016"/>
          <w:sz w:val="26"/>
        </w:rPr>
        <w:t>02｜三分钟轻量工艺体验纸面原型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用途：替代尚未完成的软件Demo，为专业老师提供可评审对象。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纸面原型包含五个界面：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进入体验：说明这是数字化轻量体验。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候选路线：分别展示“制箔候选路线”和“贴箔候选路线”，允许选择、否定或提出第三种方案。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三步互动：只展示三个互动节点的结构，不预填未经确认的具体动作。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体验结果：展示文化提示和数字作品结果，并明确“不代表已经掌握真实工艺”。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可选深入了解：进入人物故事、工艺知识、线下活动或资料页。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每个界面提供“保留、修改、删除、待补证据”评审区域。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6F5016"/>
          <w:sz w:val="26"/>
        </w:rPr>
        <w:t>03｜纸面原型演示脚本与专家反馈表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用途：帮助主持人以统一方式演示纸面原型，并逐屏记录专业意见。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主要内容：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5—10分钟演示话术。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逐屏演示重点和不得预设的内容。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专家第一反应记录。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每屏“保留、修改、删除、待补证据”反馈栏。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工艺路线选择及专业理由记录。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三个关键互动节点、真实性风险和改进优先级记录。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会后需要再次确认的问题清单。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6F5016"/>
          <w:sz w:val="26"/>
        </w:rPr>
        <w:t>04｜首次专业访谈提纲与60分钟主持脚本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用途：作为现场主持和提问依据。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结构：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0—5分钟：项目介绍和授权说明。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5—15分钟：展示纸面原型并记录第一反应。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15—40分钟：完成第一层必答问题。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40—55分钟：根据现场时间选择第二层问题。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55—60分钟：确认授权范围、审核机制和下次沟通安排。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第一层必答问题覆盖身份称谓、首版工艺路线、三步节点、真实性红线、拍摄与使用范围；第二层覆盖交互细节、结果页提示、内容审核机制和项目期待；第三层作为会后书面确认，覆盖历史资料权属、身份表述和下次沟通安排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6F5016"/>
          <w:sz w:val="26"/>
        </w:rPr>
        <w:t>05｜拍摄、录音及素材使用授权确认单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用途：记录本次访谈和相关素材的可用范围，不替代其他权利人的授权。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授权项目分别设置“同意、不同意、需发布前复核”：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现场录音、录像和拍照。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人物姓名、公开身份、肖像和声音。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工艺过程、工具、材料、场所和作品。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内部研究与团队复盘。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小程序内容与功能展示。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攀登计划申报材料和答辩展示。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校园讲座、工作坊和成果展。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短视频和其他公开传播。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文件同时设置授权期限、署名方式、审核联系人、撤回或变更方式、限制条件、签名和日期。历史照片、作品图片和第三方材料仅登记线索，不在本表中自动授权。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6F5016"/>
          <w:sz w:val="26"/>
        </w:rPr>
        <w:t>06｜访谈对象身份与联系人信息确认表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用途：准确记录访谈对象身份及后续沟通信息。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主要字段：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姓名、常用称呼、机构、职务或专业身份。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与金箔工艺的关系及公开表述方式。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传承人级别或其他资格，仅在有证据时填写。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电话、微信、邮箱和首选联系渠道。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内容审核联系人、授权联系人和紧急联系人。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可公开信息、仅内部使用信息和不得记录信息。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身份资料或公开来源的核验方式。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6F5016"/>
          <w:sz w:val="26"/>
        </w:rPr>
        <w:t>07｜时间地点确认及微信约访文本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用途：提供可直接复制的首次约访、确认、提醒和变更文本。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包含四类模板：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首次正式约访。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时间地点确认。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访谈前一天提醒。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临时变更或取消后的重新确认。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文本包含预计时长、参与人数、访谈主题、是否希望录音录像、纸面原型说明和材料准备请求。所有模板保留姓名、时间、地点、联系方式等填写项。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6F5016"/>
          <w:sz w:val="26"/>
        </w:rPr>
        <w:t>08｜现场设备与记录工具检查清单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用途：降低因设备、打印或文件问题导致的访谈失败风险。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检查范围：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手机或录音设备、电量、存储空间和充电宝。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录音测试、备用设备和静音设置。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纸面材料份数、签字笔、便签和夹板。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电子版备份、离线文件和文件命名。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访谈地点的光线、噪声、网络、座位和拍摄区域。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录音录像同意、签字、资料回收和离场前复核。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每项设置负责人、完成状态、异常说明和补救措施。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6F5016"/>
          <w:sz w:val="26"/>
        </w:rPr>
        <w:t>09｜访谈纪要、关键结论与会后确认单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color w:val="332B22"/>
          <w:sz w:val="21"/>
        </w:rPr>
        <w:t>用途：在访谈后24小时内形成可复核结论，并衔接第2周行动。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主要内容：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访谈基本信息和参与人员。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专家核心观点和原话摘录。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首版工艺路线结论及专业理由。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三步节点、真实性红线、公开边界和审核人。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授权范围摘要及仍需补签事项。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已确认、待确认、被否定和需补证据事项。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四岗位后续行动、责任人、期限和交付证据。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发给专业老师复核的简短确认稿。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确认方式、确认人和确认日期。</w:t>
      </w:r>
    </w:p>
    <w:p>
      <w:pPr>
        <w:pStyle w:val="Heading1"/>
      </w:pPr>
      <w:r>
        <w:rPr>
          <w:rFonts w:ascii="Microsoft YaHei" w:hAnsi="Microsoft YaHei" w:eastAsia="微软雅黑"/>
          <w:b/>
          <w:color w:val="332B22"/>
          <w:sz w:val="32"/>
        </w:rPr>
        <w:t>四、预填与留空边界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团队可以预填：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已批准的项目定位、核心用户和三分钟体验逻辑。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访谈目标、主持流程、问题层级、授权选项和记录格式。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已确定的四岗位名称、材料负责人和内部归档规则。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必须留给访谈对象或现场确认：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姓名、机构、身份、联系方式、签名和日期。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首版选择制箔、贴箔或第三种路线。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三步工艺节点、正确顺序、工具材料和动作细节。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真实性红线、不可公开内容、审核人和反馈周期。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录音、录像、肖像、声音、工艺、作品和公开传播的授权范围。</w:t>
      </w:r>
    </w:p>
    <w:p>
      <w:pPr>
        <w:pStyle w:val="Heading1"/>
      </w:pPr>
      <w:r>
        <w:rPr>
          <w:rFonts w:ascii="Microsoft YaHei" w:hAnsi="Microsoft YaHei" w:eastAsia="微软雅黑"/>
          <w:b/>
          <w:color w:val="332B22"/>
          <w:sz w:val="32"/>
        </w:rPr>
        <w:t>五、使用流程</w:t>
      </w:r>
    </w:p>
    <w:p>
      <w:pPr>
        <w:pStyle w:val="Heading2"/>
      </w:pPr>
      <w:r>
        <w:rPr>
          <w:rFonts w:ascii="Microsoft YaHei" w:hAnsi="Microsoft YaHei" w:eastAsia="微软雅黑"/>
          <w:b/>
          <w:color w:val="6F5016"/>
          <w:sz w:val="26"/>
        </w:rPr>
        <w:t>访谈前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教师发送01项目一页纸和07微信约访文本。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学生填写已知的联系人、时间和地点信息。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岗位1准备纸面原型，岗位2负责演示逻辑，岗位3准备授权和主持材料，岗位4准备记录与研究问题。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全体按08设备清单完成设备、打印件、备份和环境检查。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6F5016"/>
          <w:sz w:val="26"/>
        </w:rPr>
        <w:t>访谈中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递交项目一页纸并说明项目边界。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取得录音、录像或拍照同意后开始记录。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按主持脚本展示纸面原型，优先完成第一层必答问题。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专家负面反馈只记录原话，不在现场辩解或说服。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确认工艺路线、真实性红线、授权范围、审核机制和下次沟通。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6F5016"/>
          <w:sz w:val="26"/>
        </w:rPr>
        <w:t>访谈后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24小时内完成访谈纪要和关键结论。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将简短确认稿发送给专业老师复核。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只有已确认内容才能进入公开小程序或其他公开材料。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授权、录音、纪要、照片和纸面原型反馈分别归档。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把已确认结论转换为第2周四岗位行动。</w:t>
      </w:r>
    </w:p>
    <w:p>
      <w:pPr>
        <w:pStyle w:val="Heading1"/>
      </w:pPr>
      <w:r>
        <w:rPr>
          <w:rFonts w:ascii="Microsoft YaHei" w:hAnsi="Microsoft YaHei" w:eastAsia="微软雅黑"/>
          <w:b/>
          <w:color w:val="332B22"/>
          <w:sz w:val="32"/>
        </w:rPr>
        <w:t>六、异常与风险处理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若专业老师尚不能确定首版路线：保留两条候选路线，岗位1和岗位2只能推进低保真结构及技术可行性，不制作公开工艺内容。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若不同意见相互冲突：记录原话、身份和适用条件，不在现场合并为单一结论；会后列入待复核事项。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若未取得录音录像同意：改用书面记录，并由两名团队成员交叉核对。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若只取得内部使用授权：材料不得进入申报附件、答辩、短视频或公开小程序。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若历史照片或作品权属不清：只登记来源线索，不复制、发布或用于训练模型。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若访谈临时缩短：优先完成第一层五个问题和授权边界，第二、第三层改为书面补充。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若访谈对象要求发布前审核：所有拟公开内容进入审核清单，保留反馈日期和版本记录。</w:t>
      </w:r>
    </w:p>
    <w:p>
      <w:pPr>
        <w:pStyle w:val="Heading1"/>
      </w:pPr>
      <w:r>
        <w:rPr>
          <w:rFonts w:ascii="Microsoft YaHei" w:hAnsi="Microsoft YaHei" w:eastAsia="微软雅黑"/>
          <w:b/>
          <w:color w:val="332B22"/>
          <w:sz w:val="32"/>
        </w:rPr>
        <w:t>七、文件组织与命名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材料存放于独立文件夹，文件名统一为：</w:t>
      </w:r>
    </w:p>
    <w:p>
      <w:pPr>
        <w:spacing w:before="60" w:after="140" w:line="288" w:lineRule="auto"/>
        <w:ind w:left="160" w:right="120"/>
        <w:shd w:fill="FBF8F1"/>
      </w:pPr>
      <w:r>
        <w:rPr>
          <w:rFonts w:ascii="Microsoft YaHei" w:hAnsi="Microsoft YaHei" w:eastAsia="微软雅黑"/>
          <w:b/>
          <w:color w:val="6F5016"/>
          <w:sz w:val="20"/>
        </w:rPr>
        <w:t>命名规则｜</w:t>
      </w:r>
      <w:r>
        <w:rPr>
          <w:rFonts w:ascii="Microsoft YaHei" w:hAnsi="Microsoft YaHei" w:eastAsia="微软雅黑"/>
          <w:color w:val="332B22"/>
          <w:sz w:val="20"/>
        </w:rPr>
        <w:t>序号_材料名称_V版本_日期.docx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示例：</w:t>
      </w:r>
    </w:p>
    <w:p>
      <w:pPr>
        <w:spacing w:after="120" w:line="300" w:lineRule="auto"/>
      </w:pPr>
      <w:r>
        <w:rPr>
          <w:rFonts w:ascii="Consolas" w:hAnsi="Consolas" w:eastAsia="微软雅黑"/>
          <w:b/>
          <w:color w:val="6F5016"/>
          <w:sz w:val="18"/>
        </w:rPr>
        <w:t>05_拍摄录音及素材使用授权确认单_V0.1_20260719.docx</w:t>
      </w:r>
    </w:p>
    <w:p>
      <w:pPr>
        <w:keepNext/>
        <w:spacing w:before="60" w:after="80"/>
      </w:pPr>
      <w:r>
        <w:rPr>
          <w:rFonts w:ascii="Microsoft YaHei" w:hAnsi="Microsoft YaHei" w:eastAsia="微软雅黑"/>
          <w:b/>
          <w:color w:val="6F5016"/>
          <w:sz w:val="21"/>
        </w:rPr>
        <w:t>材料包建议目录：</w:t>
      </w:r>
    </w:p>
    <w:p>
      <w:pPr>
        <w:spacing w:before="80" w:after="0" w:line="252" w:lineRule="auto"/>
        <w:ind w:left="200" w:right="160"/>
        <w:shd w:fill="FBF8F1"/>
      </w:pPr>
      <w:r>
        <w:rPr>
          <w:rFonts w:ascii="Microsoft YaHei" w:hAnsi="Microsoft YaHei" w:eastAsia="微软雅黑"/>
          <w:b w:val="0"/>
          <w:color w:val="332B22"/>
          <w:sz w:val="17"/>
        </w:rPr>
        <w:t>首次专业访谈材料包_V0.1_20260719/</w:t>
      </w:r>
    </w:p>
    <w:p>
      <w:pPr>
        <w:spacing w:before="0" w:after="0" w:line="252" w:lineRule="auto"/>
        <w:ind w:left="200" w:right="160"/>
        <w:shd w:fill="FBF8F1"/>
      </w:pPr>
      <w:r>
        <w:rPr>
          <w:rFonts w:ascii="Microsoft YaHei" w:hAnsi="Microsoft YaHei" w:eastAsia="微软雅黑"/>
          <w:b w:val="0"/>
          <w:color w:val="332B22"/>
          <w:sz w:val="17"/>
        </w:rPr>
        <w:t>├─ 00_首次专业访谈材料包总目录与使用顺序_V0.1_20260719.docx</w:t>
      </w:r>
    </w:p>
    <w:p>
      <w:pPr>
        <w:spacing w:before="0" w:after="0" w:line="252" w:lineRule="auto"/>
        <w:ind w:left="200" w:right="160"/>
        <w:shd w:fill="FBF8F1"/>
      </w:pPr>
      <w:r>
        <w:rPr>
          <w:rFonts w:ascii="Microsoft YaHei" w:hAnsi="Microsoft YaHei" w:eastAsia="微软雅黑"/>
          <w:b w:val="0"/>
          <w:color w:val="332B22"/>
          <w:sz w:val="17"/>
        </w:rPr>
        <w:t>├─ 01_金箔非遗数字体验项目一页纸_V0.1_20260719.docx</w:t>
      </w:r>
    </w:p>
    <w:p>
      <w:pPr>
        <w:spacing w:before="0" w:after="0" w:line="252" w:lineRule="auto"/>
        <w:ind w:left="200" w:right="160"/>
        <w:shd w:fill="FBF8F1"/>
      </w:pPr>
      <w:r>
        <w:rPr>
          <w:rFonts w:ascii="Microsoft YaHei" w:hAnsi="Microsoft YaHei" w:eastAsia="微软雅黑"/>
          <w:b w:val="0"/>
          <w:color w:val="332B22"/>
          <w:sz w:val="17"/>
        </w:rPr>
        <w:t>├─ 02_三分钟轻量工艺体验纸面原型_V0.1_20260719.docx</w:t>
      </w:r>
    </w:p>
    <w:p>
      <w:pPr>
        <w:spacing w:before="0" w:after="0" w:line="252" w:lineRule="auto"/>
        <w:ind w:left="200" w:right="160"/>
        <w:shd w:fill="FBF8F1"/>
      </w:pPr>
      <w:r>
        <w:rPr>
          <w:rFonts w:ascii="Microsoft YaHei" w:hAnsi="Microsoft YaHei" w:eastAsia="微软雅黑"/>
          <w:b w:val="0"/>
          <w:color w:val="332B22"/>
          <w:sz w:val="17"/>
        </w:rPr>
        <w:t>├─ 03_纸面原型演示脚本与专家反馈表_V0.1_20260719.docx</w:t>
      </w:r>
    </w:p>
    <w:p>
      <w:pPr>
        <w:spacing w:before="0" w:after="0" w:line="252" w:lineRule="auto"/>
        <w:ind w:left="200" w:right="160"/>
        <w:shd w:fill="FBF8F1"/>
      </w:pPr>
      <w:r>
        <w:rPr>
          <w:rFonts w:ascii="Microsoft YaHei" w:hAnsi="Microsoft YaHei" w:eastAsia="微软雅黑"/>
          <w:b w:val="0"/>
          <w:color w:val="332B22"/>
          <w:sz w:val="17"/>
        </w:rPr>
        <w:t>├─ 04_首次专业访谈提纲与60分钟主持脚本_V0.1_20260719.docx</w:t>
      </w:r>
    </w:p>
    <w:p>
      <w:pPr>
        <w:spacing w:before="0" w:after="0" w:line="252" w:lineRule="auto"/>
        <w:ind w:left="200" w:right="160"/>
        <w:shd w:fill="FBF8F1"/>
      </w:pPr>
      <w:r>
        <w:rPr>
          <w:rFonts w:ascii="Microsoft YaHei" w:hAnsi="Microsoft YaHei" w:eastAsia="微软雅黑"/>
          <w:b w:val="0"/>
          <w:color w:val="332B22"/>
          <w:sz w:val="17"/>
        </w:rPr>
        <w:t>├─ 05_拍摄录音及素材使用授权确认单_V0.1_20260719.docx</w:t>
      </w:r>
    </w:p>
    <w:p>
      <w:pPr>
        <w:spacing w:before="0" w:after="0" w:line="252" w:lineRule="auto"/>
        <w:ind w:left="200" w:right="160"/>
        <w:shd w:fill="FBF8F1"/>
      </w:pPr>
      <w:r>
        <w:rPr>
          <w:rFonts w:ascii="Microsoft YaHei" w:hAnsi="Microsoft YaHei" w:eastAsia="微软雅黑"/>
          <w:b w:val="0"/>
          <w:color w:val="332B22"/>
          <w:sz w:val="17"/>
        </w:rPr>
        <w:t>├─ 06_访谈对象身份与联系人信息确认表_V0.1_20260719.docx</w:t>
      </w:r>
    </w:p>
    <w:p>
      <w:pPr>
        <w:spacing w:before="0" w:after="0" w:line="252" w:lineRule="auto"/>
        <w:ind w:left="200" w:right="160"/>
        <w:shd w:fill="FBF8F1"/>
      </w:pPr>
      <w:r>
        <w:rPr>
          <w:rFonts w:ascii="Microsoft YaHei" w:hAnsi="Microsoft YaHei" w:eastAsia="微软雅黑"/>
          <w:b w:val="0"/>
          <w:color w:val="332B22"/>
          <w:sz w:val="17"/>
        </w:rPr>
        <w:t>├─ 07_时间地点确认及微信约访文本_V0.1_20260719.docx</w:t>
      </w:r>
    </w:p>
    <w:p>
      <w:pPr>
        <w:spacing w:before="0" w:after="0" w:line="252" w:lineRule="auto"/>
        <w:ind w:left="200" w:right="160"/>
        <w:shd w:fill="FBF8F1"/>
      </w:pPr>
      <w:r>
        <w:rPr>
          <w:rFonts w:ascii="Microsoft YaHei" w:hAnsi="Microsoft YaHei" w:eastAsia="微软雅黑"/>
          <w:b w:val="0"/>
          <w:color w:val="332B22"/>
          <w:sz w:val="17"/>
        </w:rPr>
        <w:t>├─ 08_现场设备与记录工具检查清单_V0.1_20260719.docx</w:t>
      </w:r>
    </w:p>
    <w:p>
      <w:pPr>
        <w:spacing w:before="0" w:after="160" w:line="252" w:lineRule="auto"/>
        <w:ind w:left="200" w:right="160"/>
        <w:shd w:fill="FBF8F1"/>
      </w:pPr>
      <w:r>
        <w:rPr>
          <w:rFonts w:ascii="Microsoft YaHei" w:hAnsi="Microsoft YaHei" w:eastAsia="微软雅黑"/>
          <w:b w:val="0"/>
          <w:color w:val="332B22"/>
          <w:sz w:val="17"/>
        </w:rPr>
        <w:t>└─ 09_访谈纪要关键结论与会后确认单_V0.1_20260719.docx</w:t>
      </w:r>
    </w:p>
    <w:p>
      <w:pPr>
        <w:pStyle w:val="Heading1"/>
      </w:pPr>
      <w:r>
        <w:rPr>
          <w:rFonts w:ascii="Microsoft YaHei" w:hAnsi="Microsoft YaHei" w:eastAsia="微软雅黑"/>
          <w:b/>
          <w:color w:val="332B22"/>
          <w:sz w:val="32"/>
        </w:rPr>
        <w:t>八、版式与可用性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采用与现有项目简报、PRD和第1周启动包一致的金色、棕色视觉体系。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使用A4纵向版式，适合打印和Word直接填写。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正文保持可读字号，填写区域提供足够高度，不以缩小字体解决分页问题。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表格采用明确列宽、重复表头和可扩展行高，避免跨页破损。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勾选项使用清晰方框，并保留“其他／限制说明”。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每份文件含项目名称、材料名称、版本、日期和页码。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总目录标明每份材料的负责人、使用时点、归档结果和完成状态。</w:t>
      </w:r>
    </w:p>
    <w:p>
      <w:pPr>
        <w:pStyle w:val="Heading1"/>
      </w:pPr>
      <w:r>
        <w:rPr>
          <w:rFonts w:ascii="Microsoft YaHei" w:hAnsi="Microsoft YaHei" w:eastAsia="微软雅黑"/>
          <w:b/>
          <w:color w:val="332B22"/>
          <w:sz w:val="32"/>
        </w:rPr>
        <w:t>九、验收标准</w:t>
      </w:r>
    </w:p>
    <w:p>
      <w:pPr>
        <w:spacing w:after="40" w:line="276" w:lineRule="auto"/>
        <w:numPr>
          <w:ilvl w:val="0"/>
          <w:numId w:val="29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10份文件均可独立打开、打印和填写。</w:t>
      </w:r>
    </w:p>
    <w:p>
      <w:pPr>
        <w:spacing w:after="40" w:line="276" w:lineRule="auto"/>
        <w:numPr>
          <w:ilvl w:val="0"/>
          <w:numId w:val="29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总目录能够说明每份文件由谁使用、何时使用以及如何归档。</w:t>
      </w:r>
    </w:p>
    <w:p>
      <w:pPr>
        <w:spacing w:after="40" w:line="276" w:lineRule="auto"/>
        <w:numPr>
          <w:ilvl w:val="0"/>
          <w:numId w:val="29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纸面原型不擅自确定制箔或贴箔路线。</w:t>
      </w:r>
    </w:p>
    <w:p>
      <w:pPr>
        <w:spacing w:after="40" w:line="276" w:lineRule="auto"/>
        <w:numPr>
          <w:ilvl w:val="0"/>
          <w:numId w:val="29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所有待专业确认内容都有统一、醒目的标识。</w:t>
      </w:r>
    </w:p>
    <w:p>
      <w:pPr>
        <w:spacing w:after="40" w:line="276" w:lineRule="auto"/>
        <w:numPr>
          <w:ilvl w:val="0"/>
          <w:numId w:val="29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授权范围可逐项选择，并区分内部研究与公开传播。</w:t>
      </w:r>
    </w:p>
    <w:p>
      <w:pPr>
        <w:spacing w:after="40" w:line="276" w:lineRule="auto"/>
        <w:numPr>
          <w:ilvl w:val="0"/>
          <w:numId w:val="29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历史资料和第三方材料不被默认授权。</w:t>
      </w:r>
    </w:p>
    <w:p>
      <w:pPr>
        <w:spacing w:after="40" w:line="276" w:lineRule="auto"/>
        <w:numPr>
          <w:ilvl w:val="0"/>
          <w:numId w:val="29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访谈提纲能够在60分钟内完成，时间不足时有明确降级策略。</w:t>
      </w:r>
    </w:p>
    <w:p>
      <w:pPr>
        <w:spacing w:after="40" w:line="276" w:lineRule="auto"/>
        <w:numPr>
          <w:ilvl w:val="0"/>
          <w:numId w:val="29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访谈纪要能够把结论转换为四岗位后续行动。</w:t>
      </w:r>
    </w:p>
    <w:p>
      <w:pPr>
        <w:spacing w:after="40" w:line="276" w:lineRule="auto"/>
        <w:numPr>
          <w:ilvl w:val="0"/>
          <w:numId w:val="29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所有表格无文字截断、边界拥挤、跨页残行或不可填写区域。</w:t>
      </w:r>
    </w:p>
    <w:p>
      <w:pPr>
        <w:spacing w:after="40" w:line="276" w:lineRule="auto"/>
        <w:numPr>
          <w:ilvl w:val="0"/>
          <w:numId w:val="29"/>
        </w:numPr>
      </w:pPr>
      <w:r>
        <w:rPr>
          <w:rFonts w:ascii="Microsoft YaHei" w:hAnsi="Microsoft YaHei" w:eastAsia="微软雅黑"/>
          <w:b w:val="0"/>
          <w:color w:val="332B22"/>
          <w:sz w:val="21"/>
        </w:rPr>
        <w:t>全部文件完成结构审计、无障碍检查和逐页渲染检查后方可交付。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35" w:left="1191" w:header="454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F675F"/>
        <w:sz w:val="17"/>
      </w:rPr>
      <w:t xml:space="preserve">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6"/>
      </w:rPr>
      <w:t>金箔非遗数字体验与活化传播项目</w:t>
    </w:r>
    <w:r>
      <w:rPr>
        <w:rFonts w:ascii="Microsoft YaHei" w:hAnsi="Microsoft YaHei" w:eastAsia="微软雅黑"/>
        <w:color w:val="6F675F"/>
        <w:sz w:val="16"/>
      </w:rPr>
      <w:t xml:space="preserve">    |    首次专业访谈材料包设计说明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10">
    <w:multiLevelType w:val="singleLevel"/>
    <w:lvl w:ilvl="0">
      <w:start w:val="1"/>
      <w:numFmt w:val="bullet"/>
      <w:lvlText w:val="•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11">
    <w:multiLevelType w:val="singleLevel"/>
    <w:lvl w:ilvl="0">
      <w:start w:val="1"/>
      <w:numFmt w:val="bullet"/>
      <w:lvlText w:val="•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12">
    <w:multiLevelType w:val="singleLevel"/>
    <w:lvl w:ilvl="0">
      <w:start w:val="1"/>
      <w:numFmt w:val="bullet"/>
      <w:lvlText w:val="•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13">
    <w:multiLevelType w:val="singleLevel"/>
    <w:lvl w:ilvl="0">
      <w:start w:val="1"/>
      <w:numFmt w:val="decimal"/>
      <w:lvlText w:val="%1.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14">
    <w:multiLevelType w:val="singleLevel"/>
    <w:lvl w:ilvl="0">
      <w:start w:val="1"/>
      <w:numFmt w:val="bullet"/>
      <w:lvlText w:val="•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15">
    <w:multiLevelType w:val="singleLevel"/>
    <w:lvl w:ilvl="0">
      <w:start w:val="1"/>
      <w:numFmt w:val="bullet"/>
      <w:lvlText w:val="•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16">
    <w:multiLevelType w:val="singleLevel"/>
    <w:lvl w:ilvl="0">
      <w:start w:val="1"/>
      <w:numFmt w:val="bullet"/>
      <w:lvlText w:val="•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17">
    <w:multiLevelType w:val="singleLevel"/>
    <w:lvl w:ilvl="0">
      <w:start w:val="1"/>
      <w:numFmt w:val="bullet"/>
      <w:lvlText w:val="•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18">
    <w:multiLevelType w:val="singleLevel"/>
    <w:lvl w:ilvl="0">
      <w:start w:val="1"/>
      <w:numFmt w:val="decimal"/>
      <w:lvlText w:val="%1.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19">
    <w:multiLevelType w:val="singleLevel"/>
    <w:lvl w:ilvl="0">
      <w:start w:val="1"/>
      <w:numFmt w:val="bullet"/>
      <w:lvlText w:val="•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20">
    <w:multiLevelType w:val="singleLevel"/>
    <w:lvl w:ilvl="0">
      <w:start w:val="1"/>
      <w:numFmt w:val="bullet"/>
      <w:lvlText w:val="•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21">
    <w:multiLevelType w:val="singleLevel"/>
    <w:lvl w:ilvl="0">
      <w:start w:val="1"/>
      <w:numFmt w:val="bullet"/>
      <w:lvlText w:val="•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22">
    <w:multiLevelType w:val="singleLevel"/>
    <w:lvl w:ilvl="0">
      <w:start w:val="1"/>
      <w:numFmt w:val="bullet"/>
      <w:lvlText w:val="•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23">
    <w:multiLevelType w:val="singleLevel"/>
    <w:lvl w:ilvl="0">
      <w:start w:val="1"/>
      <w:numFmt w:val="decimal"/>
      <w:lvlText w:val="%1.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24">
    <w:multiLevelType w:val="singleLevel"/>
    <w:lvl w:ilvl="0">
      <w:start w:val="1"/>
      <w:numFmt w:val="decimal"/>
      <w:lvlText w:val="%1.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25">
    <w:multiLevelType w:val="singleLevel"/>
    <w:lvl w:ilvl="0">
      <w:start w:val="1"/>
      <w:numFmt w:val="decimal"/>
      <w:lvlText w:val="%1.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26">
    <w:multiLevelType w:val="singleLevel"/>
    <w:lvl w:ilvl="0">
      <w:start w:val="1"/>
      <w:numFmt w:val="bullet"/>
      <w:lvlText w:val="•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27">
    <w:multiLevelType w:val="singleLevel"/>
    <w:lvl w:ilvl="0">
      <w:start w:val="1"/>
      <w:numFmt w:val="bullet"/>
      <w:lvlText w:val="•"/>
      <w:suff w:val="space"/>
      <w:pPr>
        <w:ind w:left="540" w:hanging="270"/>
      </w:pPr>
      <w:rPr>
        <w:rFonts w:ascii="Arial" w:hAnsi="Arial" w:eastAsia="Microsoft YaHei"/>
      </w:rPr>
    </w:lvl>
  </w:abstractNum>
  <w:abstractNum w:abstractNumId="28">
    <w:multiLevelType w:val="singleLevel"/>
    <w:lvl w:ilvl="0">
      <w:start w:val="1"/>
      <w:numFmt w:val="decimal"/>
      <w:lvlText w:val="%1."/>
      <w:suff w:val="space"/>
      <w:pPr>
        <w:ind w:left="540" w:hanging="270"/>
      </w:pPr>
      <w:rPr>
        <w:rFonts w:ascii="Arial" w:hAnsi="Arial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微软雅黑"/>
      <w:b w:val="0"/>
      <w:color w:val="332B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金箔非遗项目首次专业访谈材料包设计说明 V0.1</dc:title>
  <dc:subject>首次专业访谈材料包的文件结构、边界、流程与验收标准</dc:subject>
  <dc:creator>金箔非遗项目团队</dc:creator>
  <cp:keywords>金箔, 非遗, 访谈, 材料包, 纸面原型, 授权, 攀登计划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