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9A6B16"/>
          <w:sz w:val="22"/>
        </w:rPr>
        <w:t>非遗文化与数字传播研究简报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324D"/>
          <w:sz w:val="56"/>
        </w:rPr>
        <w:t>南京金箔锻制技艺</w:t>
        <w:br/>
        <w:t>深度调研报告</w:t>
      </w:r>
    </w:p>
    <w:p>
      <w:pPr>
        <w:spacing w:after="600"/>
        <w:jc w:val="center"/>
      </w:pPr>
      <w:r>
        <w:rPr>
          <w:rFonts w:ascii="Calibri" w:hAnsi="Calibri" w:eastAsia="Microsoft YaHei"/>
          <w:color w:val="5B6470"/>
          <w:sz w:val="26"/>
        </w:rPr>
        <w:t>面向金箔非遗文化传承微信小程序的内容扩展与互动设计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调研对象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南京金箔锻制技艺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案例范围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10 个非遗/文化遗产数字案例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交付内容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内容架构、素材建议、互动任务、来源清单</w:t>
            </w:r>
          </w:p>
        </w:tc>
      </w:tr>
    </w:tbl>
    <w:p>
      <w:pPr>
        <w:spacing w:before="520" w:after="0"/>
        <w:jc w:val="center"/>
      </w:pPr>
      <w:r>
        <w:rPr>
          <w:rFonts w:ascii="Calibri" w:hAnsi="Calibri" w:eastAsia="Microsoft YaHei"/>
          <w:color w:val="5B6470"/>
          <w:sz w:val="20"/>
        </w:rPr>
        <w:t>本报告基于公开可核验资料整理；事实、地方传说与设计推断均作区分。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一、执行摘要</w:t>
      </w:r>
    </w:p>
    <w:p>
      <w:pPr/>
      <w:r>
        <w:rPr>
          <w:rFonts w:ascii="Calibri" w:hAnsi="Calibri" w:eastAsia="Microsoft YaHei"/>
        </w:rPr>
        <w:t>南京金箔锻制技艺具有完整的工序体系、明确的国家级非遗身份，以及可被继续利用的地方档案与传承人数字化记录。与其将小程序做成单纯的金色视觉展览，更合适的方向是“工艺闯关 + 人物档案 + 城市文化应用”的学习体验：让用户先看见一片金箔如何诞生，再理解手艺、传承人与当代生活之间的关系。</w:t>
      </w:r>
    </w:p>
    <w:p>
      <w:pPr/>
      <w:r>
        <w:rPr>
          <w:rFonts w:ascii="Calibri" w:hAnsi="Calibri" w:eastAsia="Microsoft YaHei"/>
        </w:rPr>
        <w:t>核心建议：第一期以可信知识、五步任务和轻量素材为主；高成本全景工厂、AI 数字人和电商转化应在资料授权、内容验证和用户需求明确后再考虑。</w:t>
      </w:r>
    </w:p>
    <w:p>
      <w:pPr>
        <w:pStyle w:val="Heading1"/>
        <w:keepNext/>
      </w:pPr>
      <w:r>
        <w:rPr>
          <w:rFonts w:ascii="Calibri" w:hAnsi="Calibri" w:eastAsia="Microsoft YaHei"/>
        </w:rPr>
        <w:t>二、调研范围与方法</w:t>
      </w:r>
    </w:p>
    <w:p>
      <w:pPr/>
      <w:r>
        <w:rPr>
          <w:rFonts w:ascii="Calibri" w:hAnsi="Calibri" w:eastAsia="Microsoft YaHei"/>
        </w:rPr>
        <w:t>检索时间为 2026 年 8 月 11 日。资料优先级依次为：国家级非遗平台、南京地方政府与档案机构、博物馆/文化机构、公开学术资料；案例则采用能核验功能形态的官方网站、政府公开页或项目方页面。</w:t>
      </w:r>
    </w:p>
    <w:p>
      <w:pPr>
        <w:pStyle w:val="ListBullet"/>
      </w:pPr>
      <w:r>
        <w:rPr>
          <w:rFonts w:ascii="Calibri" w:hAnsi="Calibri" w:eastAsia="Microsoft YaHei"/>
        </w:rPr>
        <w:t>纳入：与南京金箔的名录、工序、保护、数字化记录直接相关的公开资料；以及可复用到非遗小程序的数字展陈案例。</w:t>
      </w:r>
    </w:p>
    <w:p>
      <w:pPr>
        <w:pStyle w:val="ListBullet"/>
      </w:pPr>
      <w:r>
        <w:rPr>
          <w:rFonts w:ascii="Calibri" w:hAnsi="Calibri" w:eastAsia="Microsoft YaHei"/>
        </w:rPr>
        <w:t>排除：无法追溯来源的营销文章、仅有截图而没有公开说明的案例，以及将地方传说当作确定史实的材料。</w:t>
      </w:r>
    </w:p>
    <w:p>
      <w:pPr>
        <w:pStyle w:val="ListBullet"/>
      </w:pPr>
      <w:r>
        <w:rPr>
          <w:rFonts w:ascii="Calibri" w:hAnsi="Calibri" w:eastAsia="Microsoft YaHei"/>
        </w:rPr>
        <w:t>限制：未直接进入每个微信小程序的实时界面；案例功能可能更新、下线或区域受限，报告只描述公开页面能核验的内容。</w:t>
      </w:r>
    </w:p>
    <w:p>
      <w:pPr>
        <w:pStyle w:val="Heading1"/>
        <w:keepNext/>
      </w:pPr>
      <w:r>
        <w:rPr>
          <w:rFonts w:ascii="Calibri" w:hAnsi="Calibri" w:eastAsia="Microsoft YaHei"/>
        </w:rPr>
        <w:t>三、南京金箔锻制技艺：可采用的事实基线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560"/>
        <w:gridCol w:w="12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维度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报告结论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来源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非遗身份</w:t>
            </w:r>
          </w:p>
        </w:tc>
        <w:tc>
          <w:tcPr>
            <w:tcW w:type="dxa" w:w="6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国家级非遗代表性项目，项目编号Ⅷ-36，2006 年公布，类别为传统技艺；申报地区为江苏省南京市。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S1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工艺主线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公开项目资料列出倒条、下条、拍叶、做捻子、打开子、装家生、打了戏、出具、切金箔、检验包装等十多道工序。</w:t>
            </w:r>
          </w:p>
        </w:tc>
        <w:tc>
          <w:tcPr>
            <w:tcW w:type="dxa" w:w="12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S1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量级理解</w:t>
            </w:r>
          </w:p>
        </w:tc>
        <w:tc>
          <w:tcPr>
            <w:tcW w:type="dxa" w:w="6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官方资料以“约 0.1 微米”和“943 张约 1 毫米厚”帮助理解金箔之薄；适宜用于科普，不应包装为唯一工艺验收标准。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S1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传承与档案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南京市档案馆已接收并数字化 730 卷、9000 余件相关档案及部分影像资料；南京也已完成王必生的数字化记录工程。</w:t>
            </w:r>
          </w:p>
        </w:tc>
        <w:tc>
          <w:tcPr>
            <w:tcW w:type="dxa" w:w="12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S2、S3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叙事边界</w:t>
            </w:r>
          </w:p>
        </w:tc>
        <w:tc>
          <w:tcPr>
            <w:tcW w:type="dxa" w:w="6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葛仙翁、葛洪等内容属于官方资料明确记载的地方传说；应与《天工开物》等文字记录、现代档案分层呈现。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S1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四、内容架构建议</w:t>
      </w:r>
    </w:p>
    <w:p>
      <w:pPr/>
      <w:r>
        <w:rPr>
          <w:rFonts w:ascii="Calibri" w:hAnsi="Calibri" w:eastAsia="Microsoft YaHei"/>
        </w:rPr>
        <w:t>以下为面向微信小程序的内容架构建议，属于基于资料与案例的设计推断，并非既定产品功能。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650"/>
        <w:gridCol w:w="326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模块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内容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用户价值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首页：一片金箔的旅程</w:t>
            </w:r>
          </w:p>
        </w:tc>
        <w:tc>
          <w:tcPr>
            <w:tcW w:type="dxa" w:w="36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主视觉、继续学习、今日知识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快速进入并建立学习动机</w:t>
            </w:r>
          </w:p>
        </w:tc>
      </w:tr>
      <w:tr>
        <w:tc>
          <w:tcPr>
            <w:tcW w:type="dxa" w:w="24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金箔知事</w:t>
            </w:r>
          </w:p>
        </w:tc>
        <w:tc>
          <w:tcPr>
            <w:tcW w:type="dxa" w:w="36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名录、龙潭、术语、传说与史料辨析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回答“它是什么、从哪里来”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匠作工坊</w:t>
            </w:r>
          </w:p>
        </w:tc>
        <w:tc>
          <w:tcPr>
            <w:tcW w:type="dxa" w:w="36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逐步工艺卡、局部短片、任务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把抽象技艺转为可理解的动作</w:t>
            </w:r>
          </w:p>
        </w:tc>
      </w:tr>
      <w:tr>
        <w:tc>
          <w:tcPr>
            <w:tcW w:type="dxa" w:w="24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传承与档案</w:t>
            </w:r>
          </w:p>
        </w:tc>
        <w:tc>
          <w:tcPr>
            <w:tcW w:type="dxa" w:w="36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传承人、工具、口述史、档案时间线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把“人”和“资料”纳入核心叙事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金箔在生活中</w:t>
            </w:r>
          </w:p>
        </w:tc>
        <w:tc>
          <w:tcPr>
            <w:tcW w:type="dxa" w:w="36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建筑、艺术、修复、当代设计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建立工艺的当代意义</w:t>
            </w:r>
          </w:p>
        </w:tc>
      </w:tr>
      <w:tr>
        <w:tc>
          <w:tcPr>
            <w:tcW w:type="dxa" w:w="24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学习手册</w:t>
            </w:r>
          </w:p>
        </w:tc>
        <w:tc>
          <w:tcPr>
            <w:tcW w:type="dxa" w:w="36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进度、错题、收藏词条、作品记录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形成学习闭环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线下延展（可选）</w:t>
            </w:r>
          </w:p>
        </w:tc>
        <w:tc>
          <w:tcPr>
            <w:tcW w:type="dxa" w:w="36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活动、展馆、体验信息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连接真实传承场景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五、页面素材与表述建议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页面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建议素材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首页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获授权的金箔微距照片或自制纹理；极短锤击声音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不将未经许可的工厂片、传承人影像作为背景素材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工序页</w:t>
            </w:r>
          </w:p>
        </w:tc>
        <w:tc>
          <w:tcPr>
            <w:tcW w:type="dxa" w:w="41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单步工具/动作图、10–20 秒局部短片、术语解释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避免以长视频代替解释，或伪造精确物理模拟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档案页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时间轴、档案编号、资料类型、口述摘录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传说必须有显著标签，不进入确定史实时间轴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传承人页</w:t>
            </w:r>
          </w:p>
        </w:tc>
        <w:tc>
          <w:tcPr>
            <w:tcW w:type="dxa" w:w="41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确认后的姓名、工种、公开采访片段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避免扩写未经证实的生平、师承或获奖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应用页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授权的建筑、艺术、修复案例</w:t>
            </w:r>
          </w:p>
        </w:tc>
        <w:tc>
          <w:tcPr>
            <w:tcW w:type="dxa" w:w="3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商品、品牌、博物馆图片均需单独确认权利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六、互动任务设计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50"/>
        <w:gridCol w:w="37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任务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交互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学习目标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做捻子</w:t>
            </w:r>
          </w:p>
        </w:tc>
        <w:tc>
          <w:tcPr>
            <w:tcW w:type="dxa" w:w="4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把金叶与纸层按顺序组合</w:t>
            </w:r>
          </w:p>
        </w:tc>
        <w:tc>
          <w:tcPr>
            <w:tcW w:type="dxa" w:w="37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理解工艺包含多层准备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装家生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在有限格位中安排材料层次</w:t>
            </w:r>
          </w:p>
        </w:tc>
        <w:tc>
          <w:tcPr>
            <w:tcW w:type="dxa" w:w="371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理解承载与保护材料的概念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打箔节奏</w:t>
            </w:r>
          </w:p>
        </w:tc>
        <w:tc>
          <w:tcPr>
            <w:tcW w:type="dxa" w:w="4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点击或滑动完成节奏片段</w:t>
            </w:r>
          </w:p>
        </w:tc>
        <w:tc>
          <w:tcPr>
            <w:tcW w:type="dxa" w:w="37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体会重复劳动与协作，不把它做成纯拼手速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出具检查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识别厚薄不均、破损或边缘问题</w:t>
            </w:r>
          </w:p>
        </w:tc>
        <w:tc>
          <w:tcPr>
            <w:tcW w:type="dxa" w:w="371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强调质量控制也是工艺的一部分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切箔</w:t>
            </w:r>
          </w:p>
        </w:tc>
        <w:tc>
          <w:tcPr>
            <w:tcW w:type="dxa" w:w="4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按边界完成轻量分割</w:t>
            </w:r>
          </w:p>
        </w:tc>
        <w:tc>
          <w:tcPr>
            <w:tcW w:type="dxa" w:w="37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以平整度与检验反馈代替夸张破碎效果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工序排序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将十余道工序归位</w:t>
            </w:r>
          </w:p>
        </w:tc>
        <w:tc>
          <w:tcPr>
            <w:tcW w:type="dxa" w:w="371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建立整体流程记忆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数据实验室</w:t>
            </w:r>
          </w:p>
        </w:tc>
        <w:tc>
          <w:tcPr>
            <w:tcW w:type="dxa" w:w="4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滑杆比较约 0.1 微米、943 张约 1 毫米等量级</w:t>
            </w:r>
          </w:p>
        </w:tc>
        <w:tc>
          <w:tcPr>
            <w:tcW w:type="dxa" w:w="37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将抽象厚度变得可感知，明确标注来源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</w:rPr>
        <w:t>七、10 个数字案例与可复用经验</w:t>
      </w:r>
    </w:p>
    <w:p>
      <w:pPr/>
      <w:r>
        <w:rPr>
          <w:rFonts w:ascii="Calibri" w:hAnsi="Calibri" w:eastAsia="Microsoft YaHei"/>
        </w:rPr>
        <w:t>前 7 个为直接非遗数字化案例；后 3 个为文化遗产数字体验案例，用于参考导览、服务与无障碍设计。</w:t>
      </w:r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1. 中国非物质文化遗产网·中国非遗数字博物馆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国家级资源与展览平台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提供非遗项目、传承人与展览等资源入口。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作为金箔内容的事实校验和术语来源；不必复制大而全的全国目录。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中国非遗数字博物馆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2. 浙江“数字非遗”工程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省级数字化保护与传播体系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公开资料提及非遗数据仓、项目/传承人信息、知识图谱和新媒体传播矩阵。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后期可将工序、人物、地域和用途做轻量关联；第一期无需开发复杂知识图谱。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文化和旅游部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3. “福见非遗”小程序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省级非遗服务小程序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公开资料提及非遗资源、展馆、工坊、购物和旅游等板块。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内容、体验和服务可共存；金箔项目应先完成知识与工艺体验，再考虑交易功能。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福建省人民政府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4. “老家河南·黄河之礼”非遗数字馆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微信小程序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手绘地图、全景博物馆、语音、短视频、传承人名片、文创与互动小游戏。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最值得借鉴的是“探索—全景—传习—礼物”的完整体验线。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中国非物质文化遗产网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5. 泥人张彩塑文化小程序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单项非遗微信小程序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项目方公开介绍展览、故事、3D 数字展厅、商城、扫码互动和教育。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单一工艺可通过“作品—工序—故事”聚焦；仅可据此参考公开声明的功能，不推断运营效果。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项目方案例页</w:t>
        </w:r>
      </w:hyperlink>
      <w:r>
        <w:rPr>
          <w:rFonts w:ascii="Calibri" w:hAnsi="Calibri" w:eastAsia="Microsoft YaHei"/>
          <w:color w:val="5B6470"/>
        </w:rPr>
        <w:t>（项目方自述）</w:t>
      </w:r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6. “物以载道——中国非遗数字展”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线上 3D 数字展览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以三个主题板块组织茶、瓷器、丝绸、家具、佛山非遗和文创资源。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金箔可按“锤炼”“贴金”“当代新生”组织主题，而不是按素材类型堆叠。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中国驻摩洛哥使馆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7. 苏州非遗 VR 虚拟展厅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720° 虚拟展陈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以全景场景、图文说明与局部三维展示组织线下展厅。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可选择工具或局部空间做轻量全景/三维，不必制作高成本全流程工厂漫游。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苏州非遗信息网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8. 中国传统村落数字博物馆小程序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传统村落数字博物馆与小程序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公开介绍包含全景馆、历史文化、非遗文化和口述历史内容。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“龙潭—工坊—传承”的空间线索可与口述史结合，避免孤立百科页。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中国传统村落数字博物馆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9. 云游敦煌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文化遗产微信小程序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敦煌研究院公开资料说明其于 2020 年推出，并将线上探索、游览与保护叙事结合。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用一个文化对象串联探索、保护和文创，不应将学习与服务拆成无关页面。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敦煌研究院</w:t>
        </w:r>
      </w:hyperlink>
    </w:p>
    <w:p>
      <w:pPr>
        <w:pStyle w:val="Heading3"/>
        <w:keepNext/>
        <w:spacing w:before="180"/>
      </w:pPr>
      <w:r>
        <w:rPr>
          <w:rFonts w:ascii="Calibri" w:hAnsi="Calibri" w:eastAsia="Microsoft YaHei"/>
          <w:color w:val="17324D"/>
        </w:rPr>
        <w:t>10. 数字故宫</w:t>
      </w:r>
    </w:p>
    <w:p>
      <w:pPr>
        <w:keepNext/>
      </w:pPr>
      <w:r>
        <w:rPr>
          <w:rFonts w:ascii="Calibri" w:hAnsi="Calibri" w:eastAsia="Microsoft YaHei"/>
          <w:b/>
        </w:rPr>
        <w:t>形态：</w:t>
      </w:r>
      <w:r>
        <w:rPr>
          <w:rFonts w:ascii="Calibri" w:hAnsi="Calibri" w:eastAsia="Microsoft YaHei"/>
        </w:rPr>
        <w:t>博物馆微信小程序</w:t>
      </w:r>
    </w:p>
    <w:p>
      <w:pPr>
        <w:keepNext/>
      </w:pPr>
      <w:r>
        <w:rPr>
          <w:rFonts w:ascii="Calibri" w:hAnsi="Calibri" w:eastAsia="Microsoft YaHei"/>
          <w:b/>
        </w:rPr>
        <w:t>可核验功能：</w:t>
      </w:r>
      <w:r>
        <w:rPr>
          <w:rFonts w:ascii="Calibri" w:hAnsi="Calibri" w:eastAsia="Microsoft YaHei"/>
        </w:rPr>
        <w:t>公开资料介绍全景漫游、路线、语音、AR 导览、无障碍与线上线下参观服务。</w:t>
      </w:r>
    </w:p>
    <w:p>
      <w:pPr>
        <w:keepNext/>
      </w:pPr>
      <w:r>
        <w:rPr>
          <w:rFonts w:ascii="Calibri" w:hAnsi="Calibri" w:eastAsia="Microsoft YaHei"/>
          <w:b/>
        </w:rPr>
        <w:t>对金箔项目的启示：</w:t>
      </w:r>
      <w:r>
        <w:rPr>
          <w:rFonts w:ascii="Calibri" w:hAnsi="Calibri" w:eastAsia="Microsoft YaHei"/>
        </w:rPr>
        <w:t>后期可借鉴不同学习路线、读屏支持和线上线下融合；不必复制复杂 AR 导航。</w:t>
      </w:r>
    </w:p>
    <w:p>
      <w:pPr>
        <w:spacing w:after="100"/>
      </w:pPr>
      <w:r>
        <w:rPr>
          <w:rFonts w:ascii="Calibri" w:hAnsi="Calibri" w:eastAsia="Microsoft YaHei"/>
        </w:rPr>
        <w:t>来源：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故宫博物院</w:t>
        </w:r>
      </w:hyperlink>
    </w:p>
    <w:p>
      <w:pPr>
        <w:pStyle w:val="Heading1"/>
        <w:keepNext/>
      </w:pPr>
      <w:r>
        <w:rPr>
          <w:rFonts w:ascii="Calibri" w:hAnsi="Calibri" w:eastAsia="Microsoft YaHei"/>
        </w:rPr>
        <w:t>八、实施优先级</w:t>
      </w:r>
    </w:p>
    <w:p>
      <w:pPr>
        <w:pStyle w:val="Heading2"/>
        <w:keepNext/>
      </w:pPr>
      <w:r>
        <w:rPr>
          <w:rFonts w:ascii="Calibri" w:hAnsi="Calibri" w:eastAsia="Microsoft YaHei"/>
        </w:rPr>
        <w:t>优先完成</w:t>
      </w:r>
    </w:p>
    <w:p>
      <w:pPr>
        <w:pStyle w:val="ListNumber"/>
      </w:pPr>
      <w:r>
        <w:rPr>
          <w:rFonts w:ascii="Calibri" w:hAnsi="Calibri" w:eastAsia="Microsoft YaHei"/>
        </w:rPr>
        <w:t>经核验的工艺知识卡、术语体系和来源标签。</w:t>
      </w:r>
    </w:p>
    <w:p>
      <w:pPr>
        <w:pStyle w:val="ListNumber"/>
      </w:pPr>
      <w:r>
        <w:rPr>
          <w:rFonts w:ascii="Calibri" w:hAnsi="Calibri" w:eastAsia="Microsoft YaHei"/>
        </w:rPr>
        <w:t>围绕做捻子、装家生、打箔、出具检查、切箔的学习任务与复盘。</w:t>
      </w:r>
    </w:p>
    <w:p>
      <w:pPr>
        <w:pStyle w:val="ListNumber"/>
      </w:pPr>
      <w:r>
        <w:rPr>
          <w:rFonts w:ascii="Calibri" w:hAnsi="Calibri" w:eastAsia="Microsoft YaHei"/>
        </w:rPr>
        <w:t>传承人、地方档案、工具和故事的分层叙事。</w:t>
      </w:r>
    </w:p>
    <w:p>
      <w:pPr>
        <w:pStyle w:val="ListNumber"/>
      </w:pPr>
      <w:r>
        <w:rPr>
          <w:rFonts w:ascii="Calibri" w:hAnsi="Calibri" w:eastAsia="Microsoft YaHei"/>
        </w:rPr>
        <w:t>轻量图片、音频、短视频与文本，先建立高质量内容资产。</w:t>
      </w:r>
    </w:p>
    <w:p>
      <w:pPr>
        <w:pStyle w:val="ListNumber"/>
      </w:pPr>
      <w:r>
        <w:rPr>
          <w:rFonts w:ascii="Calibri" w:hAnsi="Calibri" w:eastAsia="Microsoft YaHei"/>
        </w:rPr>
        <w:t>事实、地方传说、设计推断的明显区分。</w:t>
      </w:r>
    </w:p>
    <w:p>
      <w:pPr>
        <w:pStyle w:val="Heading2"/>
        <w:keepNext/>
      </w:pPr>
      <w:r>
        <w:rPr>
          <w:rFonts w:ascii="Calibri" w:hAnsi="Calibri" w:eastAsia="Microsoft YaHei"/>
        </w:rPr>
        <w:t>建议暂缓</w:t>
      </w:r>
    </w:p>
    <w:p>
      <w:pPr>
        <w:pStyle w:val="ListBullet"/>
      </w:pPr>
      <w:r>
        <w:rPr>
          <w:rFonts w:ascii="Calibri" w:hAnsi="Calibri" w:eastAsia="Microsoft YaHei"/>
        </w:rPr>
        <w:t>全流程高精度 3D 工厂漫游。</w:t>
      </w:r>
    </w:p>
    <w:p>
      <w:pPr>
        <w:pStyle w:val="ListBullet"/>
      </w:pPr>
      <w:r>
        <w:rPr>
          <w:rFonts w:ascii="Calibri" w:hAnsi="Calibri" w:eastAsia="Microsoft YaHei"/>
        </w:rPr>
        <w:t>未经授权的传承人 AI 数字人、语音或肖像化互动。</w:t>
      </w:r>
    </w:p>
    <w:p>
      <w:pPr>
        <w:pStyle w:val="ListBullet"/>
      </w:pPr>
      <w:r>
        <w:rPr>
          <w:rFonts w:ascii="Calibri" w:hAnsi="Calibri" w:eastAsia="Microsoft YaHei"/>
        </w:rPr>
        <w:t>与学习目标无关的商城、排行榜和强制分享。</w:t>
      </w:r>
    </w:p>
    <w:p>
      <w:pPr>
        <w:pStyle w:val="ListBullet"/>
      </w:pPr>
      <w:r>
        <w:rPr>
          <w:rFonts w:ascii="Calibri" w:hAnsi="Calibri" w:eastAsia="Microsoft YaHei"/>
        </w:rPr>
        <w:t>将工艺参数包装为唯一正确配方。</w:t>
      </w:r>
    </w:p>
    <w:p>
      <w:pPr>
        <w:pStyle w:val="ListBullet"/>
      </w:pPr>
      <w:r>
        <w:rPr>
          <w:rFonts w:ascii="Calibri" w:hAnsi="Calibri" w:eastAsia="Microsoft YaHei"/>
        </w:rPr>
        <w:t>直接抓取博物馆、纪录片、企业或品牌素材。</w:t>
      </w:r>
    </w:p>
    <w:p>
      <w:pPr>
        <w:pStyle w:val="Heading1"/>
        <w:keepNext/>
      </w:pPr>
      <w:r>
        <w:rPr>
          <w:rFonts w:ascii="Calibri" w:hAnsi="Calibri" w:eastAsia="Microsoft YaHei"/>
        </w:rPr>
        <w:t>九、版权、授权与伦理提示</w:t>
      </w:r>
    </w:p>
    <w:p>
      <w:pPr/>
      <w:r>
        <w:rPr>
          <w:rFonts w:ascii="Calibri" w:hAnsi="Calibri" w:eastAsia="Microsoft YaHei"/>
          <w:b/>
          <w:color w:val="1F2937"/>
        </w:rPr>
        <w:t>《中华人民共和国非物质文化遗产法》</w:t>
      </w:r>
      <w:r>
        <w:rPr>
          <w:rFonts w:ascii="Calibri" w:hAnsi="Calibri" w:eastAsia="Microsoft YaHei"/>
        </w:rPr>
        <w:t>强调记录、建档、传承与传播；这支持基于事实的数字化科普，但并不意味着公开页面上的图片、视频、人物声音可以直接用于产品。著作权与信息网络传播权仍需按具体作品和授权范围判断。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素材/信息类型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上线前应完成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官方网页文字</w:t>
            </w:r>
          </w:p>
        </w:tc>
        <w:tc>
          <w:tcPr>
            <w:tcW w:type="dxa" w:w="6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自行改写并标注来源；避免大段复制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图片、视频、音频</w:t>
            </w:r>
          </w:p>
        </w:tc>
        <w:tc>
          <w:tcPr>
            <w:tcW w:type="dxa" w:w="60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确认权利方、使用范围、期限、是否允许二次编辑与商业化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传承人肖像、声音、采访</w:t>
            </w:r>
          </w:p>
        </w:tc>
        <w:tc>
          <w:tcPr>
            <w:tcW w:type="dxa" w:w="6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取得本人或保护单位确认；AI 语音/形象须单独约定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企业品牌与车间</w:t>
            </w:r>
          </w:p>
        </w:tc>
        <w:tc>
          <w:tcPr>
            <w:tcW w:type="dxa" w:w="6060"/>
            <w:shd w:fill="FAFBFC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确认商标、商业宣传与拍摄使用授权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用户上传作品</w:t>
            </w:r>
          </w:p>
        </w:tc>
        <w:tc>
          <w:tcPr>
            <w:tcW w:type="dxa" w:w="60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明确展示授权、未成年人保护、投诉与下架流程</w:t>
            </w:r>
          </w:p>
        </w:tc>
      </w:tr>
    </w:tbl>
    <w:p>
      <w:pPr/>
      <w:r>
        <w:rPr>
          <w:rFonts w:ascii="Calibri" w:hAnsi="Calibri" w:eastAsia="Microsoft YaHei"/>
          <w:b/>
        </w:rPr>
        <w:t>相关法律与规范：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《中华人民共和国非物质文化遗产法》</w:t>
        </w:r>
      </w:hyperlink>
      <w:r>
        <w:rPr>
          <w:rFonts w:ascii="Calibri" w:hAnsi="Calibri" w:eastAsia="Microsoft YaHei"/>
        </w:rPr>
        <w:t>；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《中华人民共和国著作权法》</w:t>
        </w:r>
      </w:hyperlink>
      <w:r>
        <w:rPr>
          <w:rFonts w:ascii="Calibri" w:hAnsi="Calibri" w:eastAsia="Microsoft YaHei"/>
        </w:rPr>
        <w:t>。本节为产品风险提示，不构成正式法律意见。</w:t>
      </w:r>
    </w:p>
    <w:p>
      <w:pPr>
        <w:pStyle w:val="Heading1"/>
        <w:keepNext/>
      </w:pPr>
      <w:r>
        <w:rPr>
          <w:rFonts w:ascii="Calibri" w:hAnsi="Calibri" w:eastAsia="Microsoft YaHei"/>
        </w:rPr>
        <w:t>十、来源与参考链接</w:t>
      </w:r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  </w:t>
      </w:r>
      <w:hyperlink r:id="rId23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中国非物质文化遗产网·中国非物质文化遗产数字博物馆：《南京金箔锻制技艺》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S2  </w:t>
      </w:r>
      <w:hyperlink r:id="rId24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南京市档案馆：《南京市档案馆积极推动金箔非遗档案的收集整理工作》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S3  </w:t>
      </w:r>
      <w:hyperlink r:id="rId25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南京市人民政府：《对市政协十四届四次会议第0206号提案的答复》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S4  </w:t>
      </w:r>
      <w:hyperlink r:id="rId26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南京市人民政府：《南京非遗走进央视〈非遗里的中国〉》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S5  </w:t>
      </w:r>
      <w:hyperlink r:id="rId11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中国非物质文化遗产网·中国非物质文化遗产数字博物馆：首页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S6  </w:t>
      </w:r>
      <w:hyperlink r:id="rId12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文化和旅游部：《浙江省“数字非遗”工程赋能高质量美好生活》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S7  </w:t>
      </w:r>
      <w:hyperlink r:id="rId13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福建省人民政府：《关于省政协十三届二次会议20242240号提案的答复》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S8  </w:t>
      </w:r>
      <w:hyperlink r:id="rId14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中国非物质文化遗产网：《“老家河南 黄河之礼”非遗数字馆小程序上线仪式在河南禹州市举办》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S9  </w:t>
      </w:r>
      <w:hyperlink r:id="rId15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津门泥溯：泥人张彩塑文化小程序案例页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S10  </w:t>
      </w:r>
      <w:hyperlink r:id="rId16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中华人民共和国驻摩洛哥王国大使馆：《“物以载道——中国非遗数字展”在中国和摩洛哥上线》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S11  </w:t>
      </w:r>
      <w:hyperlink r:id="rId17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苏州非物质文化遗产信息网：非一般的展厅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S12  </w:t>
      </w:r>
      <w:hyperlink r:id="rId18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中国传统村落数字博物馆：传统村落数字博物馆官方小程序正式上线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S13  </w:t>
      </w:r>
      <w:hyperlink r:id="rId19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敦煌研究院：融媒体中心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S14  </w:t>
      </w:r>
      <w:hyperlink r:id="rId20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故宫博物院：《“数字故宫”小程序2.0正式发布》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S15  </w:t>
      </w:r>
      <w:hyperlink r:id="rId21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中国人大网：《中华人民共和国非物质文化遗产法》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S16  </w:t>
      </w:r>
      <w:hyperlink r:id="rId22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中国人大网：《中华人民共和国著作权法》</w:t>
        </w:r>
      </w:hyperlink>
    </w:p>
    <w:p>
      <w:pPr>
        <w:spacing w:before="0" w:after="0" w:line="240" w:lineRule="auto"/>
        <w:ind w:left="72" w:hanging="72"/>
      </w:pPr>
      <w:r>
        <w:rPr>
          <w:rFonts w:ascii="Calibri" w:hAnsi="Calibri" w:eastAsia="Microsoft YaHei"/>
          <w:b/>
          <w:color w:val="17324D"/>
          <w:sz w:val="18"/>
        </w:rPr>
        <w:t xml:space="preserve">S17  </w:t>
      </w:r>
      <w:hyperlink r:id="rId27">
        <w:r>
          <w:rPr>
            <w:rFonts w:ascii="Calibri" w:hAnsi="Calibri" w:eastAsia="Microsoft YaHei"/>
            <w:color w:val="2E74B5"/>
            <w:u w:val="single"/>
            <w:sz w:val="18"/>
            <w:szCs w:val="18"/>
          </w:rPr>
          <w:t>中国期刊全文数据库：《非遗活化视角下南京金箔艺术设计策略分析》</w:t>
        </w:r>
      </w:hyperlink>
    </w:p>
    <w:p>
      <w:pPr>
        <w:pStyle w:val="Heading1"/>
        <w:keepNext/>
      </w:pPr>
      <w:r>
        <w:rPr>
          <w:rFonts w:ascii="Calibri" w:hAnsi="Calibri" w:eastAsia="Microsoft YaHei"/>
        </w:rPr>
        <w:t>附：使用说明</w:t>
      </w:r>
    </w:p>
    <w:p>
      <w:pPr/>
      <w:r>
        <w:rPr>
          <w:rFonts w:ascii="Calibri" w:hAnsi="Calibri" w:eastAsia="Microsoft YaHei"/>
        </w:rPr>
        <w:t>本报告用于内容策划、设计沟通与素材授权准备。进入界面设计或开发前，建议先由项目负责人确认：第一期目标用户、是否接入线下体验、可用素材权利范围，以及传承人/保护单位的协作方式。</w:t>
      </w:r>
    </w:p>
    <w:p>
      <w:pPr>
        <w:spacing w:before="240" w:after="0"/>
      </w:pPr>
      <w:r>
        <w:rPr>
          <w:rFonts w:ascii="Calibri" w:hAnsi="Calibri" w:eastAsia="Microsoft YaHei"/>
          <w:b/>
          <w:color w:val="5B6470"/>
        </w:rPr>
        <w:t>AI 使用说明：</w:t>
      </w:r>
      <w:r>
        <w:rPr>
          <w:rFonts w:ascii="Calibri" w:hAnsi="Calibri" w:eastAsia="Microsoft YaHei"/>
          <w:color w:val="5B6470"/>
          <w:sz w:val="18"/>
        </w:rPr>
        <w:t>本报告由 AI 协助完成公开资料检索、来源核验、案例综合与文稿整理；核心事实均尽量链接至原始或机构来源，案例功能以公开页面可见信息为限。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470"/>
        <w:sz w:val="17"/>
      </w:rPr>
      <w:t xml:space="preserve">调研日期：2026 年 8 月 11 日　|　第 </w:t>
    </w:r>
    <w:r>
      <w:rPr>
        <w:rFonts w:ascii="Calibri" w:hAnsi="Calibri" w:eastAsia="Microsoft YaHei"/>
        <w:color w:val="5B6470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4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8" w:color="D8E0E8"/>
      </w:pBdr>
    </w:pPr>
    <w:r>
      <w:rPr>
        <w:rFonts w:ascii="Calibri" w:hAnsi="Calibri" w:eastAsia="Microsoft YaHei"/>
        <w:color w:val="5B6470"/>
        <w:sz w:val="17"/>
      </w:rPr>
      <w:t>南京金箔锻制技艺｜深度调研报告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hchina.cn/index.html/" TargetMode="External"/><Relationship Id="rId12" Type="http://schemas.openxmlformats.org/officeDocument/2006/relationships/hyperlink" Target="https://www.mct.gov.cn/wlbphone/wlbydd/xxfb/qglb/zj/202108/t20210826_927366.html" TargetMode="External"/><Relationship Id="rId13" Type="http://schemas.openxmlformats.org/officeDocument/2006/relationships/hyperlink" Target="https://www.fujian.gov.cn/zwgk/zdlyxxgk/jytabl_1/202407/t20240715_6483872.htm" TargetMode="External"/><Relationship Id="rId14" Type="http://schemas.openxmlformats.org/officeDocument/2006/relationships/hyperlink" Target="https://www.ihchina.cn/art/detail/id/22101.html" TargetMode="External"/><Relationship Id="rId15" Type="http://schemas.openxmlformats.org/officeDocument/2006/relationships/hyperlink" Target="https://mudtrace.com/cases" TargetMode="External"/><Relationship Id="rId16" Type="http://schemas.openxmlformats.org/officeDocument/2006/relationships/hyperlink" Target="https://ma.china-embassy.gov.cn/chn/tpxw/202011/t20201103_6159876.htm" TargetMode="External"/><Relationship Id="rId17" Type="http://schemas.openxmlformats.org/officeDocument/2006/relationships/hyperlink" Target="https://szfy.wglj.suzhou.com.cn/tszt" TargetMode="External"/><Relationship Id="rId18" Type="http://schemas.openxmlformats.org/officeDocument/2006/relationships/hyperlink" Target="https://www.dmctv.cn/zxShow.aspx?id=1256" TargetMode="External"/><Relationship Id="rId19" Type="http://schemas.openxmlformats.org/officeDocument/2006/relationships/hyperlink" Target="https://www.dunhuangcaves.org/info/1085/1922.htm" TargetMode="External"/><Relationship Id="rId20" Type="http://schemas.openxmlformats.org/officeDocument/2006/relationships/hyperlink" Target="https://www.dpm.org.cn/classify_detail/257034.html" TargetMode="External"/><Relationship Id="rId21" Type="http://schemas.openxmlformats.org/officeDocument/2006/relationships/hyperlink" Target="https://www.npc.gov.cn/npc/c2/c12435/c12488/201905/t20190522_70066.html" TargetMode="External"/><Relationship Id="rId22" Type="http://schemas.openxmlformats.org/officeDocument/2006/relationships/hyperlink" Target="https://www.npc.gov.cn/c2/c30834/202011/t20201119_308796.html" TargetMode="External"/><Relationship Id="rId23" Type="http://schemas.openxmlformats.org/officeDocument/2006/relationships/hyperlink" Target="https://www.ihchina.cn/project_details/14324.html" TargetMode="External"/><Relationship Id="rId24" Type="http://schemas.openxmlformats.org/officeDocument/2006/relationships/hyperlink" Target="https://dag.nanjing.gov.cn/gzdt/202303/t20230324_3871607.html" TargetMode="External"/><Relationship Id="rId25" Type="http://schemas.openxmlformats.org/officeDocument/2006/relationships/hyperlink" Target="https://www.nanjing.gov.cn/xxgkn/jytabl_1/2021njytabl/shizxta/202112/t20211207_3223991.html" TargetMode="External"/><Relationship Id="rId26" Type="http://schemas.openxmlformats.org/officeDocument/2006/relationships/hyperlink" Target="https://www.nanjing.gov.cn/zzb/ywdt/bmdt_72661/202305/t20230508_3905829.html" TargetMode="External"/><Relationship Id="rId27" Type="http://schemas.openxmlformats.org/officeDocument/2006/relationships/hyperlink" Target="https://cnki.istiz.org.cn/kcms/detail/detail.aspx?dbcode=CJFD&amp;dbname=CJFD2025&amp;filename=ZWXE202521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