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46BC" w14:textId="77777777" w:rsidR="00A42B79" w:rsidRPr="00A42B79" w:rsidRDefault="00A42B79" w:rsidP="00A42B79">
      <w:pPr>
        <w:spacing w:line="360" w:lineRule="auto"/>
        <w:rPr>
          <w:sz w:val="22"/>
          <w:szCs w:val="22"/>
        </w:rPr>
      </w:pPr>
      <w:r w:rsidRPr="00A42B79">
        <w:rPr>
          <w:sz w:val="22"/>
          <w:szCs w:val="22"/>
        </w:rPr>
        <w:t>1.  The lead supervisory authority may request at any time other supervisory authorities concerned to provide mutual assistance pursuant to Article 61 and may conduct joint operations pursuant to Article 62, in particular for carrying out investigations or for monitoring the implementation of a measure concerning a controller or processor established in another Member State.</w:t>
      </w:r>
    </w:p>
    <w:p w14:paraId="0DDA50B3" w14:textId="77777777" w:rsidR="00A42B79" w:rsidRPr="00A42B79" w:rsidRDefault="00A42B79" w:rsidP="00A42B79">
      <w:pPr>
        <w:spacing w:line="360" w:lineRule="auto"/>
        <w:rPr>
          <w:sz w:val="22"/>
          <w:szCs w:val="22"/>
        </w:rPr>
      </w:pPr>
      <w:r w:rsidRPr="00A42B79">
        <w:rPr>
          <w:sz w:val="22"/>
          <w:szCs w:val="22"/>
        </w:rPr>
        <w:t>2.  An EU trade mark court whose jurisdiction is based on Article 125(1), (2), (3) or (4) shall have jurisdiction to grant provisional and protective measures which, subject to any necessary procedure for recognition and enforcement pursuant to Chapter III of Regulation (EU) No 1215/2012, are applicable in the territory of any Member State.</w:t>
      </w:r>
    </w:p>
    <w:p w14:paraId="0B569190" w14:textId="77777777" w:rsidR="00A42B79" w:rsidRPr="00A42B79" w:rsidRDefault="00A42B79" w:rsidP="00A42B79">
      <w:pPr>
        <w:spacing w:line="360" w:lineRule="auto"/>
        <w:rPr>
          <w:sz w:val="22"/>
          <w:szCs w:val="22"/>
        </w:rPr>
      </w:pPr>
      <w:r w:rsidRPr="00A42B79">
        <w:rPr>
          <w:sz w:val="22"/>
          <w:szCs w:val="22"/>
        </w:rPr>
        <w:t>3.  The extension shall take effect from the date on which registration was imposed pursuant to Article 24(5) or on which guarantees were requested.</w:t>
      </w:r>
    </w:p>
    <w:p w14:paraId="131AED13" w14:textId="77777777" w:rsidR="00A42B79" w:rsidRPr="00A42B79" w:rsidRDefault="00A42B79" w:rsidP="00A42B79">
      <w:pPr>
        <w:spacing w:line="360" w:lineRule="auto"/>
        <w:rPr>
          <w:sz w:val="22"/>
          <w:szCs w:val="22"/>
        </w:rPr>
      </w:pPr>
      <w:r w:rsidRPr="00A42B79">
        <w:rPr>
          <w:sz w:val="22"/>
          <w:szCs w:val="22"/>
        </w:rPr>
        <w:t>4.  The mutual recognition of diplomas and certificates under Directive 2005/36/EC is not, however, fully adapted to regular and frequent cross-border activities of inland waterway occupations that notably exist on inland waterways linked to inland waterways of another Member State.</w:t>
      </w:r>
    </w:p>
    <w:p w14:paraId="0B05A861" w14:textId="77777777" w:rsidR="00A42B79" w:rsidRPr="00A42B79" w:rsidRDefault="00A42B79" w:rsidP="00A42B79">
      <w:pPr>
        <w:spacing w:line="360" w:lineRule="auto"/>
        <w:rPr>
          <w:sz w:val="22"/>
          <w:szCs w:val="22"/>
        </w:rPr>
      </w:pPr>
      <w:r w:rsidRPr="00A42B79">
        <w:rPr>
          <w:sz w:val="22"/>
          <w:szCs w:val="22"/>
        </w:rPr>
        <w:t>5.  This Directive shall enter into force on the day following that of its publication in the Official Journal of the European Union.</w:t>
      </w:r>
    </w:p>
    <w:p w14:paraId="731946BC" w14:textId="77777777" w:rsidR="00A42B79" w:rsidRPr="00A42B79" w:rsidRDefault="00A42B79" w:rsidP="00A42B79">
      <w:pPr>
        <w:spacing w:line="360" w:lineRule="auto"/>
        <w:rPr>
          <w:sz w:val="22"/>
          <w:szCs w:val="22"/>
        </w:rPr>
      </w:pPr>
      <w:r w:rsidRPr="00A42B79">
        <w:rPr>
          <w:sz w:val="22"/>
          <w:szCs w:val="22"/>
        </w:rPr>
        <w:t>6.  The Commission and the Member States shall ensure that data subjects may effectively exercise their rights to information, of access, to rectification and to object in accordance with Regulation (EC) No 45/2001 and Directive 95/46/EC, respectively.</w:t>
      </w:r>
    </w:p>
    <w:p w14:paraId="2BBB8EA9" w14:textId="77777777" w:rsidR="00A42B79" w:rsidRPr="00A42B79" w:rsidRDefault="00A42B79" w:rsidP="00A42B79">
      <w:pPr>
        <w:spacing w:line="360" w:lineRule="auto"/>
        <w:rPr>
          <w:sz w:val="22"/>
          <w:szCs w:val="22"/>
        </w:rPr>
      </w:pPr>
      <w:r w:rsidRPr="00A42B79">
        <w:rPr>
          <w:sz w:val="22"/>
          <w:szCs w:val="22"/>
        </w:rPr>
        <w:t>7.  Where requested, the EURES Members or, where relevant, the EURES Partners shall provide individual guidance on formulating requirements for vacancies.</w:t>
      </w:r>
    </w:p>
    <w:p w14:paraId="555CC6AE" w14:textId="77777777" w:rsidR="00A42B79" w:rsidRPr="00A42B79" w:rsidRDefault="00A42B79" w:rsidP="00A42B79">
      <w:pPr>
        <w:spacing w:line="360" w:lineRule="auto"/>
        <w:rPr>
          <w:sz w:val="22"/>
          <w:szCs w:val="22"/>
        </w:rPr>
      </w:pPr>
      <w:r w:rsidRPr="00A42B79">
        <w:rPr>
          <w:sz w:val="22"/>
          <w:szCs w:val="22"/>
        </w:rPr>
        <w:t>8.  Knives with cutting blades, serrated or not (including pruning knives), other than knives of heading 8208</w:t>
      </w:r>
    </w:p>
    <w:p w14:paraId="633EE085" w14:textId="77777777" w:rsidR="00A42B79" w:rsidRPr="00A42B79" w:rsidRDefault="00A42B79" w:rsidP="00A42B79">
      <w:pPr>
        <w:spacing w:line="360" w:lineRule="auto"/>
        <w:rPr>
          <w:sz w:val="22"/>
          <w:szCs w:val="22"/>
        </w:rPr>
      </w:pPr>
      <w:r w:rsidRPr="00A42B79">
        <w:rPr>
          <w:sz w:val="22"/>
          <w:szCs w:val="22"/>
        </w:rPr>
        <w:t>9.  Article 180</w:t>
      </w:r>
    </w:p>
    <w:p w14:paraId="7E3829F3" w14:textId="77777777" w:rsidR="00A42B79" w:rsidRPr="00A42B79" w:rsidRDefault="00A42B79" w:rsidP="00A42B79">
      <w:pPr>
        <w:spacing w:line="360" w:lineRule="auto"/>
        <w:rPr>
          <w:sz w:val="22"/>
          <w:szCs w:val="22"/>
        </w:rPr>
      </w:pPr>
      <w:r w:rsidRPr="00A42B79">
        <w:rPr>
          <w:sz w:val="22"/>
          <w:szCs w:val="22"/>
        </w:rPr>
        <w:t>10. the details of the explanatory labels listing the particulars and the types of documents referred to in Article 14;</w:t>
      </w:r>
    </w:p>
    <w:p w14:paraId="4BAE5519" w14:textId="77777777" w:rsidR="00A42B79" w:rsidRPr="00A42B79" w:rsidRDefault="00A42B79" w:rsidP="00A42B79">
      <w:pPr>
        <w:spacing w:line="360" w:lineRule="auto"/>
        <w:rPr>
          <w:sz w:val="22"/>
          <w:szCs w:val="22"/>
        </w:rPr>
      </w:pPr>
      <w:r w:rsidRPr="00A42B79">
        <w:rPr>
          <w:sz w:val="22"/>
          <w:szCs w:val="22"/>
        </w:rPr>
        <w:t>11. This derogation may be applied only at the border crossing point concerned for as long as the conditions referred to in points (i), (ii) and (iii) are met;</w:t>
      </w:r>
    </w:p>
    <w:p w14:paraId="7A0389CD" w14:textId="77777777" w:rsidR="00A42B79" w:rsidRPr="00A42B79" w:rsidRDefault="00A42B79" w:rsidP="00A42B79">
      <w:pPr>
        <w:spacing w:line="360" w:lineRule="auto"/>
        <w:rPr>
          <w:sz w:val="22"/>
          <w:szCs w:val="22"/>
        </w:rPr>
      </w:pPr>
      <w:r w:rsidRPr="00A42B79">
        <w:rPr>
          <w:sz w:val="22"/>
          <w:szCs w:val="22"/>
        </w:rPr>
        <w:t>12. The competent authority may at any time wholly or partially suspend or terminate the contract awarded under this provision if the operator fails to meet the performance requirements.</w:t>
      </w:r>
    </w:p>
    <w:p w14:paraId="74CA88FC" w14:textId="77777777" w:rsidR="00A42B79" w:rsidRPr="00A42B79" w:rsidRDefault="00A42B79" w:rsidP="00A42B79">
      <w:pPr>
        <w:spacing w:line="360" w:lineRule="auto"/>
        <w:rPr>
          <w:sz w:val="22"/>
          <w:szCs w:val="22"/>
        </w:rPr>
      </w:pPr>
      <w:r w:rsidRPr="00A42B79">
        <w:rPr>
          <w:sz w:val="22"/>
          <w:szCs w:val="22"/>
        </w:rPr>
        <w:t>13. It is therefore appropriate to give them the opportunity to become EURES Partners on an exceptional basis.</w:t>
      </w:r>
    </w:p>
    <w:p w14:paraId="18F63425" w14:textId="77777777" w:rsidR="00A42B79" w:rsidRPr="00A42B79" w:rsidRDefault="00A42B79" w:rsidP="00A42B79">
      <w:pPr>
        <w:spacing w:line="360" w:lineRule="auto"/>
        <w:rPr>
          <w:sz w:val="22"/>
          <w:szCs w:val="22"/>
        </w:rPr>
      </w:pPr>
      <w:r w:rsidRPr="00A42B79">
        <w:rPr>
          <w:sz w:val="22"/>
          <w:szCs w:val="22"/>
        </w:rPr>
        <w:t>14. Justification regarding the presence of CMR and/or endocrine-disrupting substances</w:t>
      </w:r>
    </w:p>
    <w:p w14:paraId="383B2803" w14:textId="77777777" w:rsidR="00A42B79" w:rsidRPr="00A42B79" w:rsidRDefault="00A42B79" w:rsidP="00A42B79">
      <w:pPr>
        <w:spacing w:line="360" w:lineRule="auto"/>
        <w:rPr>
          <w:sz w:val="22"/>
          <w:szCs w:val="22"/>
        </w:rPr>
      </w:pPr>
      <w:r w:rsidRPr="00A42B79">
        <w:rPr>
          <w:sz w:val="22"/>
          <w:szCs w:val="22"/>
        </w:rPr>
        <w:t>15. ‘hazardous and noxious substances’ means any substance other than oil which, if introduced into the marine environment, is likely to create hazards to human health, to harm living resources and marine life, to damage amenities or to interfere with other legitimate uses of the sea, as established by the Protocol on Preparedness, Response and Cooperation to Pollution Incidents by Hazardous and Noxious Substances, 2000, of the IMO;</w:t>
      </w:r>
    </w:p>
    <w:p w14:paraId="507ADA40" w14:textId="77777777" w:rsidR="00A42B79" w:rsidRPr="00A42B79" w:rsidRDefault="00A42B79" w:rsidP="00A42B79">
      <w:pPr>
        <w:spacing w:line="360" w:lineRule="auto"/>
        <w:rPr>
          <w:sz w:val="22"/>
          <w:szCs w:val="22"/>
        </w:rPr>
      </w:pPr>
      <w:r w:rsidRPr="00A42B79">
        <w:rPr>
          <w:sz w:val="22"/>
          <w:szCs w:val="22"/>
        </w:rPr>
        <w:t>16. Notwithstanding Article 270(2) of this Regulation, Directives 92/66/EEC, 2000/75/EC, 2001/89/EC, 2002/60/EC, 2003/85/EC and 2005/94/EC, as well as the acts adopted on the basis thereof, shall continue to apply, instead of the corresponding Articles in this Regulation, until three years after the date of application of this Regulation or an earlier date to be determined in a delegated act adopted in accordance with paragraph 2 of this Article.</w:t>
      </w:r>
    </w:p>
    <w:p w14:paraId="141396F4" w14:textId="77777777" w:rsidR="00A42B79" w:rsidRPr="00A42B79" w:rsidRDefault="00A42B79" w:rsidP="00A42B79">
      <w:pPr>
        <w:spacing w:line="360" w:lineRule="auto"/>
        <w:rPr>
          <w:sz w:val="22"/>
          <w:szCs w:val="22"/>
        </w:rPr>
      </w:pPr>
      <w:r w:rsidRPr="00A42B79">
        <w:rPr>
          <w:sz w:val="22"/>
          <w:szCs w:val="22"/>
        </w:rPr>
        <w:lastRenderedPageBreak/>
        <w:t>17. the same river basin in accordance with point (13) of Article 2 of Directive 2000/60/EC, regarding fresh water species; or</w:t>
      </w:r>
    </w:p>
    <w:p w14:paraId="4E92CFFA" w14:textId="77777777" w:rsidR="00A42B79" w:rsidRPr="00A42B79" w:rsidRDefault="00A42B79" w:rsidP="00A42B79">
      <w:pPr>
        <w:spacing w:line="360" w:lineRule="auto"/>
        <w:rPr>
          <w:sz w:val="22"/>
          <w:szCs w:val="22"/>
        </w:rPr>
      </w:pPr>
      <w:r w:rsidRPr="00A42B79">
        <w:rPr>
          <w:sz w:val="22"/>
          <w:szCs w:val="22"/>
        </w:rPr>
        <w:t>18. the results of stress tests and, where applicable, the proposed action plan;</w:t>
      </w:r>
    </w:p>
    <w:p w14:paraId="714192A4" w14:textId="77777777" w:rsidR="00A42B79" w:rsidRPr="00A42B79" w:rsidRDefault="00A42B79" w:rsidP="00A42B79">
      <w:pPr>
        <w:spacing w:line="360" w:lineRule="auto"/>
        <w:rPr>
          <w:sz w:val="22"/>
          <w:szCs w:val="22"/>
        </w:rPr>
      </w:pPr>
      <w:r w:rsidRPr="00A42B79">
        <w:rPr>
          <w:sz w:val="22"/>
          <w:szCs w:val="22"/>
        </w:rPr>
        <w:t>19. This Regulation should not affect the right of the Member States to specify the requirements they deem necessary as regards land use and regional planning, and in order to ensure the protection of the environment and of the health and safety of persons, and in particular workers and operating personnel, when using cableway installations.</w:t>
      </w:r>
    </w:p>
    <w:p w14:paraId="7BA3A233" w14:textId="77777777" w:rsidR="00A42B79" w:rsidRPr="00A42B79" w:rsidRDefault="00A42B79" w:rsidP="00A42B79">
      <w:pPr>
        <w:spacing w:line="360" w:lineRule="auto"/>
        <w:rPr>
          <w:sz w:val="22"/>
          <w:szCs w:val="22"/>
        </w:rPr>
      </w:pPr>
      <w:r w:rsidRPr="00A42B79">
        <w:rPr>
          <w:sz w:val="22"/>
          <w:szCs w:val="22"/>
        </w:rPr>
        <w:t>20. Where, within two months of receipt of the notification referred to in paragraph 4, no objection has been raised by either a Member State or the Commission in respect of any measures taken by a Member State, those measures shall be deemed to be justified.</w:t>
      </w:r>
    </w:p>
    <w:p w14:paraId="4F926BD9" w14:textId="77777777" w:rsidR="00A42B79" w:rsidRPr="00A42B79" w:rsidRDefault="00A42B79" w:rsidP="00A42B79">
      <w:pPr>
        <w:spacing w:line="360" w:lineRule="auto"/>
        <w:rPr>
          <w:sz w:val="22"/>
          <w:szCs w:val="22"/>
        </w:rPr>
      </w:pPr>
      <w:r w:rsidRPr="00A42B79">
        <w:rPr>
          <w:sz w:val="22"/>
          <w:szCs w:val="22"/>
        </w:rPr>
        <w:t>21. This Regulation shall not apply to port service contracts which were concluded before 15 February 2017 and are limited in time.</w:t>
      </w:r>
    </w:p>
    <w:p w14:paraId="3F403E45" w14:textId="77777777" w:rsidR="00A42B79" w:rsidRPr="00A42B79" w:rsidRDefault="00A42B79" w:rsidP="00A42B79">
      <w:pPr>
        <w:spacing w:line="360" w:lineRule="auto"/>
        <w:rPr>
          <w:sz w:val="22"/>
          <w:szCs w:val="22"/>
        </w:rPr>
      </w:pPr>
      <w:r w:rsidRPr="00A42B79">
        <w:rPr>
          <w:sz w:val="22"/>
          <w:szCs w:val="22"/>
        </w:rPr>
        <w:t>22. Article 29 is amended as follows:</w:t>
      </w:r>
    </w:p>
    <w:p w14:paraId="1EA1C020" w14:textId="77777777" w:rsidR="00A42B79" w:rsidRPr="00A42B79" w:rsidRDefault="00A42B79" w:rsidP="00A42B79">
      <w:pPr>
        <w:spacing w:line="360" w:lineRule="auto"/>
        <w:rPr>
          <w:sz w:val="22"/>
          <w:szCs w:val="22"/>
        </w:rPr>
      </w:pPr>
      <w:r w:rsidRPr="00A42B79">
        <w:rPr>
          <w:sz w:val="22"/>
          <w:szCs w:val="22"/>
        </w:rPr>
        <w:t>23. The common draft terms of the cross-border merger shall be published in the manner prescribed by the laws of each Member State in accordance with Article 16 for each of the merging companies at least one month before the date of the general meeting which is to decide thereon.</w:t>
      </w:r>
    </w:p>
    <w:p w14:paraId="3E54440C" w14:textId="77777777" w:rsidR="00A42B79" w:rsidRPr="00A42B79" w:rsidRDefault="00A42B79" w:rsidP="00A42B79">
      <w:pPr>
        <w:spacing w:line="360" w:lineRule="auto"/>
        <w:rPr>
          <w:sz w:val="22"/>
          <w:szCs w:val="22"/>
        </w:rPr>
      </w:pPr>
      <w:r w:rsidRPr="00A42B79">
        <w:rPr>
          <w:sz w:val="22"/>
          <w:szCs w:val="22"/>
        </w:rPr>
        <w:t>24. where there is an earlier designation of origin or geographical indication as referred to in Article 8(6) and the conditions set out in that paragraph are fulfilled.</w:t>
      </w:r>
    </w:p>
    <w:p w14:paraId="41C35195" w14:textId="77777777" w:rsidR="00A42B79" w:rsidRPr="00A42B79" w:rsidRDefault="00A42B79" w:rsidP="00A42B79">
      <w:pPr>
        <w:spacing w:line="360" w:lineRule="auto"/>
        <w:rPr>
          <w:sz w:val="22"/>
          <w:szCs w:val="22"/>
        </w:rPr>
      </w:pPr>
      <w:r w:rsidRPr="00A42B79">
        <w:rPr>
          <w:sz w:val="22"/>
          <w:szCs w:val="22"/>
        </w:rPr>
        <w:t>25. Articles 17 to 20 shall apply.</w:t>
      </w:r>
    </w:p>
    <w:p w14:paraId="7D1D9711" w14:textId="77777777" w:rsidR="00A42B79" w:rsidRPr="00A42B79" w:rsidRDefault="00A42B79" w:rsidP="00A42B79">
      <w:pPr>
        <w:spacing w:line="360" w:lineRule="auto"/>
        <w:rPr>
          <w:sz w:val="22"/>
          <w:szCs w:val="22"/>
        </w:rPr>
      </w:pPr>
      <w:r w:rsidRPr="00A42B79">
        <w:rPr>
          <w:sz w:val="22"/>
          <w:szCs w:val="22"/>
        </w:rPr>
        <w:t>26. ex Chapter 8</w:t>
      </w:r>
    </w:p>
    <w:p w14:paraId="7339747D" w14:textId="77777777" w:rsidR="00A42B79" w:rsidRPr="00A42B79" w:rsidRDefault="00A42B79" w:rsidP="00A42B79">
      <w:pPr>
        <w:spacing w:line="360" w:lineRule="auto"/>
        <w:rPr>
          <w:sz w:val="22"/>
          <w:szCs w:val="22"/>
        </w:rPr>
      </w:pPr>
      <w:r w:rsidRPr="00A42B79">
        <w:rPr>
          <w:sz w:val="22"/>
          <w:szCs w:val="22"/>
        </w:rPr>
        <w:t>27. Member States shall ensure the interoperability of their registers within the system of interconnection of registers via the platform.</w:t>
      </w:r>
    </w:p>
    <w:p w14:paraId="7E36CF6D" w14:textId="77777777" w:rsidR="00A42B79" w:rsidRPr="00A42B79" w:rsidRDefault="00A42B79" w:rsidP="00A42B79">
      <w:pPr>
        <w:spacing w:line="360" w:lineRule="auto"/>
        <w:rPr>
          <w:sz w:val="22"/>
          <w:szCs w:val="22"/>
        </w:rPr>
      </w:pPr>
      <w:r w:rsidRPr="00A42B79">
        <w:rPr>
          <w:sz w:val="22"/>
          <w:szCs w:val="22"/>
        </w:rPr>
        <w:t>28. It is expedient to permit the suspension of anti-dumping measures where there is a temporary change in market conditions which makes the continued imposition of such measures temporarily inappropriate.</w:t>
      </w:r>
    </w:p>
    <w:p w14:paraId="17C077B8" w14:textId="77777777" w:rsidR="00A42B79" w:rsidRPr="00A42B79" w:rsidRDefault="00A42B79" w:rsidP="00A42B79">
      <w:pPr>
        <w:spacing w:line="360" w:lineRule="auto"/>
        <w:rPr>
          <w:sz w:val="22"/>
          <w:szCs w:val="22"/>
        </w:rPr>
      </w:pPr>
      <w:r w:rsidRPr="00A42B79">
        <w:rPr>
          <w:sz w:val="22"/>
          <w:szCs w:val="22"/>
        </w:rPr>
        <w:t>29. It is appropriate to set out key requirements and criteria for the establishment of such a multiannual Union programme, as well as the consultations to be held before its adoption.</w:t>
      </w:r>
    </w:p>
    <w:p w14:paraId="4DBD8FB5" w14:textId="77777777" w:rsidR="00A42B79" w:rsidRPr="00A42B79" w:rsidRDefault="00A42B79" w:rsidP="00A42B79">
      <w:pPr>
        <w:spacing w:line="360" w:lineRule="auto"/>
        <w:rPr>
          <w:sz w:val="22"/>
          <w:szCs w:val="22"/>
        </w:rPr>
      </w:pPr>
      <w:r w:rsidRPr="00A42B79">
        <w:rPr>
          <w:sz w:val="22"/>
          <w:szCs w:val="22"/>
        </w:rPr>
        <w:t>30. The need for continued storage of such data should be reviewed no later than three years after the start of its initial processing.</w:t>
      </w:r>
    </w:p>
    <w:p w14:paraId="7C3EDFA1" w14:textId="77777777" w:rsidR="00A42B79" w:rsidRPr="00A42B79" w:rsidRDefault="00A42B79" w:rsidP="00A42B79">
      <w:pPr>
        <w:spacing w:line="360" w:lineRule="auto"/>
        <w:rPr>
          <w:sz w:val="22"/>
          <w:szCs w:val="22"/>
        </w:rPr>
      </w:pPr>
      <w:r w:rsidRPr="00A42B79">
        <w:rPr>
          <w:sz w:val="22"/>
          <w:szCs w:val="22"/>
        </w:rPr>
        <w:t>31. A CSD shall publish its price list so as to facilitate the comparison of offers and to allow clients to anticipate the price they shall have to pay for the use of services.</w:t>
      </w:r>
    </w:p>
    <w:p w14:paraId="13160B44" w14:textId="77777777" w:rsidR="00A42B79" w:rsidRPr="00A42B79" w:rsidRDefault="00A42B79" w:rsidP="00A42B79">
      <w:pPr>
        <w:spacing w:line="360" w:lineRule="auto"/>
        <w:rPr>
          <w:sz w:val="22"/>
          <w:szCs w:val="22"/>
        </w:rPr>
      </w:pPr>
      <w:r w:rsidRPr="00A42B79">
        <w:rPr>
          <w:sz w:val="22"/>
          <w:szCs w:val="22"/>
        </w:rPr>
        <w:t>32. With regard to the decision to withdraw the authorisation or registration of an administrator in accordance with Article 35, whenever the cessation of a benchmark would result in a force majeure event, frustrate or otherwise breach the terms of any financial contract or financial instrument, or the rules of any investment fund, which references that benchmark in the Union, within the meaning specified by the Commission in any delegated act adopted pursuant to Article 51(6), the competent authorities within the college shall consider whether to adopt measures to mitigate the effects referred to in this paragraph, including:</w:t>
      </w:r>
    </w:p>
    <w:p w14:paraId="4FBAF935" w14:textId="77777777" w:rsidR="00A42B79" w:rsidRPr="00A42B79" w:rsidRDefault="00A42B79" w:rsidP="00A42B79">
      <w:pPr>
        <w:spacing w:line="360" w:lineRule="auto"/>
        <w:rPr>
          <w:sz w:val="22"/>
          <w:szCs w:val="22"/>
        </w:rPr>
      </w:pPr>
      <w:r w:rsidRPr="00A42B79">
        <w:rPr>
          <w:sz w:val="22"/>
          <w:szCs w:val="22"/>
        </w:rPr>
        <w:t>33. the individual identification of the animal, including the holding on which it was born, is possible;</w:t>
      </w:r>
    </w:p>
    <w:p w14:paraId="52F7475C" w14:textId="77777777" w:rsidR="00A42B79" w:rsidRPr="00A42B79" w:rsidRDefault="00A42B79" w:rsidP="00A42B79">
      <w:pPr>
        <w:spacing w:line="360" w:lineRule="auto"/>
        <w:rPr>
          <w:sz w:val="22"/>
          <w:szCs w:val="22"/>
        </w:rPr>
      </w:pPr>
      <w:r w:rsidRPr="00A42B79">
        <w:rPr>
          <w:sz w:val="22"/>
          <w:szCs w:val="22"/>
        </w:rPr>
        <w:lastRenderedPageBreak/>
        <w:t>34. Eastern Baltic cod</w:t>
      </w:r>
    </w:p>
    <w:p w14:paraId="73797DD8" w14:textId="77777777" w:rsidR="00A42B79" w:rsidRPr="00A42B79" w:rsidRDefault="00A42B79" w:rsidP="00A42B79">
      <w:pPr>
        <w:spacing w:line="360" w:lineRule="auto"/>
        <w:rPr>
          <w:sz w:val="22"/>
          <w:szCs w:val="22"/>
        </w:rPr>
      </w:pPr>
      <w:r w:rsidRPr="00A42B79">
        <w:rPr>
          <w:sz w:val="22"/>
          <w:szCs w:val="22"/>
        </w:rPr>
        <w:t>35. In such cases the staff of the requesting competent authorities shall:</w:t>
      </w:r>
    </w:p>
    <w:p w14:paraId="16DDB71D" w14:textId="77777777" w:rsidR="00A42B79" w:rsidRPr="00A42B79" w:rsidRDefault="00A42B79" w:rsidP="00A42B79">
      <w:pPr>
        <w:spacing w:line="360" w:lineRule="auto"/>
        <w:rPr>
          <w:sz w:val="22"/>
          <w:szCs w:val="22"/>
        </w:rPr>
      </w:pPr>
      <w:r w:rsidRPr="00A42B79">
        <w:rPr>
          <w:sz w:val="22"/>
          <w:szCs w:val="22"/>
        </w:rPr>
        <w:t>36. The use of mercury in bulk form by dental practitioners shall be prohibited.</w:t>
      </w:r>
    </w:p>
    <w:p w14:paraId="52C69FE3" w14:textId="77777777" w:rsidR="00A42B79" w:rsidRPr="00A42B79" w:rsidRDefault="00A42B79" w:rsidP="00A42B79">
      <w:pPr>
        <w:spacing w:line="360" w:lineRule="auto"/>
        <w:rPr>
          <w:sz w:val="22"/>
          <w:szCs w:val="22"/>
        </w:rPr>
      </w:pPr>
      <w:r w:rsidRPr="00A42B79">
        <w:rPr>
          <w:sz w:val="22"/>
          <w:szCs w:val="22"/>
        </w:rPr>
        <w:t>37. Member States should also endeavour to provide Europol with a copy of bilateral and multilateral exchanges of information with other Member States on crime falling within Europol's objectives.</w:t>
      </w:r>
    </w:p>
    <w:p w14:paraId="28F0A4D4" w14:textId="77777777" w:rsidR="00A42B79" w:rsidRPr="00A42B79" w:rsidRDefault="00A42B79" w:rsidP="00A42B79">
      <w:pPr>
        <w:spacing w:line="360" w:lineRule="auto"/>
        <w:rPr>
          <w:sz w:val="22"/>
          <w:szCs w:val="22"/>
        </w:rPr>
      </w:pPr>
      <w:r w:rsidRPr="00A42B79">
        <w:rPr>
          <w:sz w:val="22"/>
          <w:szCs w:val="22"/>
        </w:rPr>
        <w:t>38. The Office shall mention the judgment in the Register and shall take the necessary measures to comply with its operative part.’.</w:t>
      </w:r>
    </w:p>
    <w:p w14:paraId="32F018EE" w14:textId="77777777" w:rsidR="00A42B79" w:rsidRPr="00A42B79" w:rsidRDefault="00A42B79" w:rsidP="00A42B79">
      <w:pPr>
        <w:spacing w:line="360" w:lineRule="auto"/>
        <w:rPr>
          <w:sz w:val="22"/>
          <w:szCs w:val="22"/>
        </w:rPr>
      </w:pPr>
      <w:r w:rsidRPr="00A42B79">
        <w:rPr>
          <w:sz w:val="22"/>
          <w:szCs w:val="22"/>
        </w:rPr>
        <w:t>39. Member States may choose not to apply the first subparagraph to clinical investigations to be conducted solely on their territory, or on their territory and the territory of a third country, provided that they ensure that the sponsor establishes at least a contact person on their territory in respect of that clinical investigation who shall be the addressee for all communications with the sponsor provided for in this Regulation.</w:t>
      </w:r>
    </w:p>
    <w:p w14:paraId="3FF939FA" w14:textId="77777777" w:rsidR="00A42B79" w:rsidRPr="00A42B79" w:rsidRDefault="00A42B79" w:rsidP="00A42B79">
      <w:pPr>
        <w:spacing w:line="360" w:lineRule="auto"/>
        <w:rPr>
          <w:sz w:val="22"/>
          <w:szCs w:val="22"/>
        </w:rPr>
      </w:pPr>
      <w:r w:rsidRPr="00A42B79">
        <w:rPr>
          <w:sz w:val="22"/>
          <w:szCs w:val="22"/>
        </w:rPr>
        <w:t>40. DEFINITION OF THE CONCEPT OF ‘ORIGINATING PRODUCTS’</w:t>
      </w:r>
    </w:p>
    <w:p w14:paraId="57320BA7" w14:textId="77777777" w:rsidR="00A42B79" w:rsidRPr="00A42B79" w:rsidRDefault="00A42B79" w:rsidP="00A42B79">
      <w:pPr>
        <w:spacing w:line="360" w:lineRule="auto"/>
        <w:rPr>
          <w:sz w:val="22"/>
          <w:szCs w:val="22"/>
        </w:rPr>
      </w:pPr>
      <w:r w:rsidRPr="00A42B79">
        <w:rPr>
          <w:sz w:val="22"/>
          <w:szCs w:val="22"/>
        </w:rPr>
        <w:t>41. A separate annual trigger import volume is set for imports of products referred to in paragraph 1, as indicated in the table in the Annex.</w:t>
      </w:r>
    </w:p>
    <w:p w14:paraId="35F5EBB9" w14:textId="77777777" w:rsidR="00A42B79" w:rsidRPr="00A42B79" w:rsidRDefault="00A42B79" w:rsidP="00A42B79">
      <w:pPr>
        <w:spacing w:line="360" w:lineRule="auto"/>
        <w:rPr>
          <w:sz w:val="22"/>
          <w:szCs w:val="22"/>
        </w:rPr>
      </w:pPr>
      <w:r w:rsidRPr="00A42B79">
        <w:rPr>
          <w:sz w:val="22"/>
          <w:szCs w:val="22"/>
        </w:rPr>
        <w:t>42. In such cases, a data protection impact assessment should not be mandatory.</w:t>
      </w:r>
    </w:p>
    <w:p w14:paraId="3660DAD2" w14:textId="77777777" w:rsidR="00A42B79" w:rsidRPr="00A42B79" w:rsidRDefault="00A42B79" w:rsidP="00A42B79">
      <w:pPr>
        <w:spacing w:line="360" w:lineRule="auto"/>
        <w:rPr>
          <w:sz w:val="22"/>
          <w:szCs w:val="22"/>
        </w:rPr>
      </w:pPr>
      <w:r w:rsidRPr="00A42B79">
        <w:rPr>
          <w:sz w:val="22"/>
          <w:szCs w:val="22"/>
        </w:rPr>
        <w:t>43. Such special measures are interim in nature, and shall not be subject to the conditions set out in Article 7(1) and (2).</w:t>
      </w:r>
    </w:p>
    <w:p w14:paraId="3CB7701F" w14:textId="77777777" w:rsidR="00A42B79" w:rsidRPr="00A42B79" w:rsidRDefault="00A42B79" w:rsidP="00A42B79">
      <w:pPr>
        <w:spacing w:line="360" w:lineRule="auto"/>
        <w:rPr>
          <w:sz w:val="22"/>
          <w:szCs w:val="22"/>
        </w:rPr>
      </w:pPr>
      <w:r w:rsidRPr="00A42B79">
        <w:rPr>
          <w:sz w:val="22"/>
          <w:szCs w:val="22"/>
        </w:rPr>
        <w:t>44. the Preservation Order using parts A and B of the form referred to in Article 19(2) and (3);</w:t>
      </w:r>
    </w:p>
    <w:p w14:paraId="64553A30" w14:textId="77777777" w:rsidR="00A42B79" w:rsidRPr="00A42B79" w:rsidRDefault="00A42B79" w:rsidP="00A42B79">
      <w:pPr>
        <w:spacing w:line="360" w:lineRule="auto"/>
        <w:rPr>
          <w:sz w:val="22"/>
          <w:szCs w:val="22"/>
        </w:rPr>
      </w:pPr>
      <w:r w:rsidRPr="00A42B79">
        <w:rPr>
          <w:sz w:val="22"/>
          <w:szCs w:val="22"/>
        </w:rPr>
        <w:t>45. Without prejudice to national criminal or tax law, the competent authorities, ESMA, bodies or natural or legal persons other than the competent authorities, which receive confidential information, should use it only in the performance of their duties and for the exercise of their functions.</w:t>
      </w:r>
    </w:p>
    <w:p w14:paraId="34A636FA" w14:textId="77777777" w:rsidR="00A42B79" w:rsidRPr="00A42B79" w:rsidRDefault="00A42B79" w:rsidP="00A42B79">
      <w:pPr>
        <w:spacing w:line="360" w:lineRule="auto"/>
        <w:rPr>
          <w:sz w:val="22"/>
          <w:szCs w:val="22"/>
        </w:rPr>
      </w:pPr>
      <w:r w:rsidRPr="00A42B79">
        <w:rPr>
          <w:sz w:val="22"/>
          <w:szCs w:val="22"/>
        </w:rPr>
        <w:t>46. The Commission shall immediately publish the amended notification in NANDO.</w:t>
      </w:r>
    </w:p>
    <w:p w14:paraId="6797F21B" w14:textId="77777777" w:rsidR="00A42B79" w:rsidRPr="00A42B79" w:rsidRDefault="00A42B79" w:rsidP="00A42B79">
      <w:pPr>
        <w:spacing w:line="360" w:lineRule="auto"/>
        <w:rPr>
          <w:sz w:val="22"/>
          <w:szCs w:val="22"/>
        </w:rPr>
      </w:pPr>
      <w:r w:rsidRPr="00A42B79">
        <w:rPr>
          <w:sz w:val="22"/>
          <w:szCs w:val="22"/>
        </w:rPr>
        <w:t>47. It should exercise the powers of appointing authority vis-à-vis staff of the agency, including the Executive Director.</w:t>
      </w:r>
    </w:p>
    <w:p w14:paraId="4B2FD51E" w14:textId="77777777" w:rsidR="00A42B79" w:rsidRPr="00A42B79" w:rsidRDefault="00A42B79" w:rsidP="00A42B79">
      <w:pPr>
        <w:spacing w:line="360" w:lineRule="auto"/>
        <w:rPr>
          <w:sz w:val="22"/>
          <w:szCs w:val="22"/>
        </w:rPr>
      </w:pPr>
      <w:r w:rsidRPr="00A42B79">
        <w:rPr>
          <w:sz w:val="22"/>
          <w:szCs w:val="22"/>
        </w:rPr>
        <w:t>48. A competent authority and, where applicable, the Commission may, based on reasonable concerns apply further procedures in accordance with Article 40, 41, 42, 43 or 89 and, where deemed necessary, take appropriate measures in accordance with to Articles 90 and 92.</w:t>
      </w:r>
    </w:p>
    <w:p w14:paraId="050FBB8A" w14:textId="77777777" w:rsidR="00A42B79" w:rsidRPr="00A42B79" w:rsidRDefault="00A42B79" w:rsidP="00A42B79">
      <w:pPr>
        <w:spacing w:line="360" w:lineRule="auto"/>
        <w:rPr>
          <w:sz w:val="22"/>
          <w:szCs w:val="22"/>
        </w:rPr>
      </w:pPr>
      <w:r w:rsidRPr="00A42B79">
        <w:rPr>
          <w:sz w:val="22"/>
          <w:szCs w:val="22"/>
        </w:rPr>
        <w:t>49. upon arrival of the animal at the holding of destination, the passport accompanying the animal shall be surrendered to the competent authority of the Member State where the holding of destination is located.</w:t>
      </w:r>
    </w:p>
    <w:p w14:paraId="165943ED" w14:textId="479A563A" w:rsidR="00AC6172" w:rsidRPr="00B32484" w:rsidRDefault="00A42B79" w:rsidP="00A42B79">
      <w:pPr>
        <w:spacing w:line="360" w:lineRule="auto"/>
        <w:rPr>
          <w:sz w:val="22"/>
          <w:szCs w:val="22"/>
        </w:rPr>
      </w:pPr>
      <w:r w:rsidRPr="00A42B79">
        <w:rPr>
          <w:sz w:val="22"/>
          <w:szCs w:val="22"/>
        </w:rPr>
        <w:t>50. Originating products sent from an ACP State for exhibition in a country or a territory other than those referred to in Article 6 and sold after the exhibition for importation into the Union shall benefit on importation from the provisions of this Regulation provided it is shown to the satisfaction of the customs authorities that:</w:t>
      </w:r>
    </w:p>
    <w:sectPr w:rsidR="00AC6172" w:rsidRPr="00B32484" w:rsidSect="00A42B79">
      <w:pgSz w:w="16840" w:h="11900" w:orient="landscape"/>
      <w:pgMar w:top="922" w:right="799" w:bottom="496"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54"/>
    <w:rsid w:val="0041535B"/>
    <w:rsid w:val="00454335"/>
    <w:rsid w:val="00562A89"/>
    <w:rsid w:val="006A0E63"/>
    <w:rsid w:val="009B4092"/>
    <w:rsid w:val="00A42B79"/>
    <w:rsid w:val="00AC6172"/>
    <w:rsid w:val="00B16B4E"/>
    <w:rsid w:val="00B32484"/>
    <w:rsid w:val="00E66E25"/>
    <w:rsid w:val="00E965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5713727"/>
  <w15:chartTrackingRefBased/>
  <w15:docId w15:val="{576C5698-F0EB-7A4E-A58B-C2C23463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Lankford</dc:creator>
  <cp:keywords/>
  <dc:description/>
  <cp:lastModifiedBy>Seamus Lankford</cp:lastModifiedBy>
  <cp:revision>2</cp:revision>
  <dcterms:created xsi:type="dcterms:W3CDTF">2022-04-12T11:58:00Z</dcterms:created>
  <dcterms:modified xsi:type="dcterms:W3CDTF">2022-04-12T12:21:00Z</dcterms:modified>
</cp:coreProperties>
</file>