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Multi-year temporal deep learning and open satellite data lower the detectability floor for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study area,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24" w:name="model-background"/>
    <w:p>
      <w:pPr>
        <w:pStyle w:val="Heading1"/>
      </w:pPr>
      <w:r>
        <w:t xml:space="preserve">Model background</w:t>
      </w:r>
    </w:p>
    <w:p>
      <w:pPr>
        <w:pStyle w:val="FirstParagraph"/>
      </w:pPr>
      <w:r>
        <w:t xml:space="preserve">This section presents the change-detection baseline and the two deep learning networks applied to time series, following the comparative design of</w:t>
      </w:r>
      <w:r>
        <w:t xml:space="preserve"> </w:t>
      </w:r>
      <w:r>
        <w:t xml:space="preserve">Perbet et al. (2024)</w:t>
      </w:r>
      <w:r>
        <w:t xml:space="preserve">.</w:t>
      </w:r>
    </w:p>
    <w:bookmarkStart w:id="21" w:name="change-baseline"/>
    <w:p>
      <w:pPr>
        <w:pStyle w:val="Heading2"/>
      </w:pPr>
      <w:r>
        <w:t xml:space="preserve">Change baseline</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21"/>
    <w:bookmarkStart w:id="22" w:name="tempcnn"/>
    <w:p>
      <w:pPr>
        <w:pStyle w:val="Heading2"/>
      </w:pPr>
      <w:r>
        <w:t xml:space="preserve">TempCNN</w:t>
      </w:r>
    </w:p>
    <w:p>
      <w:pPr>
        <w:pStyle w:val="FirstParagraph"/>
      </w:pPr>
      <w:r>
        <w:t xml:space="preserve">TempCNN applies one-dimensional convolutions along the temporal axis of a satellite time series, learning discriminative temporal features without handcrafted metrics</w:t>
      </w:r>
      <w:r>
        <w:t xml:space="preserve"> </w:t>
      </w:r>
      <w:r>
        <w:t xml:space="preserve">(Pelletier et al., 2019)</w:t>
      </w:r>
      <w:r>
        <w:t xml:space="preserve">. Convolutional layers are applied to the temporal sequence without pooling, which degrades performance in this setting</w:t>
      </w:r>
      <w:r>
        <w:t xml:space="preserve"> </w:t>
      </w:r>
      <w:r>
        <w:t xml:space="preserve">(Pelletier et al., 2019)</w:t>
      </w:r>
      <w:r>
        <w:t xml:space="preserve">, followed by fully connected layers and a softmax or regression head. In boreal disturbance classification TempCNN matched or exceeded a LandTrendr-plus-random-forest workflow, with its largest margins on partial disturbance classes</w:t>
      </w:r>
      <w:r>
        <w:t xml:space="preserve"> </w:t>
      </w:r>
      <w:r>
        <w:t xml:space="preserve">(Perbet et al., 2024)</w:t>
      </w:r>
      <w:r>
        <w:t xml:space="preserve">.</w:t>
      </w:r>
    </w:p>
    <w:bookmarkEnd w:id="22"/>
    <w:bookmarkStart w:id="23" w:name="transformer"/>
    <w:p>
      <w:pPr>
        <w:pStyle w:val="Heading2"/>
      </w:pPr>
      <w:r>
        <w:t xml:space="preserve">Transformer</w:t>
      </w:r>
    </w:p>
    <w:p>
      <w:pPr>
        <w:pStyle w:val="FirstParagraph"/>
      </w:pPr>
      <w:r>
        <w:t xml:space="preserve">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Applied to Landsat subsequences it performed within two accuracy points of TempCNN across boreal disturbance classes</w:t>
      </w:r>
      <w:r>
        <w:t xml:space="preserve"> </w:t>
      </w:r>
      <w:r>
        <w:t xml:space="preserve">(Perbet et al., 2024)</w:t>
      </w:r>
      <w:r>
        <w:t xml:space="preserve">; we retain both architectures because their attention patterns differ instructively on gradual disturbances.</w:t>
      </w:r>
    </w:p>
    <w:bookmarkEnd w:id="23"/>
    <w:bookmarkEnd w:id="24"/>
    <w:bookmarkStart w:id="42" w:name="materials-and-methods"/>
    <w:p>
      <w:pPr>
        <w:pStyle w:val="Heading1"/>
      </w:pPr>
      <w:r>
        <w:t xml:space="preserve">Materials and methods</w:t>
      </w:r>
    </w:p>
    <w:p>
      <w:pPr>
        <w:pStyle w:val="FirstParagraph"/>
      </w:pPr>
      <w:r>
        <w:t xml:space="preserve">All inputs are open-source; retrieval is scripted in</w:t>
      </w:r>
      <w:r>
        <w:t xml:space="preserve"> </w:t>
      </w:r>
      <w:r>
        <w:rPr>
          <w:rStyle w:val="VerbatimChar"/>
        </w:rPr>
        <w:t xml:space="preserve">05.scripts/00_download_inputs.sh</w:t>
      </w:r>
      <w:r>
        <w:t xml:space="preserve"> </w:t>
      </w:r>
      <w:r>
        <w:t xml:space="preserve">and provenance recorded in</w:t>
      </w:r>
      <w:r>
        <w:t xml:space="preserve"> </w:t>
      </w:r>
      <w:r>
        <w:rPr>
          <w:rStyle w:val="VerbatimChar"/>
        </w:rPr>
        <w:t xml:space="preserve">02.inputs/README.md</w:t>
      </w:r>
      <w:r>
        <w:t xml:space="preserve">.</w:t>
      </w:r>
    </w:p>
    <w:bookmarkStart w:id="29"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wider outbreak region; the Talkeetna to Byers Lake footprint of the independent severity reference serves as the held-out evaluation area for the severity product.</w:t>
      </w:r>
    </w:p>
    <w:p>
      <w:pPr>
        <w:pStyle w:val="BodyText"/>
      </w:pPr>
      <w:r>
        <w:t xml:space="preserve">All spatial figures share one cartographic standard: the working grid is WGS 84 UTM zone 5N, matching the severity reference grid, graticules are drawn in the same projected grid,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(tpl_map, </w:t>
      </w:r>
      <w:r>
        <w:rPr>
          <w:rStyle w:val="StringTok"/>
        </w:rPr>
        <w:t xml:space="preserve">"EPSG:3338"</w:t>
      </w:r>
      <w:r>
        <w:rPr>
          <w:rStyle w:val="NormalTok"/>
        </w:rPr>
        <w:t xml:space="preserve">)) </w:t>
      </w:r>
      <w:r>
        <w:rPr>
          <w:rStyle w:val="SpecialCharTok"/>
        </w:rPr>
        <w:t xml:space="preserve">+</w:t>
      </w:r>
      <w:r>
        <w:rPr>
          <w:rStyle w:val="NormalTok"/>
        </w:rPr>
        <w:t xml:space="preserve"> </w:t>
      </w:r>
      <w:r>
        <w:rPr>
          <w:rStyle w:val="DecValTok"/>
        </w:rPr>
        <w:t xml:space="preserve">60000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StringTok"/>
        </w:rPr>
        <w:t xml:space="preserve">"places_census"</w:t>
      </w:r>
      <w:r>
        <w:rPr>
          <w:rStyle w:val="NormalTok"/>
        </w:rPr>
        <w:t xml:space="preserve"> </w:t>
      </w:r>
      <w:r>
        <w:rPr>
          <w:rStyle w:val="SpecialCharTok"/>
        </w:rPr>
        <w:t xml:space="preserve">%in%</w:t>
      </w:r>
      <w:r>
        <w:rPr>
          <w:rStyle w:val="NormalTok"/>
        </w:rPr>
        <w:t xml:space="preserve"> </w:t>
      </w:r>
      <w:r>
        <w:rPr>
          <w:rStyle w:val="FunctionTok"/>
        </w:rPr>
        <w:t xml:space="preserve">st_layers</w:t>
      </w:r>
      <w:r>
        <w:rPr>
          <w:rStyle w:val="NormalTok"/>
        </w:rPr>
        <w:t xml:space="preserve">(ctx)</w:t>
      </w:r>
      <w:r>
        <w:rPr>
          <w:rStyle w:val="SpecialCharTok"/>
        </w:rPr>
        <w:t xml:space="preserve">$</w:t>
      </w:r>
      <w:r>
        <w:rPr>
          <w:rStyle w:val="NormalTok"/>
        </w:rPr>
        <w:t xml:space="preserve">name) {</w:t>
      </w:r>
      <w:r>
        <w:br/>
      </w:r>
      <w:r>
        <w:rPr>
          <w:rStyle w:val="NormalTok"/>
        </w:rPr>
        <w:t xml:space="preserve">  pl </w:t>
      </w:r>
      <w:r>
        <w:rPr>
          <w:rStyle w:val="OtherTok"/>
        </w:rPr>
        <w:t xml:space="preserve">&lt;-</w:t>
      </w:r>
      <w:r>
        <w:rPr>
          <w:rStyle w:val="NormalTok"/>
        </w:rPr>
        <w:t xml:space="preserve"> tigris</w:t>
      </w:r>
      <w:r>
        <w:rPr>
          <w:rStyle w:val="SpecialCharTok"/>
        </w:rPr>
        <w:t xml:space="preserve">::</w:t>
      </w:r>
      <w:r>
        <w:rPr>
          <w:rStyle w:val="FunctionTok"/>
        </w:rPr>
        <w:t xml:space="preserve">places</w:t>
      </w:r>
      <w:r>
        <w:rPr>
          <w:rStyle w:val="NormalTok"/>
        </w:rPr>
        <w:t xml:space="preserve">(</w:t>
      </w:r>
      <w:r>
        <w:rPr>
          <w:rStyle w:val="AttributeTok"/>
        </w:rPr>
        <w:t xml:space="preserve">state =</w:t>
      </w:r>
      <w:r>
        <w:rPr>
          <w:rStyle w:val="NormalTok"/>
        </w:rPr>
        <w:t xml:space="preserve"> </w:t>
      </w:r>
      <w:r>
        <w:rPr>
          <w:rStyle w:val="StringTok"/>
        </w:rPr>
        <w:t xml:space="preserve">"AK"</w:t>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progress_bar =</w:t>
      </w:r>
      <w:r>
        <w:rPr>
          <w:rStyle w:val="NormalTok"/>
        </w:rPr>
        <w:t xml:space="preserve"> </w:t>
      </w:r>
      <w:r>
        <w:rPr>
          <w:rStyle w:val="ConstantTok"/>
        </w:rPr>
        <w:t xml:space="preserve">FALSE</w:t>
      </w:r>
      <w:r>
        <w:rPr>
          <w:rStyle w:val="NormalTok"/>
        </w:rPr>
        <w:t xml:space="preserve">)</w:t>
      </w:r>
      <w:r>
        <w:br/>
      </w:r>
      <w:r>
        <w:rPr>
          <w:rStyle w:val="NormalTok"/>
        </w:rPr>
        <w:t xml:space="preserve">  pl</w:t>
      </w:r>
      <w:r>
        <w:rPr>
          <w:rStyle w:val="SpecialCharTok"/>
        </w:rPr>
        <w:t xml:space="preserve">$</w:t>
      </w:r>
      <w:r>
        <w:rPr>
          <w:rStyle w:val="NormalTok"/>
        </w:rPr>
        <w:t xml:space="preserve">name </w:t>
      </w:r>
      <w:r>
        <w:rPr>
          <w:rStyle w:val="OtherTok"/>
        </w:rPr>
        <w:t xml:space="preserve">&lt;-</w:t>
      </w:r>
      <w:r>
        <w:rPr>
          <w:rStyle w:val="NormalTok"/>
        </w:rPr>
        <w:t xml:space="preserve"> pl</w:t>
      </w:r>
      <w:r>
        <w:rPr>
          <w:rStyle w:val="SpecialCharTok"/>
        </w:rPr>
        <w:t xml:space="preserve">$</w:t>
      </w:r>
      <w:r>
        <w:rPr>
          <w:rStyle w:val="NormalTok"/>
        </w:rPr>
        <w:t xml:space="preserve">NAME</w:t>
      </w:r>
      <w:r>
        <w:br/>
      </w:r>
      <w:r>
        <w:rPr>
          <w:rStyle w:val="NormalTok"/>
        </w:rPr>
        <w:t xml:space="preserve">  </w:t>
      </w:r>
      <w:r>
        <w:rPr>
          <w:rStyle w:val="FunctionTok"/>
        </w:rPr>
        <w:t xml:space="preserve">st_write</w:t>
      </w:r>
      <w:r>
        <w:rPr>
          <w:rStyle w:val="NormalTok"/>
        </w:rPr>
        <w:t xml:space="preserve">(</w:t>
      </w:r>
      <w:r>
        <w:rPr>
          <w:rStyle w:val="FunctionTok"/>
        </w:rPr>
        <w:t xml:space="preserve">st_centroid</w:t>
      </w:r>
      <w:r>
        <w:rPr>
          <w:rStyle w:val="NormalTok"/>
        </w:rPr>
        <w:t xml:space="preserve">(pl[</w:t>
      </w:r>
      <w:r>
        <w:rPr>
          <w:rStyle w:val="StringTok"/>
        </w:rPr>
        <w:t xml:space="preserve">"name"</w:t>
      </w:r>
      <w:r>
        <w:rPr>
          <w:rStyle w:val="NormalTok"/>
        </w:rPr>
        <w:t xml:space="preserve">]), ctx, </w:t>
      </w:r>
      <w:r>
        <w:rPr>
          <w:rStyle w:val="StringTok"/>
        </w:rPr>
        <w:t xml:space="preserve">"places_census"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FunctionTok"/>
        </w:rPr>
        <w:t xml:space="preserve">st_crs</w:t>
      </w:r>
      <w:r>
        <w:rPr>
          <w:rStyle w:val="NormalTok"/>
        </w:rPr>
        <w:t xml:space="preserve">(x)),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"places_census"</w:t>
      </w:r>
      <w:r>
        <w:rPr>
          <w:rStyle w:val="NormalTok"/>
        </w:rPr>
        <w:t xml:space="preserve">)</w:t>
      </w:r>
      <w:r>
        <w:br/>
      </w:r>
      <w:r>
        <w:rPr>
          <w:rStyle w:val="NormalTok"/>
        </w:rPr>
        <w:t xml:space="preserve">plc </w:t>
      </w:r>
      <w:r>
        <w:rPr>
          <w:rStyle w:val="OtherTok"/>
        </w:rPr>
        <w:t xml:space="preserve">&lt;-</w:t>
      </w:r>
      <w:r>
        <w:rPr>
          <w:rStyle w:val="NormalTok"/>
        </w:rPr>
        <w:t xml:space="preserve"> plc[plc</w:t>
      </w:r>
      <w:r>
        <w:rPr>
          <w:rStyle w:val="SpecialCharTok"/>
        </w:rPr>
        <w:t xml:space="preserve">$</w:t>
      </w:r>
      <w:r>
        <w:rPr>
          <w:rStyle w:val="NormalTok"/>
        </w:rPr>
        <w:t xml:space="preserve">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"Cantwell"</w:t>
      </w:r>
      <w:r>
        <w:rPr>
          <w:rStyle w:val="NormalTok"/>
        </w:rPr>
        <w:t xml:space="preserve">, </w:t>
      </w:r>
      <w:r>
        <w:rPr>
          <w:rStyle w:val="StringTok"/>
        </w:rPr>
        <w:t xml:space="preserve">"Talkeetna"</w:t>
      </w:r>
      <w:r>
        <w:rPr>
          <w:rStyle w:val="NormalTok"/>
        </w:rPr>
        <w:t xml:space="preserve">, </w:t>
      </w:r>
      <w:r>
        <w:rPr>
          <w:rStyle w:val="StringTok"/>
        </w:rPr>
        <w:t xml:space="preserve">"Trapper Creek"</w:t>
      </w:r>
      <w:r>
        <w:rPr>
          <w:rStyle w:val="NormalTok"/>
        </w:rPr>
        <w:t xml:space="preserve">,</w:t>
      </w:r>
      <w:r>
        <w:br/>
      </w:r>
      <w:r>
        <w:rPr>
          <w:rStyle w:val="NormalTok"/>
        </w:rPr>
        <w:t xml:space="preserve">                           </w:t>
      </w:r>
      <w:r>
        <w:rPr>
          <w:rStyle w:val="StringTok"/>
        </w:rPr>
        <w:t xml:space="preserve">"Petersville"</w:t>
      </w:r>
      <w:r>
        <w:rPr>
          <w:rStyle w:val="NormalTok"/>
        </w:rPr>
        <w:t xml:space="preserve">, </w:t>
      </w:r>
      <w:r>
        <w:rPr>
          <w:rStyle w:val="StringTok"/>
        </w:rPr>
        <w:t xml:space="preserve">"Skwentna"</w:t>
      </w:r>
      <w:r>
        <w:rPr>
          <w:rStyle w:val="NormalTok"/>
        </w:rPr>
        <w:t xml:space="preserve">, </w:t>
      </w:r>
      <w:r>
        <w:rPr>
          <w:rStyle w:val="StringTok"/>
        </w:rPr>
        <w:t xml:space="preserve">"Willow"</w:t>
      </w:r>
      <w:r>
        <w:rPr>
          <w:rStyle w:val="NormalTok"/>
        </w:rPr>
        <w:t xml:space="preserve">,</w:t>
      </w:r>
      <w:r>
        <w:br/>
      </w:r>
      <w:r>
        <w:rPr>
          <w:rStyle w:val="NormalTok"/>
        </w:rPr>
        <w:t xml:space="preserve">                           </w:t>
      </w:r>
      <w:r>
        <w:rPr>
          <w:rStyle w:val="StringTok"/>
        </w:rPr>
        <w:t xml:space="preserve">"Wasilla"</w:t>
      </w:r>
      <w:r>
        <w:rPr>
          <w:rStyle w:val="NormalTok"/>
        </w:rPr>
        <w:t xml:space="preserve">, </w:t>
      </w:r>
      <w:r>
        <w:rPr>
          <w:rStyle w:val="StringTok"/>
        </w:rPr>
        <w:t xml:space="preserve">"Palmer"</w:t>
      </w:r>
      <w:r>
        <w:rPr>
          <w:rStyle w:val="NormalTok"/>
        </w:rPr>
        <w:t xml:space="preserve">), ]</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"River"</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"Highway"</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shape =</w:t>
      </w:r>
      <w:r>
        <w:rPr>
          <w:rStyle w:val="NormalTok"/>
        </w:rPr>
        <w:t xml:space="preserve"> </w:t>
      </w:r>
      <w:r>
        <w:rPr>
          <w:rStyle w:val="StringTok"/>
        </w:rPr>
        <w:t xml:space="preserve">"Settlement"</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reference footprint"</w:t>
      </w:r>
      <w:r>
        <w:rPr>
          <w:rStyle w:val="NormalTok"/>
        </w:rPr>
        <w:t xml:space="preserve"> </w:t>
      </w:r>
      <w:r>
        <w:rPr>
          <w:rStyle w:val="OtherTok"/>
        </w:rPr>
        <w:t xml:space="preserve">=</w:t>
      </w:r>
      <w:r>
        <w:rPr>
          <w:rStyle w:val="NormalTok"/>
        </w:rPr>
        <w:t xml:space="preserve"> </w:t>
      </w:r>
      <w:r>
        <w:rPr>
          <w:rStyle w:val="StringTok"/>
        </w:rPr>
        <w:t xml:space="preserve">"#C0392B"</w:t>
      </w:r>
      <w:r>
        <w:rPr>
          <w:rStyle w:val="NormalTok"/>
        </w:rPr>
        <w:t xml:space="preserve">,</w:t>
      </w:r>
      <w:r>
        <w:br/>
      </w:r>
      <w:r>
        <w:rPr>
          <w:rStyle w:val="NormalTok"/>
        </w:rPr>
        <w:t xml:space="preserve">    </w:t>
      </w:r>
      <w:r>
        <w:rPr>
          <w:rStyle w:val="StringTok"/>
        </w:rPr>
        <w:t xml:space="preserve">"River"</w:t>
      </w:r>
      <w:r>
        <w:rPr>
          <w:rStyle w:val="NormalTok"/>
        </w:rPr>
        <w:t xml:space="preserve"> </w:t>
      </w:r>
      <w:r>
        <w:rPr>
          <w:rStyle w:val="OtherTok"/>
        </w:rPr>
        <w:t xml:space="preserve">=</w:t>
      </w:r>
      <w:r>
        <w:rPr>
          <w:rStyle w:val="NormalTok"/>
        </w:rPr>
        <w:t xml:space="preserve"> </w:t>
      </w:r>
      <w:r>
        <w:rPr>
          <w:rStyle w:val="StringTok"/>
        </w:rPr>
        <w:t xml:space="preserve">"steelblue3"</w:t>
      </w:r>
      <w:r>
        <w:rPr>
          <w:rStyle w:val="NormalTok"/>
        </w:rPr>
        <w:t xml:space="preserve">, </w:t>
      </w:r>
      <w:r>
        <w:rPr>
          <w:rStyle w:val="StringTok"/>
        </w:rPr>
        <w:t xml:space="preserve">"Highway"</w:t>
      </w:r>
      <w:r>
        <w:rPr>
          <w:rStyle w:val="NormalTok"/>
        </w:rPr>
        <w:t xml:space="preserve"> </w:t>
      </w:r>
      <w:r>
        <w:rPr>
          <w:rStyle w:val="OtherTok"/>
        </w:rPr>
        <w:t xml:space="preserve">=</w:t>
      </w:r>
      <w:r>
        <w:rPr>
          <w:rStyle w:val="NormalTok"/>
        </w:rPr>
        <w:t xml:space="preserve"> </w:t>
      </w:r>
      <w:r>
        <w:rPr>
          <w:rStyle w:val="StringTok"/>
        </w:rPr>
        <w:t xml:space="preserve">"grey35"</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"Settlement"</w:t>
      </w:r>
      <w:r>
        <w:rPr>
          <w:rStyle w:val="NormalTok"/>
        </w:rPr>
        <w:t xml:space="preserve"> </w:t>
      </w:r>
      <w:r>
        <w:rPr>
          <w:rStyle w:val="OtherTok"/>
        </w:rPr>
        <w:t xml:space="preserve">=</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32605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"Study area and outbreak extent"</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160</w:t>
      </w:r>
      <w:r>
        <w:rPr>
          <w:rStyle w:val="NormalTok"/>
        </w:rPr>
        <w:t xml:space="preserve">, </w:t>
      </w:r>
      <w:r>
        <w:rPr>
          <w:rStyle w:val="AttributeTok"/>
        </w:rPr>
        <w:t xml:space="preserve">height =</w:t>
      </w:r>
      <w:r>
        <w:rPr>
          <w:rStyle w:val="NormalTok"/>
        </w:rPr>
        <w:t xml:space="preserve"> </w:t>
      </w:r>
      <w:r>
        <w:rPr>
          <w:rStyle w:val="DecValTok"/>
        </w:rPr>
        <w:t xml:space="preserve">200</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7382221"/>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73822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in Southcentral Alaska. Grey polygons are aerial detection survey records of spruce beetle damage, 2016 to 2025; the red rectangle is the footprint of the independent severity reference. Blue lines are rivers, dark grey lines are highways, and labelled points are settlements (United States Census Bureau TIGER places; rivers and highways from Natural Earth 10 m). Representative fraction and coordinate reference system as titled; graticule in UTM zone 5N eastings and northings.</w:t>
            </w:r>
          </w:p>
          <w:bookmarkEnd w:id="28"/>
        </w:tc>
      </w:tr>
    </w:tbl>
    <w:bookmarkEnd w:id="29"/>
    <w:bookmarkStart w:id="31"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Only the four downloadable reference and context datasets are on disk at this stage, checksum-verified below; predictor assembly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30"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30"/>
        </w:tc>
      </w:tr>
    </w:tbl>
    <w:bookmarkEnd w:id="31"/>
    <w:bookmarkStart w:id="32"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32"/>
    <w:bookmarkStart w:id="33"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33"/>
    <w:bookmarkStart w:id="34"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4"/>
    <w:bookmarkStart w:id="35"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5"/>
    <w:bookmarkStart w:id="36"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6"/>
    <w:bookmarkStart w:id="38"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median_clear_obs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composites"/>
          <w:p>
            <w:pPr>
              <w:jc w:val="center"/>
            </w:pPr>
            <w:pPr>
              <w:jc w:val="start"/>
              <w:spacing w:before="200"/>
              <w:pStyle w:val="ImageCaption"/>
            </w:pPr>
            <w:r>
              <w:t xml:space="preserve">Table 2: Assembled annual Sentinel-2 composites on the 90 m reference grid.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median_clear_obs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7"/>
        </w:tc>
      </w:tr>
    </w:tbl>
    <w:bookmarkEnd w:id="38"/>
    <w:bookmarkStart w:id="39"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9"/>
    <w:bookmarkStart w:id="40"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GPU with configurations and logs archived in the repository.</w:t>
      </w:r>
    </w:p>
    <w:bookmarkEnd w:id="40"/>
    <w:bookmarkStart w:id="41"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1"/>
    <w:bookmarkEnd w:id="42"/>
    <w:bookmarkStart w:id="54"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4"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3"/>
        </w:tc>
      </w:tr>
    </w:tbl>
    <w:bookmarkEnd w:id="44"/>
    <w:bookmarkStart w:id="47"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5"/>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6"/>
        </w:tc>
      </w:tr>
    </w:tbl>
    <w:bookmarkEnd w:id="47"/>
    <w:bookmarkStart w:id="49"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8"/>
        </w:tc>
      </w:tr>
    </w:tbl>
    <w:bookmarkEnd w:id="49"/>
    <w:bookmarkStart w:id="51"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0"/>
        </w:tc>
      </w:tr>
    </w:tbl>
    <w:bookmarkEnd w:id="51"/>
    <w:bookmarkStart w:id="53"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2"/>
        </w:tc>
      </w:tr>
    </w:tbl>
    <w:bookmarkEnd w:id="53"/>
    <w:bookmarkEnd w:id="54"/>
    <w:bookmarkStart w:id="59" w:name="discussion"/>
    <w:p>
      <w:pPr>
        <w:pStyle w:val="Heading1"/>
      </w:pPr>
      <w:r>
        <w:t xml:space="preserve">Discussion</w:t>
      </w:r>
    </w:p>
    <w:bookmarkStart w:id="55"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5"/>
    <w:bookmarkStart w:id="56"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6"/>
    <w:bookmarkStart w:id="57"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7"/>
    <w:bookmarkStart w:id="58"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8"/>
    <w:bookmarkEnd w:id="59"/>
    <w:bookmarkStart w:id="60"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0"/>
    <w:bookmarkStart w:id="61"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1"/>
    <w:bookmarkStart w:id="105" w:name="references"/>
    <w:p>
      <w:pPr>
        <w:pStyle w:val="Heading1"/>
      </w:pPr>
      <w:r>
        <w:t xml:space="preserve">References</w:t>
      </w:r>
    </w:p>
    <w:bookmarkStart w:id="104" w:name="refs"/>
    <w:bookmarkStart w:id="63"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2">
        <w:r>
          <w:rPr>
            <w:rStyle w:val="Hyperlink"/>
          </w:rPr>
          <w:t xml:space="preserve">http://dx.doi.org/10.1016/j.foreco.2006.02.038</w:t>
        </w:r>
      </w:hyperlink>
    </w:p>
    <w:bookmarkEnd w:id="63"/>
    <w:bookmarkStart w:id="65"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4">
        <w:r>
          <w:rPr>
            <w:rStyle w:val="Hyperlink"/>
          </w:rPr>
          <w:t xml:space="preserve">http://dx.doi.org/10.3390/f8040098</w:t>
        </w:r>
      </w:hyperlink>
    </w:p>
    <w:bookmarkEnd w:id="65"/>
    <w:bookmarkStart w:id="67"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6">
        <w:r>
          <w:rPr>
            <w:rStyle w:val="Hyperlink"/>
          </w:rPr>
          <w:t xml:space="preserve">http://dx.doi.org/10.1016/j.rse.2017.06.031</w:t>
        </w:r>
      </w:hyperlink>
    </w:p>
    <w:bookmarkEnd w:id="67"/>
    <w:bookmarkStart w:id="69"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8">
        <w:r>
          <w:rPr>
            <w:rStyle w:val="Hyperlink"/>
          </w:rPr>
          <w:t xml:space="preserve">http://dx.doi.org/10.2737/RMRS-GTR-443</w:t>
        </w:r>
      </w:hyperlink>
    </w:p>
    <w:bookmarkEnd w:id="69"/>
    <w:bookmarkStart w:id="71"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0">
        <w:r>
          <w:rPr>
            <w:rStyle w:val="Hyperlink"/>
          </w:rPr>
          <w:t xml:space="preserve">http://dx.doi.org/10.1016/j.foreco.2023.121595</w:t>
        </w:r>
      </w:hyperlink>
    </w:p>
    <w:bookmarkEnd w:id="71"/>
    <w:bookmarkStart w:id="73"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2">
        <w:r>
          <w:rPr>
            <w:rStyle w:val="Hyperlink"/>
          </w:rPr>
          <w:t xml:space="preserve">http://dx.doi.org/10.1016/j.rse.2010.07.008</w:t>
        </w:r>
      </w:hyperlink>
    </w:p>
    <w:bookmarkEnd w:id="73"/>
    <w:bookmarkStart w:id="75"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4">
        <w:r>
          <w:rPr>
            <w:rStyle w:val="Hyperlink"/>
          </w:rPr>
          <w:t xml:space="preserve">http://dx.doi.org/10.1016/j.rse.2023.113914</w:t>
        </w:r>
      </w:hyperlink>
    </w:p>
    <w:bookmarkEnd w:id="75"/>
    <w:bookmarkStart w:id="77"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6">
        <w:r>
          <w:rPr>
            <w:rStyle w:val="Hyperlink"/>
          </w:rPr>
          <w:t xml:space="preserve">http://dx.doi.org/10.1088/1748-9326/ac6965</w:t>
        </w:r>
      </w:hyperlink>
    </w:p>
    <w:bookmarkEnd w:id="77"/>
    <w:bookmarkStart w:id="79"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8">
        <w:r>
          <w:rPr>
            <w:rStyle w:val="Hyperlink"/>
          </w:rPr>
          <w:t xml:space="preserve">http://dx.doi.org/10.1109/CVPRW59228.2023.00206</w:t>
        </w:r>
      </w:hyperlink>
    </w:p>
    <w:bookmarkEnd w:id="79"/>
    <w:bookmarkStart w:id="81"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0">
        <w:r>
          <w:rPr>
            <w:rStyle w:val="Hyperlink"/>
          </w:rPr>
          <w:t xml:space="preserve">http://dx.doi.org/10.1111/gcb.14279</w:t>
        </w:r>
      </w:hyperlink>
    </w:p>
    <w:bookmarkEnd w:id="81"/>
    <w:bookmarkStart w:id="83"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2">
        <w:r>
          <w:rPr>
            <w:rStyle w:val="Hyperlink"/>
          </w:rPr>
          <w:t xml:space="preserve">http://dx.doi.org/10.3390/rs11050523</w:t>
        </w:r>
      </w:hyperlink>
    </w:p>
    <w:bookmarkEnd w:id="83"/>
    <w:bookmarkStart w:id="85"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4">
        <w:r>
          <w:rPr>
            <w:rStyle w:val="Hyperlink"/>
          </w:rPr>
          <w:t xml:space="preserve">http://dx.doi.org/10.1016/j.rse.2024.114107</w:t>
        </w:r>
      </w:hyperlink>
    </w:p>
    <w:bookmarkEnd w:id="85"/>
    <w:bookmarkStart w:id="87"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6">
        <w:r>
          <w:rPr>
            <w:rStyle w:val="Hyperlink"/>
          </w:rPr>
          <w:t xml:space="preserve">http://dx.doi.org/10.1016/j.isprsjprs.2020.06.006</w:t>
        </w:r>
      </w:hyperlink>
    </w:p>
    <w:bookmarkEnd w:id="87"/>
    <w:bookmarkStart w:id="89"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8">
        <w:r>
          <w:rPr>
            <w:rStyle w:val="Hyperlink"/>
          </w:rPr>
          <w:t xml:space="preserve">http://dx.doi.org/10.1016/j.jag.2017.04.004</w:t>
        </w:r>
      </w:hyperlink>
    </w:p>
    <w:bookmarkEnd w:id="89"/>
    <w:bookmarkStart w:id="91"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0">
        <w:r>
          <w:rPr>
            <w:rStyle w:val="Hyperlink"/>
          </w:rPr>
          <w:t xml:space="preserve">http://dx.doi.org/10.3390/rs11111309</w:t>
        </w:r>
      </w:hyperlink>
    </w:p>
    <w:bookmarkEnd w:id="91"/>
    <w:bookmarkStart w:id="93"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2">
        <w:r>
          <w:rPr>
            <w:rStyle w:val="Hyperlink"/>
          </w:rPr>
          <w:t xml:space="preserve">http://dx.doi.org/10.1016/j.foreco.2006.02.050</w:t>
        </w:r>
      </w:hyperlink>
    </w:p>
    <w:bookmarkEnd w:id="93"/>
    <w:bookmarkStart w:id="95"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4">
        <w:r>
          <w:rPr>
            <w:rStyle w:val="Hyperlink"/>
          </w:rPr>
          <w:t xml:space="preserve">http://dx.doi.org/10.21105/joss.05663</w:t>
        </w:r>
      </w:hyperlink>
    </w:p>
    <w:bookmarkEnd w:id="95"/>
    <w:bookmarkStart w:id="97"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6">
        <w:r>
          <w:rPr>
            <w:rStyle w:val="Hyperlink"/>
          </w:rPr>
          <w:t xml:space="preserve">http://dx.doi.org/10.1016/j.rse.2019.02.015</w:t>
        </w:r>
      </w:hyperlink>
    </w:p>
    <w:bookmarkEnd w:id="97"/>
    <w:bookmarkStart w:id="99"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8">
        <w:r>
          <w:rPr>
            <w:rStyle w:val="Hyperlink"/>
          </w:rPr>
          <w:t xml:space="preserve">http://dx.doi.org/10.17161/bi.v16i1.14758</w:t>
        </w:r>
      </w:hyperlink>
    </w:p>
    <w:bookmarkEnd w:id="99"/>
    <w:bookmarkStart w:id="101"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0">
        <w:r>
          <w:rPr>
            <w:rStyle w:val="Hyperlink"/>
          </w:rPr>
          <w:t xml:space="preserve">http://dx.doi.org/10.1016/j.rse.2014.01.011</w:t>
        </w:r>
      </w:hyperlink>
    </w:p>
    <w:bookmarkEnd w:id="101"/>
    <w:bookmarkStart w:id="103"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2">
        <w:r>
          <w:rPr>
            <w:rStyle w:val="Hyperlink"/>
          </w:rPr>
          <w:t xml:space="preserve">http://dx.doi.org/10.1016/j.isprsjprs.2024.05.013</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Multi-year temporal deep learning and open satellite data lower the detectability floor for low-severity spruce beetle mortality in Southcentral Alaska</dc:title>
  <dc:creator>Seamus Murphy</dc:creator>
  <cp:keywords/>
  <dcterms:created xsi:type="dcterms:W3CDTF">2026-08-12T19:15:32Z</dcterms:created>
  <dcterms:modified xsi:type="dcterms:W3CDTF">2026-08-12T19:15:32Z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