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 of deep learning methods and open satellite time series in detecting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autofit</w:t>
      </w:r>
      <w:r>
        <w:rPr>
          <w:rStyle w:val="NormalTok"/>
        </w:rPr>
        <w:t xml:space="preserve">(ft)</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WGS 84 geographic coordinates,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DecValTok"/>
        </w:rPr>
        <w:t xml:space="preserve">4326</w:t>
      </w:r>
      <w:r>
        <w:rPr>
          <w:rStyle w:val="NormalTok"/>
        </w:rPr>
        <w:t xml:space="preserve">))),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 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AttributeTok"/>
        </w:rPr>
        <w:t xml:space="preserve">colour =</w:t>
      </w:r>
      <w:r>
        <w:rPr>
          <w:rStyle w:val="NormalTok"/>
        </w:rPr>
        <w:t xml:space="preserve"> </w:t>
      </w:r>
      <w:r>
        <w:rPr>
          <w:rStyle w:val="StringTok"/>
        </w:rPr>
        <w:t xml:space="preserve">"steelblue3"</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AttributeTok"/>
        </w:rPr>
        <w:t xml:space="preserve">colour =</w:t>
      </w:r>
      <w:r>
        <w:rPr>
          <w:rStyle w:val="NormalTok"/>
        </w:rPr>
        <w:t xml:space="preserve"> </w:t>
      </w:r>
      <w:r>
        <w:rPr>
          <w:rStyle w:val="StringTok"/>
        </w:rPr>
        <w:t xml:space="preserve">"grey35"</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"Severity reference footprint"</w:t>
      </w:r>
      <w:r>
        <w:rPr>
          <w:rStyle w:val="NormalTok"/>
        </w:rPr>
        <w:t xml:space="preserve"> </w:t>
      </w:r>
      <w:r>
        <w:rPr>
          <w:rStyle w:val="OtherTok"/>
        </w:rPr>
        <w:t xml:space="preserve">=</w:t>
      </w:r>
      <w:r>
        <w:br/>
      </w:r>
      <w:r>
        <w:rPr>
          <w:rStyle w:val="NormalTok"/>
        </w:rPr>
        <w:t xml:space="preserve">                                         </w:t>
      </w:r>
      <w:r>
        <w:rPr>
          <w:rStyle w:val="StringTok"/>
        </w:rPr>
        <w:t xml:space="preserve">"#C0392B"</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151</w:t>
      </w:r>
      <w:r>
        <w:rPr>
          <w:rStyle w:val="NormalTok"/>
        </w:rPr>
        <w:t xml:space="preserve">, </w:t>
      </w:r>
      <w:r>
        <w:rPr>
          <w:rStyle w:val="SpecialCharTok"/>
        </w:rPr>
        <w:t xml:space="preserve">-</w:t>
      </w:r>
      <w:r>
        <w:rPr>
          <w:rStyle w:val="DecValTok"/>
        </w:rPr>
        <w:t xml:space="preserve">149</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62</w:t>
      </w:r>
      <w:r>
        <w:rPr>
          <w:rStyle w:val="NormalTok"/>
        </w:rPr>
        <w:t xml:space="preserve">, </w:t>
      </w:r>
      <w:r>
        <w:rPr>
          <w:rStyle w:val="DecValTok"/>
        </w:rPr>
        <w:t xml:space="preserve">63</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150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4749052"/>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47490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Blue lines are rivers, dark grey lines are highways, and labelled points are settlements, all from Natural Earth 10 m layers. Representative fraction and coordinate reference system as titled; graticule in WGS 84 geographic coordinates.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71"/>
              <w:gridCol w:w="4172"/>
              <w:gridCol w:w="2552"/>
              <w:gridCol w:w="1471"/>
              <w:gridCol w:w="3312"/>
              <w:gridCol w:w="3942"/>
            </w:tblGrid>
            <w:tr>
              <w:trPr>
                <w:trHeight w:val="36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median_clear_obs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Sentinel-2 composites on the 90 m reference grid.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1"/>
              <w:gridCol w:w="891"/>
              <w:gridCol w:w="1882"/>
            </w:tblGrid>
            <w:tr>
              <w:trPr>
                <w:trHeight w:val="3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median_clear_obs</w:t>
                  </w:r>
                </w:p>
              </w:tc>
            </w:tr>
            <w:tr>
              <w:trPr>
                <w:trHeight w:val="32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2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1"/>
              <w:gridCol w:w="1601"/>
              <w:gridCol w:w="931"/>
              <w:gridCol w:w="991"/>
              <w:gridCol w:w="801"/>
              <w:gridCol w:w="1031"/>
              <w:gridCol w:w="971"/>
              <w:gridCol w:w="891"/>
              <w:gridCol w:w="921"/>
            </w:tblGrid>
            <w:tr>
              <w:trPr>
                <w:trHeight w:val="34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1"/>
              <w:gridCol w:w="1601"/>
              <w:gridCol w:w="661"/>
              <w:gridCol w:w="651"/>
              <w:gridCol w:w="741"/>
              <w:gridCol w:w="1031"/>
            </w:tblGrid>
            <w:tr>
              <w:trPr>
                <w:trHeight w:val="34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91"/>
              <w:gridCol w:w="1261"/>
              <w:gridCol w:w="791"/>
              <w:gridCol w:w="1341"/>
              <w:gridCol w:w="1711"/>
              <w:gridCol w:w="821"/>
            </w:tblGrid>
            <w:tr>
              <w:trPr>
                <w:trHeight w:val="36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3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91"/>
              <w:gridCol w:w="1461"/>
              <w:gridCol w:w="1051"/>
              <w:gridCol w:w="1181"/>
              <w:gridCol w:w="1251"/>
              <w:gridCol w:w="1321"/>
              <w:gridCol w:w="1341"/>
            </w:tblGrid>
            <w:tr>
              <w:trPr>
                <w:trHeight w:val="36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7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41"/>
              <w:gridCol w:w="1171"/>
              <w:gridCol w:w="931"/>
              <w:gridCol w:w="991"/>
              <w:gridCol w:w="801"/>
              <w:gridCol w:w="1031"/>
            </w:tblGrid>
            <w:tr>
              <w:trPr>
                <w:trHeight w:val="36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2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2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1451"/>
              <w:gridCol w:w="1561"/>
              <w:gridCol w:w="831"/>
              <w:gridCol w:w="691"/>
            </w:tblGrid>
            <w:tr>
              <w:trPr>
                <w:trHeight w:val="36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5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5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of deep learning methods and open satellite time series in detecting low-severity spruce beetle mortality in Southcentral Alaska</dc:title>
  <dc:creator>Seamus Murphy</dc:creator>
  <cp:keywords/>
  <dcterms:created xsi:type="dcterms:W3CDTF">2026-08-12T15:31:38Z</dcterms:created>
  <dcterms:modified xsi:type="dcterms:W3CDTF">2026-08-12T15:31:38Z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