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Performance of deep learning methods and open satellite time series in detecting low-severity spruce beetle mortality in Southcentral Alaska</w:t>
      </w:r>
    </w:p>
    <w:p>
      <w:pPr>
        <w:pStyle w:val="Author"/>
      </w:pPr>
      <w:r>
        <w:t xml:space="preserve">Seamus Murphy</w:t>
      </w:r>
    </w:p>
    <w:p>
      <w:pPr>
        <w:pStyle w:val="Date"/>
      </w:pPr>
      <w:r>
        <w:t xml:space="preserve">2026-08-10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Placeholder. The confirmatory analysis is gated behind pre-registration; this draft</w:t>
      </w:r>
      <w:r>
        <w:t xml:space="preserve"> </w:t>
      </w:r>
      <w:r>
        <w:t xml:space="preserve">carries the framing, the data provenance and the planned design only. See</w:t>
      </w:r>
      <w:r>
        <w:t xml:space="preserve"> </w:t>
      </w:r>
      <w:r>
        <w:rPr>
          <w:rStyle w:val="VerbatimChar"/>
        </w:rPr>
        <w:t xml:space="preserve">docs/science-superpowers/questions/2026-08-10-detectability-floor.md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NormalTok"/>
        </w:rPr>
        <w:t xml:space="preserve">root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inputs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(root, </w:t>
      </w:r>
      <w:r>
        <w:rPr>
          <w:rStyle w:val="StringTok"/>
        </w:rPr>
        <w:t xml:space="preserve">"02.inputs"</w:t>
      </w:r>
      <w:r>
        <w:rPr>
          <w:rStyle w:val="NormalTok"/>
        </w:rPr>
        <w:t xml:space="preserve">)</w:t>
      </w:r>
    </w:p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Spruce beetle (</w:t>
      </w:r>
      <w:r>
        <w:rPr>
          <w:i/>
          <w:iCs/>
        </w:rPr>
        <w:t xml:space="preserve">Dendroctonus rufipennis</w:t>
      </w:r>
      <w:r>
        <w:t xml:space="preserve">) has killed spruce across more than a million</w:t>
      </w:r>
      <w:r>
        <w:t xml:space="preserve"> </w:t>
      </w:r>
      <w:r>
        <w:t xml:space="preserve">hectares of Southcentral Alaska since the outbreak began around 2016, yet the region’s</w:t>
      </w:r>
      <w:r>
        <w:t xml:space="preserve"> </w:t>
      </w:r>
      <w:r>
        <w:t xml:space="preserve">operational damage record rests on aerial sketch mapping with known gaps in low-severity</w:t>
      </w:r>
      <w:r>
        <w:t xml:space="preserve"> </w:t>
      </w:r>
      <w:r>
        <w:t xml:space="preserve">and dispersed mortality</w:t>
      </w:r>
      <w:r>
        <w:t xml:space="preserve"> </w:t>
      </w:r>
      <w:r>
        <w:t xml:space="preserve">(Zwieback et al., 2024)</w:t>
      </w:r>
      <w:r>
        <w:t xml:space="preserve">. Mapping that mortality from high-resolution</w:t>
      </w:r>
      <w:r>
        <w:t xml:space="preserve"> </w:t>
      </w:r>
      <w:r>
        <w:t xml:space="preserve">commercial imagery is feasible: a convolutional network on WorldView-2 scenes identified</w:t>
      </w:r>
      <w:r>
        <w:t xml:space="preserve"> </w:t>
      </w:r>
      <w:r>
        <w:t xml:space="preserve">dead spruce at 95% average accuracy and showed that roughly 90% of killed trees sit in</w:t>
      </w:r>
      <w:r>
        <w:t xml:space="preserve"> </w:t>
      </w:r>
      <w:r>
        <w:t xml:space="preserve">stands whose areal severity is below 0.05, beneath the change signal that Landsat SWIR</w:t>
      </w:r>
      <w:r>
        <w:t xml:space="preserve"> </w:t>
      </w:r>
      <w:r>
        <w:t xml:space="preserve">reflectance carries, which relates clearly to severity only above 0.1</w:t>
      </w:r>
      <w:r>
        <w:t xml:space="preserve"> </w:t>
      </w:r>
      <w:r>
        <w:t xml:space="preserve">(Zwieback et al., 2024)</w:t>
      </w:r>
      <w:r>
        <w:t xml:space="preserve">.</w:t>
      </w:r>
      <w:r>
        <w:t xml:space="preserve"> </w:t>
      </w:r>
      <w:r>
        <w:t xml:space="preserve">Whether freely available satellite time series can reach below that floor is untested.</w:t>
      </w:r>
      <w:r>
        <w:t xml:space="preserve"> </w:t>
      </w:r>
      <w:r>
        <w:t xml:space="preserve">Temporal deep learning on Landsat subsequences recovers gradual and partial boreal</w:t>
      </w:r>
      <w:r>
        <w:t xml:space="preserve"> </w:t>
      </w:r>
      <w:r>
        <w:t xml:space="preserve">disturbances that index-based change detection misses, but the evidence comes from</w:t>
      </w:r>
      <w:r>
        <w:t xml:space="preserve"> </w:t>
      </w:r>
      <w:r>
        <w:t xml:space="preserve">defoliator outbreaks in eastern Canada</w:t>
      </w:r>
      <w:r>
        <w:t xml:space="preserve"> </w:t>
      </w:r>
      <w:r>
        <w:t xml:space="preserve">(Perbet, Guindon, Côté, &amp; Béland, 2024)</w:t>
      </w:r>
      <w:r>
        <w:t xml:space="preserve">. Reviews of the wider field flag</w:t>
      </w:r>
      <w:r>
        <w:t xml:space="preserve"> </w:t>
      </w:r>
      <w:r>
        <w:t xml:space="preserve">insect damage attribution and low-severity detection as priority gaps in western North</w:t>
      </w:r>
      <w:r>
        <w:t xml:space="preserve"> </w:t>
      </w:r>
      <w:r>
        <w:t xml:space="preserve">America, with Alaska excluded from their scope</w:t>
      </w:r>
      <w:r>
        <w:t xml:space="preserve"> </w:t>
      </w:r>
      <w:r>
        <w:t xml:space="preserve">(Hicke et al., 2024)</w:t>
      </w:r>
      <w:r>
        <w:t xml:space="preserve">, and show that early</w:t>
      </w:r>
      <w:r>
        <w:t xml:space="preserve"> </w:t>
      </w:r>
      <w:r>
        <w:t xml:space="preserve">detection in the intensively studied European</w:t>
      </w:r>
      <w:r>
        <w:t xml:space="preserve"> </w:t>
      </w:r>
      <w:r>
        <w:rPr>
          <w:i/>
          <w:iCs/>
        </w:rPr>
        <w:t xml:space="preserve">Ips typographus</w:t>
      </w:r>
      <w:r>
        <w:t xml:space="preserve"> </w:t>
      </w:r>
      <w:r>
        <w:t xml:space="preserve">system remains below</w:t>
      </w:r>
      <w:r>
        <w:t xml:space="preserve"> </w:t>
      </w:r>
      <w:r>
        <w:t xml:space="preserve">operational accuracy</w:t>
      </w:r>
      <w:r>
        <w:t xml:space="preserve"> </w:t>
      </w:r>
      <w:r>
        <w:t xml:space="preserve">(Kautz, Feurer, &amp; Adler, 2024)</w:t>
      </w:r>
      <w:r>
        <w:t xml:space="preserve">, though the multi-year green stage of</w:t>
      </w:r>
      <w:r>
        <w:t xml:space="preserve"> </w:t>
      </w:r>
      <w:r>
        <w:rPr>
          <w:i/>
          <w:iCs/>
        </w:rPr>
        <w:t xml:space="preserve">Dendroctonus</w:t>
      </w:r>
      <w:r>
        <w:t xml:space="preserve"> </w:t>
      </w:r>
      <w:r>
        <w:t xml:space="preserve">systems makes the timing problem less punishing here. Prior Alaska-wide work attributed</w:t>
      </w:r>
      <w:r>
        <w:t xml:space="preserve"> </w:t>
      </w:r>
      <w:r>
        <w:t xml:space="preserve">insect damage only through coarse survey perimeters intersected with Landsat trends</w:t>
      </w:r>
      <w:r>
        <w:t xml:space="preserve"> </w:t>
      </w:r>
      <w:r>
        <w:t xml:space="preserve">(Pastick et al., 2018)</w:t>
      </w:r>
      <w:r>
        <w:t xml:space="preserve"> </w:t>
      </w:r>
      <w:r>
        <w:t xml:space="preserve">or modeled beetle occurrence rather than damage</w:t>
      </w:r>
      <w:r>
        <w:t xml:space="preserve"> </w:t>
      </w:r>
      <w:r>
        <w:t xml:space="preserve">(Zabihi, Huettmann, &amp; Young, 2021)</w:t>
      </w:r>
      <w:r>
        <w:t xml:space="preserve">, and</w:t>
      </w:r>
      <w:r>
        <w:t xml:space="preserve"> </w:t>
      </w:r>
      <w:r>
        <w:t xml:space="preserve">individual-tree mortality benchmarks exist only outside Alaska</w:t>
      </w:r>
      <w:r>
        <w:t xml:space="preserve"> </w:t>
      </w:r>
      <w:r>
        <w:t xml:space="preserve">(Khatri-Chhetri, Wagtendonk, Hendryx, &amp; Kane, 2024)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Down to what stand-scale areal severity can models trained on</w:t>
      </w:r>
      <w:r>
        <w:t xml:space="preserve"> </w:t>
      </w:r>
      <w:r>
        <w:t xml:space="preserve">freely available Sentinel-2 and Landsat time series detect spruce beetle associated</w:t>
      </w:r>
      <w:r>
        <w:t xml:space="preserve"> </w:t>
      </w:r>
      <w:r>
        <w:t xml:space="preserve">mortality in Southcentral Alaska, and does temporal deep learning lower that floor</w:t>
      </w:r>
      <w:r>
        <w:t xml:space="preserve"> </w:t>
      </w:r>
      <w:r>
        <w:t xml:space="preserve">relative to SWIR change detection?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Pipeline status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draft precedes pre-registration. Under the project’s confirmatory-analysis gate, no</w:t>
            </w:r>
            <w:r>
              <w:t xml:space="preserve"> </w:t>
            </w:r>
            <w:r>
              <w:t xml:space="preserve">outcome data have been analysed: the live code below is restricted to provenance</w:t>
            </w:r>
            <w:r>
              <w:t xml:space="preserve"> </w:t>
            </w:r>
            <w:r>
              <w:t xml:space="preserve">verification and descriptive context, and the planned-analysis chunks are stubs with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. They activate only after the pre-registration document is complete.</w:t>
            </w:r>
          </w:p>
        </w:tc>
      </w:tr>
    </w:tbl>
    <w:bookmarkEnd w:id="23"/>
    <w:bookmarkStart w:id="29" w:name="data"/>
    <w:p>
      <w:pPr>
        <w:pStyle w:val="Heading1"/>
      </w:pPr>
      <w:r>
        <w:t xml:space="preserve">Data</w:t>
      </w:r>
    </w:p>
    <w:p>
      <w:pPr>
        <w:pStyle w:val="FirstParagraph"/>
      </w:pPr>
      <w:r>
        <w:t xml:space="preserve">All inputs are open-source; retrieval is scripted in</w:t>
      </w:r>
      <w:r>
        <w:t xml:space="preserve"> </w:t>
      </w:r>
      <w:r>
        <w:rPr>
          <w:rStyle w:val="VerbatimChar"/>
        </w:rPr>
        <w:t xml:space="preserve">05.scripts/00_download_inputs.sh</w:t>
      </w:r>
      <w:r>
        <w:t xml:space="preserve"> </w:t>
      </w:r>
      <w:r>
        <w:t xml:space="preserve">and provenance recorded in</w:t>
      </w:r>
      <w:r>
        <w:t xml:space="preserve"> </w:t>
      </w:r>
      <w:r>
        <w:rPr>
          <w:rStyle w:val="VerbatimChar"/>
        </w:rPr>
        <w:t xml:space="preserve">02.inputs/README.md</w:t>
      </w:r>
      <w:r>
        <w:t xml:space="preserve">.</w:t>
      </w:r>
    </w:p>
    <w:bookmarkStart w:id="24" w:name="integrity-of-retrieved-files"/>
    <w:p>
      <w:pPr>
        <w:pStyle w:val="Heading2"/>
      </w:pPr>
      <w:r>
        <w:t xml:space="preserve">Integrity of retrieved files</w:t>
      </w:r>
    </w:p>
    <w:p>
      <w:pPr>
        <w:pStyle w:val="FirstParagraph"/>
      </w:pPr>
      <w:r>
        <w:t xml:space="preserve">Every file analysed below is checksum-verified at render time against the manifest</w:t>
      </w:r>
      <w:r>
        <w:t xml:space="preserve"> </w:t>
      </w:r>
      <w:r>
        <w:t xml:space="preserve">recorded at download (2026-08-10).</w:t>
      </w:r>
    </w:p>
    <w:p>
      <w:pPr>
        <w:pStyle w:val="SourceCode"/>
      </w:pPr>
      <w:r>
        <w:rPr>
          <w:rStyle w:val="NormalTok"/>
        </w:rPr>
        <w:t xml:space="preserve">manifest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(inputs,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"sha256"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manifest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verified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(manifest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(f) {</w:t>
      </w:r>
      <w:r>
        <w:br/>
      </w:r>
      <w:r>
        <w:rPr>
          <w:rStyle w:val="NormalTok"/>
        </w:rPr>
        <w:t xml:space="preserve">  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"shasum"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"256"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shQuote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(inputs, f))),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stdout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strsplit</w:t>
      </w:r>
      <w:r>
        <w:rPr>
          <w:rStyle w:val="NormalTok"/>
        </w:rPr>
        <w:t xml:space="preserve">(h,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manifest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sha256[manifest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f])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(manifest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verified))</w:t>
      </w:r>
      <w:r>
        <w:br/>
      </w:r>
      <w:r>
        <w:rPr>
          <w:rStyle w:val="NormalTok"/>
        </w:rPr>
        <w:t xml:space="preserve">manifest[,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                                       file verified</w:t>
      </w:r>
      <w:r>
        <w:br/>
      </w:r>
      <w:r>
        <w:rPr>
          <w:rStyle w:val="VerbatimChar"/>
        </w:rPr>
        <w:t xml:space="preserve">1  zwieback-severity/merged_ref_h_c250c.tif     TRUE</w:t>
      </w:r>
      <w:r>
        <w:br/>
      </w:r>
      <w:r>
        <w:rPr>
          <w:rStyle w:val="VerbatimChar"/>
        </w:rPr>
        <w:t xml:space="preserve">2   zwieback-severity/merged_ref_h_c30c.tif     TRUE</w:t>
      </w:r>
      <w:r>
        <w:br/>
      </w:r>
      <w:r>
        <w:rPr>
          <w:rStyle w:val="VerbatimChar"/>
        </w:rPr>
        <w:t xml:space="preserve">3   zwieback-severity/merged_ref_h_c90c.tif     TRUE</w:t>
      </w:r>
      <w:r>
        <w:br/>
      </w:r>
      <w:r>
        <w:rPr>
          <w:rStyle w:val="VerbatimChar"/>
        </w:rPr>
        <w:t xml:space="preserve">4                zwieback-labels/labels.zip     TRUE</w:t>
      </w:r>
      <w:r>
        <w:br/>
      </w:r>
      <w:r>
        <w:rPr>
          <w:rStyle w:val="VerbatimChar"/>
        </w:rPr>
        <w:t xml:space="preserve">5                      zwieback-cnn/model.p     TRUE</w:t>
      </w:r>
      <w:r>
        <w:br/>
      </w:r>
      <w:r>
        <w:rPr>
          <w:rStyle w:val="VerbatimChar"/>
        </w:rPr>
        <w:t xml:space="preserve">6 ids-region10/AK_Region10_AllYears.gdb.zip     TRUE</w:t>
      </w:r>
    </w:p>
    <w:bookmarkEnd w:id="24"/>
    <w:bookmarkStart w:id="25" w:name="Xe59f35a419d2fb0afeeb6416d269ef57272937c"/>
    <w:p>
      <w:pPr>
        <w:pStyle w:val="Heading2"/>
      </w:pPr>
      <w:r>
        <w:t xml:space="preserve">Reference severity rasters (Zwieback et al. 2024)</w:t>
      </w:r>
    </w:p>
    <w:p>
      <w:pPr>
        <w:pStyle w:val="FirstParagraph"/>
      </w:pPr>
      <w:r>
        <w:t xml:space="preserve">Stand-scale areal severity of beetle-associated dead spruce for the Talkeetna to Byers</w:t>
      </w:r>
      <w:r>
        <w:t xml:space="preserve"> </w:t>
      </w:r>
      <w:r>
        <w:t xml:space="preserve">Lake area, 2021, derived by</w:t>
      </w:r>
      <w:r>
        <w:t xml:space="preserve"> </w:t>
      </w:r>
      <w:r>
        <w:t xml:space="preserve">Zwieback et al. (2024)</w:t>
      </w:r>
      <w:r>
        <w:t xml:space="preserve"> </w:t>
      </w:r>
      <w:r>
        <w:t xml:space="preserve">from a convolutional network applied to</w:t>
      </w:r>
      <w:r>
        <w:t xml:space="preserve"> </w:t>
      </w:r>
      <w:r>
        <w:t xml:space="preserve">WorldView-2 imagery and released at three stand scales (Zenodo 10.5281/zenodo.8423568,</w:t>
      </w:r>
      <w:r>
        <w:t xml:space="preserve"> </w:t>
      </w:r>
      <w:r>
        <w:t xml:space="preserve">licence clarification pending; validation use only). Metadata inspected here; values are</w:t>
      </w:r>
      <w:r>
        <w:t xml:space="preserve"> </w:t>
      </w:r>
      <w:r>
        <w:t xml:space="preserve">not summarised or plotted before pre-registration.</w:t>
      </w:r>
    </w:p>
    <w:p>
      <w:pPr>
        <w:pStyle w:val="SourceCode"/>
      </w:pPr>
      <w:r>
        <w:rPr>
          <w:rStyle w:val="NormalTok"/>
        </w:rPr>
        <w:t xml:space="preserve">sev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"merged_ref_h_c30c.tif"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"merged_ref_h_c90c.tif"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"merged_ref_h_c250c.tif"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(f)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(inputs, </w:t>
      </w:r>
      <w:r>
        <w:rPr>
          <w:rStyle w:val="StringTok"/>
        </w:rPr>
        <w:t xml:space="preserve">"zwieback-severity"</w:t>
      </w:r>
      <w:r>
        <w:rPr>
          <w:rStyle w:val="NormalTok"/>
        </w:rPr>
        <w:t xml:space="preserve">, f)))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(sev,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sources</w:t>
      </w:r>
      <w:r>
        <w:rPr>
          <w:rStyle w:val="NormalTok"/>
        </w:rPr>
        <w:t xml:space="preserve">(r)),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(sev,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</w:t>
      </w:r>
      <w:r>
        <w:rPr>
          <w:rStyle w:val="NormalTok"/>
        </w:rPr>
        <w:t xml:space="preserve">(r)),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x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ncell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(sev, ncell,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(sev,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</w:t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crs</w:t>
      </w:r>
      <w:r>
        <w:rPr>
          <w:rStyle w:val="NormalTok"/>
        </w:rPr>
        <w:t xml:space="preserve">(r))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file resolution    ncell                  crs</w:t>
      </w:r>
      <w:r>
        <w:br/>
      </w:r>
      <w:r>
        <w:rPr>
          <w:rStyle w:val="VerbatimChar"/>
        </w:rPr>
        <w:t xml:space="preserve">1  merged_ref_h_c30c.tif    30 x 30 10442793 WGS 84 / UTM zone 5N</w:t>
      </w:r>
      <w:r>
        <w:br/>
      </w:r>
      <w:r>
        <w:rPr>
          <w:rStyle w:val="VerbatimChar"/>
        </w:rPr>
        <w:t xml:space="preserve">2  merged_ref_h_c90c.tif    90 x 90  1159703 WGS 84 / UTM zone 5N</w:t>
      </w:r>
      <w:r>
        <w:br/>
      </w:r>
      <w:r>
        <w:rPr>
          <w:rStyle w:val="VerbatimChar"/>
        </w:rPr>
        <w:t xml:space="preserve">3 merged_ref_h_c250c.tif  250 x 250   151011 WGS 84 / UTM zone 5N</w:t>
      </w:r>
    </w:p>
    <w:bookmarkEnd w:id="25"/>
    <w:bookmarkStart w:id="26" w:name="X17d0dde23c0317a05f87c6574d6c76d38063f64"/>
    <w:p>
      <w:pPr>
        <w:pStyle w:val="Heading2"/>
      </w:pPr>
      <w:r>
        <w:t xml:space="preserve">Crown-scale labels and pre-labelling model (CC-BY 4.0)</w:t>
      </w:r>
    </w:p>
    <w:p>
      <w:pPr>
        <w:pStyle w:val="FirstParagraph"/>
      </w:pPr>
      <w:r>
        <w:t xml:space="preserve">The hand-delineated dead-spruce crown labels and trained network of</w:t>
      </w:r>
      <w:r>
        <w:t xml:space="preserve"> </w:t>
      </w:r>
      <w:r>
        <w:t xml:space="preserve">Zwieback et al. (2024)</w:t>
      </w:r>
      <w:r>
        <w:t xml:space="preserve"> </w:t>
      </w:r>
      <w:r>
        <w:t xml:space="preserve">(Zenodo 10.5281/zenodo.10569990 and 10.5281/zenodo.10569975) serve as the starting point</w:t>
      </w:r>
      <w:r>
        <w:t xml:space="preserve"> </w:t>
      </w:r>
      <w:r>
        <w:t xml:space="preserve">for our own crown digitisation on the State of Alaska Geoportal Maxar mosaics (2020 at</w:t>
      </w:r>
      <w:r>
        <w:t xml:space="preserve"> </w:t>
      </w:r>
      <w:r>
        <w:t xml:space="preserve">50 cm, 2023 at 30 cm; streamed under the state’s university/non-commercial terms).</w:t>
      </w:r>
    </w:p>
    <w:p>
      <w:pPr>
        <w:pStyle w:val="SourceCode"/>
      </w:pPr>
      <w:r>
        <w:rPr>
          <w:rStyle w:val="NormalTok"/>
        </w:rPr>
        <w:t xml:space="preserve">lab_dir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(inputs, </w:t>
      </w:r>
      <w:r>
        <w:rPr>
          <w:rStyle w:val="StringTok"/>
        </w:rPr>
        <w:t xml:space="preserve">"zwieback-labels"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(lab_dir,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"_labels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.gpkg$"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(lab_dir,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"_extent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.gpkg$"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label_areas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(labs), </w:t>
      </w:r>
      <w:r>
        <w:rPr>
          <w:rStyle w:val="AttributeTok"/>
        </w:rPr>
        <w:t xml:space="preserve">extent_files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(exts))</w:t>
      </w:r>
    </w:p>
    <w:p>
      <w:pPr>
        <w:pStyle w:val="SourceCode"/>
      </w:pPr>
      <w:r>
        <w:rPr>
          <w:rStyle w:val="VerbatimChar"/>
        </w:rPr>
        <w:t xml:space="preserve"> label_areas extent_files </w:t>
      </w:r>
      <w:r>
        <w:br/>
      </w:r>
      <w:r>
        <w:rPr>
          <w:rStyle w:val="VerbatimChar"/>
        </w:rPr>
        <w:t xml:space="preserve">         111          111 </w:t>
      </w:r>
    </w:p>
    <w:bookmarkEnd w:id="26"/>
    <w:bookmarkStart w:id="27" w:name="Xdeef17cfae5645516a9a06b8450c8d17a0dcc8d"/>
    <w:p>
      <w:pPr>
        <w:pStyle w:val="Heading2"/>
      </w:pPr>
      <w:r>
        <w:t xml:space="preserve">Aerial detection survey polygons (USFS IDS, Region 10)</w:t>
      </w:r>
    </w:p>
    <w:p>
      <w:pPr>
        <w:pStyle w:val="FirstParagraph"/>
      </w:pPr>
      <w:r>
        <w:t xml:space="preserve">Sketch-mapped damage polygons for Alaska, all survey years, US public domain. These are</w:t>
      </w:r>
      <w:r>
        <w:t xml:space="preserve"> </w:t>
      </w:r>
      <w:r>
        <w:t xml:space="preserve">weak labels: positional accuracy is coarse, low-severity damage is under-recorded, and</w:t>
      </w:r>
      <w:r>
        <w:t xml:space="preserve"> </w:t>
      </w:r>
      <w:r>
        <w:t xml:space="preserve">the intensity attribute counts faded trees per treed area, which is not commensurable</w:t>
      </w:r>
      <w:r>
        <w:t xml:space="preserve"> </w:t>
      </w:r>
      <w:r>
        <w:t xml:space="preserve">with pixel-fraction severity</w:t>
      </w:r>
      <w:r>
        <w:t xml:space="preserve"> </w:t>
      </w:r>
      <w:r>
        <w:t xml:space="preserve">(Zwieback et al., 2024)</w:t>
      </w:r>
      <w:r>
        <w:t xml:space="preserve">. Annual spruce beetle extent is tabulated</w:t>
      </w:r>
      <w:r>
        <w:t xml:space="preserve"> </w:t>
      </w:r>
      <w:r>
        <w:t xml:space="preserve">here as published descriptive context, not as an outcome.</w:t>
      </w:r>
    </w:p>
    <w:p>
      <w:pPr>
        <w:pStyle w:val="SourceCode"/>
      </w:pPr>
      <w:r>
        <w:rPr>
          <w:rStyle w:val="NormalTok"/>
        </w:rPr>
        <w:t xml:space="preserve">gdb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(inputs, </w:t>
      </w:r>
      <w:r>
        <w:rPr>
          <w:rStyle w:val="StringTok"/>
        </w:rPr>
        <w:t xml:space="preserve">"ids-region10"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"AK_Region10_AllYears.gdb"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st_layers</w:t>
      </w:r>
      <w:r>
        <w:rPr>
          <w:rStyle w:val="NormalTok"/>
        </w:rPr>
        <w:t xml:space="preserve">(gdb)</w:t>
      </w:r>
    </w:p>
    <w:p>
      <w:pPr>
        <w:pStyle w:val="SourceCode"/>
      </w:pPr>
      <w:r>
        <w:rPr>
          <w:rStyle w:val="VerbatimChar"/>
        </w:rPr>
        <w:t xml:space="preserve">Driver: OpenFileGDB </w:t>
      </w:r>
      <w:r>
        <w:br/>
      </w:r>
      <w:r>
        <w:rPr>
          <w:rStyle w:val="VerbatimChar"/>
        </w:rPr>
        <w:t xml:space="preserve">Available layers:</w:t>
      </w:r>
      <w:r>
        <w:br/>
      </w:r>
      <w:r>
        <w:rPr>
          <w:rStyle w:val="VerbatimChar"/>
        </w:rPr>
        <w:t xml:space="preserve">                             layer_name geometry_type features fields</w:t>
      </w:r>
      <w:r>
        <w:br/>
      </w:r>
      <w:r>
        <w:rPr>
          <w:rStyle w:val="VerbatimChar"/>
        </w:rPr>
        <w:t xml:space="preserve">1   DAMAGE_AREAS_FLAT_AllYears_AK_Rgn10 Multi Polygon   151309     42</w:t>
      </w:r>
      <w:r>
        <w:br/>
      </w:r>
      <w:r>
        <w:rPr>
          <w:rStyle w:val="VerbatimChar"/>
        </w:rPr>
        <w:t xml:space="preserve">2  DAMAGE_POINTS_FLAT_Allyears_AK_Rgn10         Point     5066     30</w:t>
      </w:r>
      <w:r>
        <w:br/>
      </w:r>
      <w:r>
        <w:rPr>
          <w:rStyle w:val="VerbatimChar"/>
        </w:rPr>
        <w:t xml:space="preserve">3 SURVEYED_AREAS_FLAT_AllYears_AK_Rgn10 Multi Polygon     6253     23</w:t>
      </w:r>
      <w:r>
        <w:br/>
      </w:r>
      <w:r>
        <w:rPr>
          <w:rStyle w:val="VerbatimChar"/>
        </w:rPr>
        <w:t xml:space="preserve">               crs_name</w:t>
      </w:r>
      <w:r>
        <w:br/>
      </w:r>
      <w:r>
        <w:rPr>
          <w:rStyle w:val="VerbatimChar"/>
        </w:rPr>
        <w:t xml:space="preserve">1 NAD83 / Alaska Albers</w:t>
      </w:r>
      <w:r>
        <w:br/>
      </w:r>
      <w:r>
        <w:rPr>
          <w:rStyle w:val="VerbatimChar"/>
        </w:rPr>
        <w:t xml:space="preserve">2 NAD83 / Alaska Albers</w:t>
      </w:r>
      <w:r>
        <w:br/>
      </w:r>
      <w:r>
        <w:rPr>
          <w:rStyle w:val="VerbatimChar"/>
        </w:rPr>
        <w:t xml:space="preserve">3 NAD83 / Alaska Albers</w:t>
      </w:r>
    </w:p>
    <w:p>
      <w:pPr>
        <w:pStyle w:val="SourceCode"/>
      </w:pPr>
      <w:r>
        <w:rPr>
          <w:rStyle w:val="CommentTok"/>
        </w:rPr>
        <w:t xml:space="preserve"># The OGR SQL dialect has no GROUP BY; aggregate through GDAL's SQLite dialect</w:t>
      </w:r>
      <w:r>
        <w:br/>
      </w:r>
      <w:r>
        <w:rPr>
          <w:rStyle w:val="CommentTok"/>
        </w:rPr>
        <w:t xml:space="preserve"># instead, which also avoids loading 151k polygon geometries on this machine.</w:t>
      </w:r>
      <w:r>
        <w:br/>
      </w:r>
      <w:r>
        <w:rPr>
          <w:rStyle w:val="NormalTok"/>
        </w:rPr>
        <w:t xml:space="preserve">ids_sql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(sql) {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gdal_utils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"vectortranslate"</w:t>
      </w:r>
      <w:r>
        <w:rPr>
          <w:rStyle w:val="NormalTok"/>
        </w:rPr>
        <w:t xml:space="preserve">, gdb, tmp,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"-dialect"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"SQLite"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"-sql"</w:t>
      </w:r>
      <w:r>
        <w:rPr>
          <w:rStyle w:val="NormalTok"/>
        </w:rPr>
        <w:t xml:space="preserve">, sql))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ids_sql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SELECT SURVEY_YEAR, DCA_CODE, DCA_COMMON_NAME,</w:t>
      </w:r>
      <w:r>
        <w:br/>
      </w:r>
      <w:r>
        <w:rPr>
          <w:rStyle w:val="StringTok"/>
        </w:rPr>
        <w:t xml:space="preserve">         COUNT(*) AS n_polygons, SUM(ACRES) AS acres</w:t>
      </w:r>
      <w:r>
        <w:br/>
      </w:r>
      <w:r>
        <w:rPr>
          <w:rStyle w:val="StringTok"/>
        </w:rPr>
        <w:t xml:space="preserve">  FROM DAMAGE_AREAS_FLAT_AllYears_AK_Rgn10</w:t>
      </w:r>
      <w:r>
        <w:br/>
      </w:r>
      <w:r>
        <w:rPr>
          <w:rStyle w:val="StringTok"/>
        </w:rPr>
        <w:t xml:space="preserve">  WHERE DCA_COMMON_NAME LIKE "%spruce beetle%"</w:t>
      </w:r>
      <w:r>
        <w:br/>
      </w:r>
      <w:r>
        <w:rPr>
          <w:rStyle w:val="StringTok"/>
        </w:rPr>
        <w:t xml:space="preserve">  GROUP BY SURVEY_YEAR, DCA_CODE'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n_polygons =</w:t>
      </w:r>
      <w:r>
        <w:rPr>
          <w:rStyle w:val="NormalTok"/>
        </w:rPr>
        <w:t xml:space="preserve"> sb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n_polygons,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hectares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acres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0.40468564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agent =</w:t>
      </w:r>
      <w:r>
        <w:rPr>
          <w:rStyle w:val="NormalTok"/>
        </w:rPr>
        <w:t xml:space="preserve"> sb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DCA_COMMON_NAME),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</w:p>
    <w:p>
      <w:pPr>
        <w:pStyle w:val="SourceCode"/>
      </w:pPr>
      <w:r>
        <w:rPr>
          <w:rStyle w:val="VerbatimChar"/>
        </w:rPr>
        <w:t xml:space="preserve">                                       agent n_polygons hectares</w:t>
      </w:r>
      <w:r>
        <w:br/>
      </w:r>
      <w:r>
        <w:rPr>
          <w:rStyle w:val="VerbatimChar"/>
        </w:rPr>
        <w:t xml:space="preserve">1 northern spruce engraver and spruce beetle        111      389</w:t>
      </w:r>
      <w:r>
        <w:br/>
      </w:r>
      <w:r>
        <w:rPr>
          <w:rStyle w:val="VerbatimChar"/>
        </w:rPr>
        <w:t xml:space="preserve">2                              spruce beetle      32904  2122121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sb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SURVEY_YEAR[sb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DCA_CODE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11009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n_polygons =</w:t>
      </w:r>
      <w:r>
        <w:rPr>
          <w:rStyle w:val="NormalTok"/>
        </w:rPr>
        <w:t xml:space="preserve"> sb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n_polygons[sb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DCA_CODE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11009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hectares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acres[sb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DCA_CODE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0.40468564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 year n_polygons hectares</w:t>
      </w:r>
      <w:r>
        <w:br/>
      </w:r>
      <w:r>
        <w:rPr>
          <w:rStyle w:val="VerbatimChar"/>
        </w:rPr>
        <w:t xml:space="preserve">1  1997       2068   228465</w:t>
      </w:r>
      <w:r>
        <w:br/>
      </w:r>
      <w:r>
        <w:rPr>
          <w:rStyle w:val="VerbatimChar"/>
        </w:rPr>
        <w:t xml:space="preserve">2  1998        758   130167</w:t>
      </w:r>
      <w:r>
        <w:br/>
      </w:r>
      <w:r>
        <w:rPr>
          <w:rStyle w:val="VerbatimChar"/>
        </w:rPr>
        <w:t xml:space="preserve">3  1999       1231   102833</w:t>
      </w:r>
      <w:r>
        <w:br/>
      </w:r>
      <w:r>
        <w:rPr>
          <w:rStyle w:val="VerbatimChar"/>
        </w:rPr>
        <w:t xml:space="preserve">4  2000        359    39581</w:t>
      </w:r>
      <w:r>
        <w:br/>
      </w:r>
      <w:r>
        <w:rPr>
          <w:rStyle w:val="VerbatimChar"/>
        </w:rPr>
        <w:t xml:space="preserve">5  2001        502    42128</w:t>
      </w:r>
      <w:r>
        <w:br/>
      </w:r>
      <w:r>
        <w:rPr>
          <w:rStyle w:val="VerbatimChar"/>
        </w:rPr>
        <w:t xml:space="preserve">6  2002        377    21200</w:t>
      </w:r>
      <w:r>
        <w:br/>
      </w:r>
      <w:r>
        <w:rPr>
          <w:rStyle w:val="VerbatimChar"/>
        </w:rPr>
        <w:t xml:space="preserve">7  2003        555    37354</w:t>
      </w:r>
      <w:r>
        <w:br/>
      </w:r>
      <w:r>
        <w:rPr>
          <w:rStyle w:val="VerbatimChar"/>
        </w:rPr>
        <w:t xml:space="preserve">8  2004        255    52231</w:t>
      </w:r>
      <w:r>
        <w:br/>
      </w:r>
      <w:r>
        <w:rPr>
          <w:rStyle w:val="VerbatimChar"/>
        </w:rPr>
        <w:t xml:space="preserve">9  2005        735    36716</w:t>
      </w:r>
      <w:r>
        <w:br/>
      </w:r>
      <w:r>
        <w:rPr>
          <w:rStyle w:val="VerbatimChar"/>
        </w:rPr>
        <w:t xml:space="preserve">10 2006        895    49752</w:t>
      </w:r>
      <w:r>
        <w:br/>
      </w:r>
      <w:r>
        <w:rPr>
          <w:rStyle w:val="VerbatimChar"/>
        </w:rPr>
        <w:t xml:space="preserve">11 2007       1039    61108</w:t>
      </w:r>
      <w:r>
        <w:br/>
      </w:r>
      <w:r>
        <w:rPr>
          <w:rStyle w:val="VerbatimChar"/>
        </w:rPr>
        <w:t xml:space="preserve">12 2008        540    28115</w:t>
      </w:r>
      <w:r>
        <w:br/>
      </w:r>
      <w:r>
        <w:rPr>
          <w:rStyle w:val="VerbatimChar"/>
        </w:rPr>
        <w:t xml:space="preserve">13 2009        509    40707</w:t>
      </w:r>
      <w:r>
        <w:br/>
      </w:r>
      <w:r>
        <w:rPr>
          <w:rStyle w:val="VerbatimChar"/>
        </w:rPr>
        <w:t xml:space="preserve">14 2010        294    31547</w:t>
      </w:r>
      <w:r>
        <w:br/>
      </w:r>
      <w:r>
        <w:rPr>
          <w:rStyle w:val="VerbatimChar"/>
        </w:rPr>
        <w:t xml:space="preserve">15 2011        390    19772</w:t>
      </w:r>
      <w:r>
        <w:br/>
      </w:r>
      <w:r>
        <w:rPr>
          <w:rStyle w:val="VerbatimChar"/>
        </w:rPr>
        <w:t xml:space="preserve">16 2012        165     6727</w:t>
      </w:r>
      <w:r>
        <w:br/>
      </w:r>
      <w:r>
        <w:rPr>
          <w:rStyle w:val="VerbatimChar"/>
        </w:rPr>
        <w:t xml:space="preserve">17 2013        166    10932</w:t>
      </w:r>
      <w:r>
        <w:br/>
      </w:r>
      <w:r>
        <w:rPr>
          <w:rStyle w:val="VerbatimChar"/>
        </w:rPr>
        <w:t xml:space="preserve">18 2014        203     5987</w:t>
      </w:r>
      <w:r>
        <w:br/>
      </w:r>
      <w:r>
        <w:rPr>
          <w:rStyle w:val="VerbatimChar"/>
        </w:rPr>
        <w:t xml:space="preserve">19 2015        338    12587</w:t>
      </w:r>
      <w:r>
        <w:br/>
      </w:r>
      <w:r>
        <w:rPr>
          <w:rStyle w:val="VerbatimChar"/>
        </w:rPr>
        <w:t xml:space="preserve">20 2016        987    76108</w:t>
      </w:r>
      <w:r>
        <w:br/>
      </w:r>
      <w:r>
        <w:rPr>
          <w:rStyle w:val="VerbatimChar"/>
        </w:rPr>
        <w:t xml:space="preserve">21 2017       1496   164279</w:t>
      </w:r>
      <w:r>
        <w:br/>
      </w:r>
      <w:r>
        <w:rPr>
          <w:rStyle w:val="VerbatimChar"/>
        </w:rPr>
        <w:t xml:space="preserve">22 2018       2684   239828</w:t>
      </w:r>
      <w:r>
        <w:br/>
      </w:r>
      <w:r>
        <w:rPr>
          <w:rStyle w:val="VerbatimChar"/>
        </w:rPr>
        <w:t xml:space="preserve">23 2019       2409    56454</w:t>
      </w:r>
      <w:r>
        <w:br/>
      </w:r>
      <w:r>
        <w:rPr>
          <w:rStyle w:val="VerbatimChar"/>
        </w:rPr>
        <w:t xml:space="preserve">24 2020       4760    49046</w:t>
      </w:r>
      <w:r>
        <w:br/>
      </w:r>
      <w:r>
        <w:rPr>
          <w:rStyle w:val="VerbatimChar"/>
        </w:rPr>
        <w:t xml:space="preserve">25 2021       2162   240969</w:t>
      </w:r>
      <w:r>
        <w:br/>
      </w:r>
      <w:r>
        <w:rPr>
          <w:rStyle w:val="VerbatimChar"/>
        </w:rPr>
        <w:t xml:space="preserve">26 2022       2308   131198</w:t>
      </w:r>
      <w:r>
        <w:br/>
      </w:r>
      <w:r>
        <w:rPr>
          <w:rStyle w:val="VerbatimChar"/>
        </w:rPr>
        <w:t xml:space="preserve">27 2023       2555   158273</w:t>
      </w:r>
      <w:r>
        <w:br/>
      </w:r>
      <w:r>
        <w:rPr>
          <w:rStyle w:val="VerbatimChar"/>
        </w:rPr>
        <w:t xml:space="preserve">28 2024       1364    42384</w:t>
      </w:r>
      <w:r>
        <w:br/>
      </w:r>
      <w:r>
        <w:rPr>
          <w:rStyle w:val="VerbatimChar"/>
        </w:rPr>
        <w:t xml:space="preserve">29 2025        800     5673</w:t>
      </w:r>
    </w:p>
    <w:bookmarkEnd w:id="27"/>
    <w:bookmarkStart w:id="28" w:name="predictor-imagery-not-yet-touched"/>
    <w:p>
      <w:pPr>
        <w:pStyle w:val="Heading2"/>
      </w:pPr>
      <w:r>
        <w:t xml:space="preserve">Predictor imagery (not yet touched)</w:t>
      </w:r>
    </w:p>
    <w:p>
      <w:pPr>
        <w:pStyle w:val="FirstParagraph"/>
      </w:pPr>
      <w:r>
        <w:t xml:space="preserve">Sentinel-2 (2016 to present) and Landsat surface reflectance will be assembled in Google</w:t>
      </w:r>
      <w:r>
        <w:t xml:space="preserve"> </w:t>
      </w:r>
      <w:r>
        <w:t xml:space="preserve">Earth Engine at the analysis stage; the IFSAR 5 m DEM and the Macander conifer-fraction</w:t>
      </w:r>
      <w:r>
        <w:t xml:space="preserve"> </w:t>
      </w:r>
      <w:r>
        <w:t xml:space="preserve">map enter as covariates. None of these are loaded before pre-registration.</w:t>
      </w:r>
    </w:p>
    <w:bookmarkEnd w:id="28"/>
    <w:bookmarkEnd w:id="29"/>
    <w:bookmarkStart w:id="30" w:name="planned-methods"/>
    <w:p>
      <w:pPr>
        <w:pStyle w:val="Heading1"/>
      </w:pPr>
      <w:r>
        <w:t xml:space="preserve">Planned methods</w:t>
      </w:r>
    </w:p>
    <w:p>
      <w:pPr>
        <w:pStyle w:val="FirstParagraph"/>
      </w:pPr>
      <w:r>
        <w:t xml:space="preserve">The design document precedes this section and will be superseded by the</w:t>
      </w:r>
      <w:r>
        <w:t xml:space="preserve"> </w:t>
      </w:r>
      <w:r>
        <w:t xml:space="preserve">pre-registration; the chunks below are inert stubs that fix the intended shape of the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Labels.</w:t>
      </w:r>
      <w:r>
        <w:t xml:space="preserve"> </w:t>
      </w:r>
      <w:r>
        <w:t xml:space="preserve">Dead-spruce crowns digitised on the 2020 and 2023 Geoportal Maxar</w:t>
      </w:r>
      <w:r>
        <w:t xml:space="preserve"> </w:t>
      </w:r>
      <w:r>
        <w:t xml:space="preserve">mosaics over stratified sample blocks, pre-labelled with the released network of</w:t>
      </w:r>
      <w:r>
        <w:t xml:space="preserve"> </w:t>
      </w:r>
      <w:r>
        <w:t xml:space="preserve">Zwieback et al. (2024)</w:t>
      </w:r>
      <w:r>
        <w:t xml:space="preserve"> </w:t>
      </w:r>
      <w:r>
        <w:t xml:space="preserve">and hand-corrected, then aggregated to stand-cell severity fractions</w:t>
      </w:r>
      <w:r>
        <w:t xml:space="preserve"> </w:t>
      </w:r>
      <w:r>
        <w:t xml:space="preserve">at 90 m (primary) and 30 m (secondary).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Models.</w:t>
      </w:r>
      <w:r>
        <w:t xml:space="preserve"> </w:t>
      </w:r>
      <w:r>
        <w:t xml:space="preserve">A temporal deep learning model on Sentinel-2/Landsat subsequences</w:t>
      </w:r>
      <w:r>
        <w:t xml:space="preserve"> </w:t>
      </w:r>
      <w:r>
        <w:t xml:space="preserve">(TempCNN and Transformer, following</w:t>
      </w:r>
      <w:r>
        <w:t xml:space="preserve"> </w:t>
      </w:r>
      <w:r>
        <w:t xml:space="preserve">Perbet et al. (2024)</w:t>
      </w:r>
      <w:r>
        <w:t xml:space="preserve">) against a pre- to post-outbreak</w:t>
      </w:r>
      <w:r>
        <w:t xml:space="preserve"> </w:t>
      </w:r>
      <w:r>
        <w:t xml:space="preserve">SWIR reflectance change baseline (the null model, following</w:t>
      </w:r>
      <w:r>
        <w:t xml:space="preserve"> </w:t>
      </w:r>
      <w:r>
        <w:t xml:space="preserve">Zwieback et al. (2024)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Evaluation.</w:t>
      </w:r>
      <w:r>
        <w:t xml:space="preserve"> </w:t>
      </w:r>
      <w:r>
        <w:t xml:space="preserve">Block spatial cross-validation; user’s and producer’s accuracy and</w:t>
      </w:r>
      <w:r>
        <w:t xml:space="preserve"> </w:t>
      </w:r>
      <w:r>
        <w:t xml:space="preserve">severity regression error reported per severity stratum; the detectability floor is</w:t>
      </w:r>
      <w:r>
        <w:t xml:space="preserve"> </w:t>
      </w:r>
      <w:r>
        <w:t xml:space="preserve">the lowest stratum at which skill exceeds the pre-registered threshold. The</w:t>
      </w:r>
      <w:r>
        <w:t xml:space="preserve"> </w:t>
      </w:r>
      <w:r>
        <w:t xml:space="preserve">independent Zwieback severity raster validates in the TBL area.</w:t>
      </w:r>
    </w:p>
    <w:p>
      <w:pPr>
        <w:pStyle w:val="SourceCode"/>
      </w:pPr>
      <w:r>
        <w:rPr>
          <w:rStyle w:val="CommentTok"/>
        </w:rPr>
        <w:t xml:space="preserve"># Activated after pre-registration. Severity strata for skill-by-severity reporting.</w:t>
      </w:r>
      <w:r>
        <w:br/>
      </w:r>
      <w:r>
        <w:rPr>
          <w:rStyle w:val="NormalTok"/>
        </w:rPr>
        <w:t xml:space="preserve">strata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Activated after pre-registration. SWIR change baseline: pre (2014-2016) minus</w:t>
      </w:r>
      <w:r>
        <w:br/>
      </w:r>
      <w:r>
        <w:rPr>
          <w:rStyle w:val="CommentTok"/>
        </w:rPr>
        <w:t xml:space="preserve"># post (2019-2021) summer means per stand cell, per Zwieback et al. (2024).</w:t>
      </w:r>
    </w:p>
    <w:bookmarkEnd w:id="30"/>
    <w:bookmarkStart w:id="31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Gated: no results before pre-registration is complete.</w:t>
      </w:r>
    </w:p>
    <w:bookmarkEnd w:id="31"/>
    <w:bookmarkStart w:id="32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inputs are publicly retrievable; the download script, checksums and provenance</w:t>
      </w:r>
      <w:r>
        <w:t xml:space="preserve"> </w:t>
      </w:r>
      <w:r>
        <w:t xml:space="preserve">manifest are in the project repository. The Zwieback severity rasters carry no declared</w:t>
      </w:r>
      <w:r>
        <w:t xml:space="preserve"> </w:t>
      </w:r>
      <w:r>
        <w:t xml:space="preserve">licence and are used here for validation only pending clarification with the author.</w:t>
      </w:r>
    </w:p>
    <w:bookmarkEnd w:id="32"/>
    <w:bookmarkStart w:id="48" w:name="references"/>
    <w:p>
      <w:pPr>
        <w:pStyle w:val="Heading1"/>
      </w:pPr>
      <w:r>
        <w:t xml:space="preserve">References</w:t>
      </w:r>
    </w:p>
    <w:bookmarkStart w:id="47" w:name="refs"/>
    <w:bookmarkStart w:id="34" w:name="ref-Hicke_2024"/>
    <w:p>
      <w:pPr>
        <w:pStyle w:val="Bibliography"/>
      </w:pPr>
      <w:r>
        <w:t xml:space="preserve">Hicke, J. A., Bright, B. C., Hanavan, R. P., Hudak, A. T., Meddens, A. J. H., Shrestha, A., &amp; Stahl, A. T. (2024).</w:t>
      </w:r>
      <w:r>
        <w:t xml:space="preserve"> </w:t>
      </w:r>
      <w:r>
        <w:rPr>
          <w:i/>
          <w:iCs/>
        </w:rPr>
        <w:t xml:space="preserve">Remote sensing of forest insect and disease outbreaks in the western united states: Tree, stand, and landscape responses and technologies and methods for detection and attribution</w:t>
      </w:r>
      <w:r>
        <w:t xml:space="preserve">. U.S. Department of Agriculture, Forest Service, Rocky Mountain Research Station. Retrieved from</w:t>
      </w:r>
      <w:r>
        <w:t xml:space="preserve"> </w:t>
      </w:r>
      <w:hyperlink r:id="rId33">
        <w:r>
          <w:rPr>
            <w:rStyle w:val="Hyperlink"/>
          </w:rPr>
          <w:t xml:space="preserve">http://dx.doi.org/10.2737/RMRS-GTR-443</w:t>
        </w:r>
      </w:hyperlink>
    </w:p>
    <w:bookmarkEnd w:id="34"/>
    <w:bookmarkStart w:id="36" w:name="ref-Kautz_2024"/>
    <w:p>
      <w:pPr>
        <w:pStyle w:val="Bibliography"/>
      </w:pPr>
      <w:r>
        <w:t xml:space="preserve">Kautz, M., Feurer, J., &amp; Adler, P. (2024). Early detection of bark beetle (ips typographus) infestations by remote sensing – a critical review of recent research.</w:t>
      </w:r>
      <w:r>
        <w:t xml:space="preserve"> </w:t>
      </w:r>
      <w:r>
        <w:rPr>
          <w:i/>
          <w:iCs/>
        </w:rPr>
        <w:t xml:space="preserve">Forest Ecology and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556</w:t>
      </w:r>
      <w:r>
        <w:t xml:space="preserve">, 121595. Elsevier BV. Retrieved from</w:t>
      </w:r>
      <w:r>
        <w:t xml:space="preserve"> </w:t>
      </w:r>
      <w:hyperlink r:id="rId35">
        <w:r>
          <w:rPr>
            <w:rStyle w:val="Hyperlink"/>
          </w:rPr>
          <w:t xml:space="preserve">http://dx.doi.org/10.1016/j.foreco.2023.121595</w:t>
        </w:r>
      </w:hyperlink>
    </w:p>
    <w:bookmarkEnd w:id="36"/>
    <w:bookmarkStart w:id="38" w:name="ref-Khatri_Chhetri_2024"/>
    <w:p>
      <w:pPr>
        <w:pStyle w:val="Bibliography"/>
      </w:pPr>
      <w:r>
        <w:t xml:space="preserve">Khatri-Chhetri, P., Wagtendonk, L. van, Hendryx, S. M., &amp; Kane, V. R. (2024). Enhancing individual tree mortality mapping: The impact of models, data modalities, and classification taxonomy.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300</w:t>
      </w:r>
      <w:r>
        <w:t xml:space="preserve">, 113914. Elsevier BV. Retrieved from</w:t>
      </w:r>
      <w:r>
        <w:t xml:space="preserve"> </w:t>
      </w:r>
      <w:hyperlink r:id="rId37">
        <w:r>
          <w:rPr>
            <w:rStyle w:val="Hyperlink"/>
          </w:rPr>
          <w:t xml:space="preserve">http://dx.doi.org/10.1016/j.rse.2023.113914</w:t>
        </w:r>
      </w:hyperlink>
    </w:p>
    <w:bookmarkEnd w:id="38"/>
    <w:bookmarkStart w:id="40" w:name="ref-Pastick_2018"/>
    <w:p>
      <w:pPr>
        <w:pStyle w:val="Bibliography"/>
      </w:pPr>
      <w:r>
        <w:t xml:space="preserve">Pastick, N. J., Jorgenson, M. T., Goetz, S. J., Jones, B. M., Wylie, B. K., Minsley, B. J., Genet, H., et al. (2018). Spatiotemporal remote sensing of ecosystem change and causation across alaska.</w:t>
      </w:r>
      <w:r>
        <w:t xml:space="preserve"> </w:t>
      </w:r>
      <w:r>
        <w:rPr>
          <w:i/>
          <w:iCs/>
        </w:rPr>
        <w:t xml:space="preserve">Global Change Biology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(3), 1171–1189. Wiley. Retrieved from</w:t>
      </w:r>
      <w:r>
        <w:t xml:space="preserve"> </w:t>
      </w:r>
      <w:hyperlink r:id="rId39">
        <w:r>
          <w:rPr>
            <w:rStyle w:val="Hyperlink"/>
          </w:rPr>
          <w:t xml:space="preserve">http://dx.doi.org/10.1111/gcb.14279</w:t>
        </w:r>
      </w:hyperlink>
    </w:p>
    <w:bookmarkEnd w:id="40"/>
    <w:bookmarkStart w:id="42" w:name="ref-Perbet_2024"/>
    <w:p>
      <w:pPr>
        <w:pStyle w:val="Bibliography"/>
      </w:pPr>
      <w:r>
        <w:t xml:space="preserve">Perbet, P., Guindon, L., Côté, J.-F., &amp; Béland, M. (2024). Evaluating deep learning methods applied to landsat time series subsequences to detect and classify boreal forest disturbances events: The challenge of partial and progressive disturbances.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306</w:t>
      </w:r>
      <w:r>
        <w:t xml:space="preserve">, 114107. Elsevier BV. Retrieved from</w:t>
      </w:r>
      <w:r>
        <w:t xml:space="preserve"> </w:t>
      </w:r>
      <w:hyperlink r:id="rId41">
        <w:r>
          <w:rPr>
            <w:rStyle w:val="Hyperlink"/>
          </w:rPr>
          <w:t xml:space="preserve">http://dx.doi.org/10.1016/j.rse.2024.114107</w:t>
        </w:r>
      </w:hyperlink>
    </w:p>
    <w:bookmarkEnd w:id="42"/>
    <w:bookmarkStart w:id="44" w:name="ref-Zabihi_2021"/>
    <w:p>
      <w:pPr>
        <w:pStyle w:val="Bibliography"/>
      </w:pPr>
      <w:r>
        <w:t xml:space="preserve">Zabihi, K., Huettmann, F., &amp; Young, B. (2021). Predicting multi-species bark beetle (coleoptera: Curculionidae: Scolytinae) occurrence in alaska: First use of open access big data mining and open source GIS to provide robust inference and a role model for progress in forest conservation.</w:t>
      </w:r>
      <w:r>
        <w:t xml:space="preserve"> </w:t>
      </w:r>
      <w:r>
        <w:rPr>
          <w:i/>
          <w:iCs/>
        </w:rPr>
        <w:t xml:space="preserve">Biodiversity Informatics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(1), 1–19. The University of Kansas. Retrieved from</w:t>
      </w:r>
      <w:r>
        <w:t xml:space="preserve"> </w:t>
      </w:r>
      <w:hyperlink r:id="rId43">
        <w:r>
          <w:rPr>
            <w:rStyle w:val="Hyperlink"/>
          </w:rPr>
          <w:t xml:space="preserve">http://dx.doi.org/10.17161/bi.v16i1.14758</w:t>
        </w:r>
      </w:hyperlink>
    </w:p>
    <w:bookmarkEnd w:id="44"/>
    <w:bookmarkStart w:id="46" w:name="ref-Zwieback_2024"/>
    <w:p>
      <w:pPr>
        <w:pStyle w:val="Bibliography"/>
      </w:pPr>
      <w:r>
        <w:t xml:space="preserve">Zwieback, S., Young-Robertson, J., Robertson, M., Tian, Y., Chang, Q., Morris, M., White, J., et al. (2024). Low-severity spruce beetle infestation mapped from high-resolution satellite imagery with a convolutional network.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,</w:t>
      </w:r>
      <w:r>
        <w:t xml:space="preserve"> </w:t>
      </w:r>
      <w:r>
        <w:rPr>
          <w:i/>
          <w:iCs/>
        </w:rPr>
        <w:t xml:space="preserve">212</w:t>
      </w:r>
      <w:r>
        <w:t xml:space="preserve">, 412–421. Elsevier BV. Retrieved from</w:t>
      </w:r>
      <w:r>
        <w:t xml:space="preserve"> </w:t>
      </w:r>
      <w:hyperlink r:id="rId45">
        <w:r>
          <w:rPr>
            <w:rStyle w:val="Hyperlink"/>
          </w:rPr>
          <w:t xml:space="preserve">http://dx.doi.org/10.1016/j.isprsjprs.2024.05.013</w:t>
        </w:r>
      </w:hyperlink>
    </w:p>
    <w:bookmarkEnd w:id="46"/>
    <w:bookmarkEnd w:id="47"/>
    <w:bookmarkEnd w:id="48"/>
    <w:sectPr w:rsidR="00144330" w:rsidSect="00B13028">
      <w:footerReference r:id="rId10" w:type="default"/>
      <w:footerReference r:id="rId9" w:type="first"/>
      <w:pgSz w:h="15840" w:w="12240"/>
      <w:pgMar w:bottom="1440" w:footer="720" w:gutter="0" w:header="720" w:left="1440" w:right="1440" w:top="1440"/>
      <w:lnNumType w:countBy="1" w:restart="continuous"/>
      <w:pgNumType w:start="1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2845A1E-80C2-DD49-BFFE-5A041FC475F6}"/>
    <w:embedBold r:id="rId2" w:fontKey="{8EC1B0A3-5DFC-074E-AB26-8E0A4704184E}"/>
    <w:embedItalic r:id="rId3" w:fontKey="{026CE58A-4BD4-B949-94B0-64C5B3AAA710}"/>
    <w:embedBoldItalic r:id="rId4" w:fontKey="{ADA87FDB-A1E0-E142-B9A2-3987325F811F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56EB9350-1F45-B84F-946F-4DF334BB94AE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1FC2A76C-4A9B-1542-A3D9-FFE6F0963414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7" w:fontKey="{C094118A-930F-554C-80B1-F9B558A00D9B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C54FCEC9-FBF0-F74F-91D1-6AF142B4075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9" w:fontKey="{EB26E98C-5D9D-A04F-B3A9-B627D6424F53}"/>
    <w:embedBold r:id="rId10" w:fontKey="{83ECF4B3-B9A2-FF43-ABA3-BE7A7B098443}"/>
    <w:embedItalic r:id="rId11" w:fontKey="{E93B3AE5-7D37-794D-A402-91482DB6F1B0}"/>
    <w:embedBoldItalic r:id="rId12" w:fontKey="{4248FB19-4F84-1145-B56E-911A9D97B57A}"/>
  </w:font>
  <w:font w:name="Play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5" w:fontKey="{59A46FFC-15EA-0F41-BFEE-C63762DA7985}"/>
    <w:embedBold r:id="rId16" w:fontKey="{D13F686D-F4D4-A24B-A6BF-C4EF12220186}"/>
    <w:embedItalic r:id="rId17" w:fontKey="{9001C5E8-90F0-3947-A2F2-41118C1AB2E3}"/>
    <w:embedBoldItalic r:id="rId18" w:fontKey="{12E45CD3-0ED3-8948-A448-269FFAE2C338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9" w:fontKey="{AEDF951E-CFF6-0044-80FB-4AAABF7D7E49}"/>
    <w:embedBold r:id="rId20" w:fontKey="{8B1DE7EC-3E49-A742-9B06-B546A6DA4B0D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1" w:fontKey="{01E7991A-1DED-FC43-BADC-D5F66C34F32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BF21" w14:textId="6D7FB1A0" w:rsidR="000B55EB" w:rsidRDefault="00000000" w:rsidP="00D648AE">
    <w:r>
      <w:fldChar w:fldCharType="begin"/>
    </w:r>
    <w:r>
      <w:instrText>PAGE</w:instrText>
    </w:r>
    <w:r>
      <w:fldChar w:fldCharType="separate"/>
    </w:r>
    <w:r w:rsidR="00B0410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B4B435" w14:textId="77777777" w:rsidR="000B55EB" w:rsidRDefault="000B55EB" w:rsidP="00D648AE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536786"/>
    <w:multiLevelType w:val="multilevel"/>
    <w:tmpl w:val="81A64DD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">
    <w:nsid w:val="036851CF"/>
    <w:multiLevelType w:val="hybridMultilevel"/>
    <w:tmpl w:val="AF2A710C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">
    <w:nsid w:val="171A0667"/>
    <w:multiLevelType w:val="hybridMultilevel"/>
    <w:tmpl w:val="AB988C6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744454D"/>
    <w:multiLevelType w:val="multilevel"/>
    <w:tmpl w:val="BEA2E0AA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4">
    <w:nsid w:val="1D5040A3"/>
    <w:multiLevelType w:val="multilevel"/>
    <w:tmpl w:val="E8DC0374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5">
    <w:nsid w:val="29EA41D8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7802DA"/>
    <w:multiLevelType w:val="multilevel"/>
    <w:tmpl w:val="0CC420B2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7">
    <w:nsid w:val="2E5524F5"/>
    <w:multiLevelType w:val="multilevel"/>
    <w:tmpl w:val="244E3E70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8">
    <w:nsid w:val="30FC0002"/>
    <w:multiLevelType w:val="hybridMultilevel"/>
    <w:tmpl w:val="007AAE82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9">
    <w:nsid w:val="44E96C8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485A5F5D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1">
    <w:nsid w:val="49127D73"/>
    <w:multiLevelType w:val="multilevel"/>
    <w:tmpl w:val="1736CE22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720" w:left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2">
    <w:nsid w:val="4D0460AB"/>
    <w:multiLevelType w:val="multilevel"/>
    <w:tmpl w:val="8638B9EE"/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15:restartNumberingAfterBreak="0" w:abstractNumId="13">
    <w:nsid w:val="5583452F"/>
    <w:multiLevelType w:val="hybridMultilevel"/>
    <w:tmpl w:val="099ABA20"/>
    <w:lvl w:ilvl="0" w:tplc="AF0AA18C">
      <w:start w:val="1"/>
      <w:numFmt w:val="decimal"/>
      <w:lvlText w:val="%1."/>
      <w:lvlJc w:val="left"/>
      <w:pPr>
        <w:ind w:hanging="360" w:left="420"/>
      </w:pPr>
      <w:rPr>
        <w:rFonts w:ascii="Times New Roman" w:cs="Times New Roman" w:hAnsi="Times New Roman"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140"/>
      </w:pPr>
    </w:lvl>
    <w:lvl w:ilvl="2" w:tentative="1" w:tplc="0409001B">
      <w:start w:val="1"/>
      <w:numFmt w:val="lowerRoman"/>
      <w:lvlText w:val="%3."/>
      <w:lvlJc w:val="right"/>
      <w:pPr>
        <w:ind w:hanging="180" w:left="1860"/>
      </w:pPr>
    </w:lvl>
    <w:lvl w:ilvl="3" w:tentative="1" w:tplc="0409000F">
      <w:start w:val="1"/>
      <w:numFmt w:val="decimal"/>
      <w:lvlText w:val="%4."/>
      <w:lvlJc w:val="left"/>
      <w:pPr>
        <w:ind w:hanging="360" w:left="2580"/>
      </w:pPr>
    </w:lvl>
    <w:lvl w:ilvl="4" w:tentative="1" w:tplc="04090019">
      <w:start w:val="1"/>
      <w:numFmt w:val="lowerLetter"/>
      <w:lvlText w:val="%5."/>
      <w:lvlJc w:val="left"/>
      <w:pPr>
        <w:ind w:hanging="360" w:left="3300"/>
      </w:pPr>
    </w:lvl>
    <w:lvl w:ilvl="5" w:tentative="1" w:tplc="0409001B">
      <w:start w:val="1"/>
      <w:numFmt w:val="lowerRoman"/>
      <w:lvlText w:val="%6."/>
      <w:lvlJc w:val="right"/>
      <w:pPr>
        <w:ind w:hanging="180" w:left="4020"/>
      </w:pPr>
    </w:lvl>
    <w:lvl w:ilvl="6" w:tentative="1" w:tplc="0409000F">
      <w:start w:val="1"/>
      <w:numFmt w:val="decimal"/>
      <w:lvlText w:val="%7."/>
      <w:lvlJc w:val="left"/>
      <w:pPr>
        <w:ind w:hanging="360" w:left="4740"/>
      </w:pPr>
    </w:lvl>
    <w:lvl w:ilvl="7" w:tentative="1" w:tplc="04090019">
      <w:start w:val="1"/>
      <w:numFmt w:val="lowerLetter"/>
      <w:lvlText w:val="%8."/>
      <w:lvlJc w:val="left"/>
      <w:pPr>
        <w:ind w:hanging="360" w:left="5460"/>
      </w:pPr>
    </w:lvl>
    <w:lvl w:ilvl="8" w:tentative="1" w:tplc="0409001B">
      <w:start w:val="1"/>
      <w:numFmt w:val="lowerRoman"/>
      <w:lvlText w:val="%9."/>
      <w:lvlJc w:val="right"/>
      <w:pPr>
        <w:ind w:hanging="180" w:left="6180"/>
      </w:pPr>
    </w:lvl>
  </w:abstractNum>
  <w:abstractNum w15:restartNumberingAfterBreak="0" w:abstractNumId="14">
    <w:nsid w:val="56942631"/>
    <w:multiLevelType w:val="multilevel"/>
    <w:tmpl w:val="D4041BCE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15">
    <w:nsid w:val="59CB1727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5AF76DFB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CAE3D11"/>
    <w:multiLevelType w:val="multilevel"/>
    <w:tmpl w:val="D038AA8E"/>
    <w:lvl w:ilvl="0">
      <w:start w:val="1"/>
      <w:numFmt w:val="decimal"/>
      <w:lvlText w:val="%1."/>
      <w:lvlJc w:val="left"/>
      <w:pPr>
        <w:ind w:hanging="360" w:left="720"/>
      </w:pPr>
      <w:rPr>
        <w:rFonts w:ascii="Ubuntu" w:cs="Ubuntu" w:eastAsia="Ubuntu" w:hAnsi="Ubuntu"/>
        <w:color w:val="46536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15:restartNumberingAfterBreak="0" w:abstractNumId="18">
    <w:nsid w:val="613D3456"/>
    <w:multiLevelType w:val="hybridMultilevel"/>
    <w:tmpl w:val="0E88C840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9">
    <w:nsid w:val="63F157A6"/>
    <w:multiLevelType w:val="multilevel"/>
    <w:tmpl w:val="90C4552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66CD1B99"/>
    <w:multiLevelType w:val="multilevel"/>
    <w:tmpl w:val="D2DCC01C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15:restartNumberingAfterBreak="0" w:abstractNumId="21">
    <w:nsid w:val="6A0B63B6"/>
    <w:multiLevelType w:val="multilevel"/>
    <w:tmpl w:val="267245E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718F48A8"/>
    <w:multiLevelType w:val="hybridMultilevel"/>
    <w:tmpl w:val="F718D7FE"/>
    <w:lvl w:ilvl="0" w:tplc="70E0DDFE">
      <w:start w:val="1"/>
      <w:numFmt w:val="bullet"/>
      <w:lvlText w:val="-"/>
      <w:lvlJc w:val="left"/>
      <w:pPr>
        <w:ind w:hanging="360" w:left="720"/>
      </w:pPr>
      <w:rPr>
        <w:rFonts w:ascii="Arial" w:cs="Arial" w:eastAsia="Times New Roman" w:hAnsi="Aria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3FC48F6"/>
    <w:multiLevelType w:val="multilevel"/>
    <w:tmpl w:val="7C6CC4B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4">
    <w:nsid w:val="7D980FE5"/>
    <w:multiLevelType w:val="multilevel"/>
    <w:tmpl w:val="EDDA6E46"/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5760883" w:numId="1">
    <w:abstractNumId w:val="12"/>
  </w:num>
  <w:num w16cid:durableId="1229654886" w:numId="2">
    <w:abstractNumId w:val="4"/>
  </w:num>
  <w:num w16cid:durableId="1780876995" w:numId="3">
    <w:abstractNumId w:val="14"/>
  </w:num>
  <w:num w16cid:durableId="974025194" w:numId="4">
    <w:abstractNumId w:val="20"/>
  </w:num>
  <w:num w16cid:durableId="559169265" w:numId="5">
    <w:abstractNumId w:val="3"/>
  </w:num>
  <w:num w16cid:durableId="749277374" w:numId="6">
    <w:abstractNumId w:val="6"/>
  </w:num>
  <w:num w16cid:durableId="1982688459" w:numId="7">
    <w:abstractNumId w:val="17"/>
  </w:num>
  <w:num w16cid:durableId="777025906" w:numId="8">
    <w:abstractNumId w:val="7"/>
  </w:num>
  <w:num w16cid:durableId="1683047266" w:numId="9">
    <w:abstractNumId w:val="24"/>
  </w:num>
  <w:num w16cid:durableId="1989626730" w:numId="10">
    <w:abstractNumId w:val="0"/>
  </w:num>
  <w:num w16cid:durableId="1157310178" w:numId="11">
    <w:abstractNumId w:val="13"/>
  </w:num>
  <w:num w16cid:durableId="2135756243" w:numId="12">
    <w:abstractNumId w:val="11"/>
  </w:num>
  <w:num w16cid:durableId="1483307824" w:numId="13">
    <w:abstractNumId w:val="22"/>
  </w:num>
  <w:num w16cid:durableId="666329526" w:numId="14">
    <w:abstractNumId w:val="1"/>
  </w:num>
  <w:num w16cid:durableId="361440534" w:numId="15">
    <w:abstractNumId w:val="16"/>
  </w:num>
  <w:num w16cid:durableId="760414313" w:numId="16">
    <w:abstractNumId w:val="19"/>
  </w:num>
  <w:num w16cid:durableId="2113938833" w:numId="17">
    <w:abstractNumId w:val="15"/>
  </w:num>
  <w:num w16cid:durableId="196820457" w:numId="18">
    <w:abstractNumId w:val="9"/>
  </w:num>
  <w:num w16cid:durableId="1028726134" w:numId="19">
    <w:abstractNumId w:val="18"/>
  </w:num>
  <w:num w16cid:durableId="192043067" w:numId="20">
    <w:abstractNumId w:val="5"/>
  </w:num>
  <w:num w16cid:durableId="910313393" w:numId="21">
    <w:abstractNumId w:val="2"/>
  </w:num>
  <w:num w16cid:durableId="329673323" w:numId="22">
    <w:abstractNumId w:val="10"/>
  </w:num>
  <w:num w16cid:durableId="569272857" w:numId="23">
    <w:abstractNumId w:val="8"/>
  </w:num>
  <w:num w16cid:durableId="1467820160" w:numId="24">
    <w:abstractNumId w:val="23"/>
  </w:num>
  <w:num w16cid:durableId="1134904917" w:numId="25">
    <w:abstractNumId w:val="2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4"/>
  <w:embedTrueTypeFonts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EB"/>
    <w:rsid w:val="000306B5"/>
    <w:rsid w:val="00053DFE"/>
    <w:rsid w:val="000A49A2"/>
    <w:rsid w:val="000B1FAD"/>
    <w:rsid w:val="000B55EB"/>
    <w:rsid w:val="000C794D"/>
    <w:rsid w:val="000D594F"/>
    <w:rsid w:val="000E1293"/>
    <w:rsid w:val="000E3232"/>
    <w:rsid w:val="000E5E44"/>
    <w:rsid w:val="000F4CBD"/>
    <w:rsid w:val="0011546F"/>
    <w:rsid w:val="001158BA"/>
    <w:rsid w:val="00144330"/>
    <w:rsid w:val="0015101F"/>
    <w:rsid w:val="001C0F05"/>
    <w:rsid w:val="001C3062"/>
    <w:rsid w:val="001C4B27"/>
    <w:rsid w:val="001E25AB"/>
    <w:rsid w:val="001E794E"/>
    <w:rsid w:val="00201ADC"/>
    <w:rsid w:val="00203233"/>
    <w:rsid w:val="00217880"/>
    <w:rsid w:val="00231BCB"/>
    <w:rsid w:val="0023705F"/>
    <w:rsid w:val="00242606"/>
    <w:rsid w:val="002442B9"/>
    <w:rsid w:val="0029044E"/>
    <w:rsid w:val="00292A06"/>
    <w:rsid w:val="002D7B74"/>
    <w:rsid w:val="003216E7"/>
    <w:rsid w:val="00341564"/>
    <w:rsid w:val="00344F3C"/>
    <w:rsid w:val="003532A2"/>
    <w:rsid w:val="0035418C"/>
    <w:rsid w:val="003675D9"/>
    <w:rsid w:val="00371E39"/>
    <w:rsid w:val="003B69D9"/>
    <w:rsid w:val="003D4BC8"/>
    <w:rsid w:val="003E6821"/>
    <w:rsid w:val="00405520"/>
    <w:rsid w:val="00406AB7"/>
    <w:rsid w:val="00430EE7"/>
    <w:rsid w:val="00436042"/>
    <w:rsid w:val="00450DA6"/>
    <w:rsid w:val="004549F2"/>
    <w:rsid w:val="00485F53"/>
    <w:rsid w:val="004905DB"/>
    <w:rsid w:val="00496DE6"/>
    <w:rsid w:val="004A28CE"/>
    <w:rsid w:val="004B658B"/>
    <w:rsid w:val="004C06D3"/>
    <w:rsid w:val="004D6A4E"/>
    <w:rsid w:val="004E0519"/>
    <w:rsid w:val="00507E9D"/>
    <w:rsid w:val="00521651"/>
    <w:rsid w:val="00530478"/>
    <w:rsid w:val="00561AB7"/>
    <w:rsid w:val="005711B7"/>
    <w:rsid w:val="005B0C1C"/>
    <w:rsid w:val="005B756B"/>
    <w:rsid w:val="005C5B96"/>
    <w:rsid w:val="005D34B2"/>
    <w:rsid w:val="005D7AAD"/>
    <w:rsid w:val="00640111"/>
    <w:rsid w:val="0064282A"/>
    <w:rsid w:val="00687C9F"/>
    <w:rsid w:val="00696889"/>
    <w:rsid w:val="006A4B09"/>
    <w:rsid w:val="006A6B8D"/>
    <w:rsid w:val="006A772F"/>
    <w:rsid w:val="006B1B94"/>
    <w:rsid w:val="006D03B6"/>
    <w:rsid w:val="006D2FFB"/>
    <w:rsid w:val="006E156A"/>
    <w:rsid w:val="006F3680"/>
    <w:rsid w:val="00701179"/>
    <w:rsid w:val="00704838"/>
    <w:rsid w:val="00704B8F"/>
    <w:rsid w:val="00711FAD"/>
    <w:rsid w:val="0071720C"/>
    <w:rsid w:val="00720328"/>
    <w:rsid w:val="00736B8E"/>
    <w:rsid w:val="00763A02"/>
    <w:rsid w:val="007863D3"/>
    <w:rsid w:val="00797A48"/>
    <w:rsid w:val="007E30C0"/>
    <w:rsid w:val="007F2E96"/>
    <w:rsid w:val="008167AF"/>
    <w:rsid w:val="00834CE1"/>
    <w:rsid w:val="00877D01"/>
    <w:rsid w:val="00877DF4"/>
    <w:rsid w:val="008B5DE4"/>
    <w:rsid w:val="008C5EC5"/>
    <w:rsid w:val="008D69EB"/>
    <w:rsid w:val="008E56ED"/>
    <w:rsid w:val="008F7A7E"/>
    <w:rsid w:val="00914584"/>
    <w:rsid w:val="009148E4"/>
    <w:rsid w:val="00942DA6"/>
    <w:rsid w:val="009442CE"/>
    <w:rsid w:val="0095148B"/>
    <w:rsid w:val="009571F8"/>
    <w:rsid w:val="0096550C"/>
    <w:rsid w:val="00967820"/>
    <w:rsid w:val="00967867"/>
    <w:rsid w:val="00996049"/>
    <w:rsid w:val="009B3B20"/>
    <w:rsid w:val="009C2A23"/>
    <w:rsid w:val="009C7401"/>
    <w:rsid w:val="00A022FE"/>
    <w:rsid w:val="00A06140"/>
    <w:rsid w:val="00A32FF7"/>
    <w:rsid w:val="00A4105A"/>
    <w:rsid w:val="00A52831"/>
    <w:rsid w:val="00A544C0"/>
    <w:rsid w:val="00A65F91"/>
    <w:rsid w:val="00A856B1"/>
    <w:rsid w:val="00A90027"/>
    <w:rsid w:val="00AA0BEB"/>
    <w:rsid w:val="00AD6A50"/>
    <w:rsid w:val="00AE1B7C"/>
    <w:rsid w:val="00AE32F6"/>
    <w:rsid w:val="00AE4A30"/>
    <w:rsid w:val="00B0410B"/>
    <w:rsid w:val="00B13028"/>
    <w:rsid w:val="00B210DB"/>
    <w:rsid w:val="00B216AA"/>
    <w:rsid w:val="00B40CC0"/>
    <w:rsid w:val="00B569FF"/>
    <w:rsid w:val="00BD1EA8"/>
    <w:rsid w:val="00C25662"/>
    <w:rsid w:val="00C639D2"/>
    <w:rsid w:val="00C73C02"/>
    <w:rsid w:val="00C914B4"/>
    <w:rsid w:val="00CA0A60"/>
    <w:rsid w:val="00CB42C7"/>
    <w:rsid w:val="00D009B1"/>
    <w:rsid w:val="00D14A85"/>
    <w:rsid w:val="00D61E09"/>
    <w:rsid w:val="00D63120"/>
    <w:rsid w:val="00D648AE"/>
    <w:rsid w:val="00D84195"/>
    <w:rsid w:val="00D931AC"/>
    <w:rsid w:val="00DB25A4"/>
    <w:rsid w:val="00DD30A5"/>
    <w:rsid w:val="00DD73A2"/>
    <w:rsid w:val="00DE287C"/>
    <w:rsid w:val="00DE56D6"/>
    <w:rsid w:val="00DE7A55"/>
    <w:rsid w:val="00E1614C"/>
    <w:rsid w:val="00E22B89"/>
    <w:rsid w:val="00E4631A"/>
    <w:rsid w:val="00E471B5"/>
    <w:rsid w:val="00E53096"/>
    <w:rsid w:val="00E708C2"/>
    <w:rsid w:val="00E879FF"/>
    <w:rsid w:val="00E92FF7"/>
    <w:rsid w:val="00EB5B8D"/>
    <w:rsid w:val="00F023F5"/>
    <w:rsid w:val="00F06AE3"/>
    <w:rsid w:val="00F136A6"/>
    <w:rsid w:val="00F239CB"/>
    <w:rsid w:val="00F271E3"/>
    <w:rsid w:val="00F522CE"/>
    <w:rsid w:val="00FD0CA0"/>
    <w:rsid w:val="00FD5249"/>
    <w:rsid w:val="00FE15DB"/>
    <w:rsid w:val="00FE1AE2"/>
    <w:rsid w:val="00FE608E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sz w:val="22"/>
        <w:szCs w:val="22"/>
        <w:lang w:bidi="ar-SA" w:eastAsia="en-US" w:val="en"/>
      </w:rPr>
    </w:rPrDefault>
    <w:pPrDefault>
      <w:pPr>
        <w:spacing w:after="180" w:before="180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648AE"/>
    <w:rPr>
      <w:rFonts w:ascii="Arial" w:cs="Arial" w:hAnsi="Ari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42606"/>
    <w:pPr>
      <w:keepNext/>
      <w:keepLines/>
      <w:spacing w:after="80" w:before="360"/>
      <w:outlineLvl w:val="0"/>
    </w:pPr>
    <w:rPr>
      <w:rFonts w:ascii="Play" w:cs="Play" w:eastAsia="Play" w:hAnsi="Play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42606"/>
    <w:pPr>
      <w:keepNext/>
      <w:keepLines/>
      <w:spacing w:after="80" w:before="160"/>
      <w:outlineLvl w:val="1"/>
    </w:pPr>
    <w:rPr>
      <w:b/>
      <w:color w:themeColor="text1" w:val="000000"/>
      <w:sz w:val="26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42606"/>
    <w:pPr>
      <w:keepNext/>
      <w:keepLines/>
      <w:spacing w:after="80" w:before="160"/>
      <w:outlineLvl w:val="2"/>
    </w:pPr>
    <w:rPr>
      <w:b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120" w:before="80"/>
      <w:outlineLvl w:val="3"/>
    </w:pPr>
    <w:rPr>
      <w:i/>
      <w:color w:val="0F4761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40" w:before="80"/>
      <w:outlineLvl w:val="4"/>
    </w:pPr>
    <w:rPr>
      <w:color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pPr>
      <w:keepNext/>
      <w:keepLines/>
      <w:spacing w:after="0" w:before="40"/>
      <w:jc w:val="center"/>
      <w:outlineLvl w:val="5"/>
    </w:pPr>
    <w:rPr>
      <w:i/>
      <w:color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link w:val="TitleChar"/>
    <w:uiPriority w:val="10"/>
    <w:qFormat/>
    <w:rsid w:val="00242606"/>
    <w:pPr>
      <w:spacing w:after="80"/>
      <w:jc w:val="center"/>
    </w:pPr>
    <w:rPr>
      <w:rFonts w:cs="Play" w:eastAsia="Play"/>
      <w:b/>
      <w:sz w:val="28"/>
      <w:szCs w:val="56"/>
    </w:rPr>
  </w:style>
  <w:style w:styleId="BodyText" w:type="paragraph">
    <w:name w:val="Body Text"/>
    <w:basedOn w:val="Normal"/>
    <w:qFormat/>
    <w:rsid w:val="00242606"/>
    <w:pPr>
      <w:spacing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DE287C"/>
    <w:pPr>
      <w:spacing w:after="36" w:before="36"/>
    </w:pPr>
    <w:rPr>
      <w:sz w:val="18"/>
    </w:rPr>
  </w:style>
  <w:style w:customStyle="1" w:styleId="TitleChar" w:type="character">
    <w:name w:val="Title Char"/>
    <w:basedOn w:val="DefaultParagraphFont"/>
    <w:link w:val="Title"/>
    <w:uiPriority w:val="10"/>
    <w:rsid w:val="00242606"/>
    <w:rPr>
      <w:rFonts w:ascii="Arial" w:cs="Play" w:eastAsia="Play" w:hAnsi="Arial"/>
      <w:b/>
      <w:sz w:val="2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rsid w:val="00834CE1"/>
    <w:pPr>
      <w:keepNext/>
      <w:keepLines/>
      <w:jc w:val="left"/>
    </w:pPr>
    <w:rPr>
      <w:rFonts w:ascii="Arial" w:cs="Arial" w:hAnsi="Arial"/>
      <w:sz w:val="21"/>
      <w:szCs w:val="21"/>
    </w:rPr>
  </w:style>
  <w:style w:styleId="Date" w:type="paragraph">
    <w:name w:val="Date"/>
    <w:basedOn w:val="BodyText"/>
    <w:next w:val="BodyText"/>
    <w:qFormat/>
    <w:rsid w:val="00203233"/>
    <w:pPr>
      <w:jc w:val="left"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rsid w:val="005D7AAD"/>
    <w:pPr>
      <w:keepNext/>
      <w:keepLines/>
      <w:spacing w:after="0" w:before="0" w:line="360" w:lineRule="auto"/>
      <w:jc w:val="left"/>
    </w:pPr>
    <w:rPr>
      <w:i/>
      <w:sz w:val="21"/>
      <w:szCs w:val="20"/>
    </w:rPr>
  </w:style>
  <w:style w:customStyle="1" w:styleId="Abstract" w:type="paragraph">
    <w:name w:val="Abstract"/>
    <w:basedOn w:val="Normal"/>
    <w:next w:val="BodyText"/>
    <w:qFormat/>
    <w:rsid w:val="00701179"/>
    <w:pPr>
      <w:keepNext/>
      <w:keepLines/>
      <w:spacing w:after="300" w:before="100" w:line="360" w:lineRule="auto"/>
    </w:pPr>
    <w:rPr>
      <w:sz w:val="20"/>
      <w:szCs w:val="20"/>
    </w:rPr>
  </w:style>
  <w:style w:styleId="Bibliography" w:type="paragraph">
    <w:name w:val="Bibliography"/>
    <w:basedOn w:val="Normal"/>
    <w:qFormat/>
    <w:rsid w:val="00242606"/>
  </w:style>
  <w:style w:customStyle="1" w:styleId="Heading1Char" w:type="character">
    <w:name w:val="Heading 1 Char"/>
    <w:basedOn w:val="DefaultParagraphFont"/>
    <w:link w:val="Heading1"/>
    <w:uiPriority w:val="9"/>
    <w:rsid w:val="00242606"/>
    <w:rPr>
      <w:rFonts w:ascii="Play" w:cs="Play" w:eastAsia="Play" w:hAnsi="Play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42606"/>
    <w:rPr>
      <w:rFonts w:ascii="Arial" w:hAnsi="Arial"/>
      <w:b/>
      <w:color w:themeColor="text1" w:val="000000"/>
      <w:sz w:val="26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242606"/>
    <w:rPr>
      <w:rFonts w:ascii="Arial" w:hAnsi="Arial"/>
      <w:b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AbstractTitle"/>
    <w:link w:val="CaptionChar"/>
    <w:rsid w:val="00436042"/>
    <w:pPr>
      <w:spacing w:line="240" w:lineRule="auto"/>
    </w:p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AbstractTitle"/>
    <w:rsid w:val="00436042"/>
    <w:pPr>
      <w:spacing w:line="240" w:lineRule="auto"/>
    </w:pPr>
  </w:style>
  <w:style w:customStyle="1" w:styleId="Figure" w:type="paragraph">
    <w:name w:val="Figure"/>
    <w:basedOn w:val="Normal"/>
    <w:rsid w:val="00242606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436042"/>
    <w:rPr>
      <w:rFonts w:ascii="Arial" w:cs="Arial" w:hAnsi="Arial"/>
      <w:i/>
      <w:sz w:val="21"/>
      <w:szCs w:val="20"/>
    </w:rPr>
  </w:style>
  <w:style w:customStyle="1" w:styleId="VerbatimChar" w:type="character">
    <w:name w:val="Verbatim Char"/>
    <w:basedOn w:val="CaptionChar"/>
    <w:link w:val="SourceCode"/>
    <w:rPr>
      <w:rFonts w:ascii="Consolas" w:cs="Arial" w:hAnsi="Consolas"/>
      <w:i/>
      <w:sz w:val="16"/>
      <w:szCs w:val="16"/>
    </w:rPr>
  </w:style>
  <w:style w:customStyle="1" w:styleId="SectionNumber" w:type="character">
    <w:name w:val="Section Number"/>
    <w:basedOn w:val="CaptionChar"/>
    <w:rPr>
      <w:rFonts w:ascii="Arial" w:cs="Arial" w:hAnsi="Arial"/>
      <w:i/>
      <w:sz w:val="21"/>
      <w:szCs w:val="20"/>
    </w:rPr>
  </w:style>
  <w:style w:styleId="FootnoteReference" w:type="character">
    <w:name w:val="footnote reference"/>
    <w:basedOn w:val="CaptionChar"/>
    <w:rsid w:val="00242606"/>
    <w:rPr>
      <w:rFonts w:ascii="Arial" w:cs="Arial" w:hAnsi="Arial"/>
      <w:i/>
      <w:sz w:val="21"/>
      <w:szCs w:val="20"/>
      <w:vertAlign w:val="superscript"/>
    </w:rPr>
  </w:style>
  <w:style w:styleId="Hyperlink" w:type="character">
    <w:name w:val="Hyperlink"/>
    <w:basedOn w:val="CaptionChar"/>
    <w:uiPriority w:val="99"/>
    <w:rPr>
      <w:rFonts w:ascii="Arial" w:cs="Arial" w:hAnsi="Arial"/>
      <w:i/>
      <w:color w:themeColor="accent1" w:val="156082"/>
      <w:sz w:val="21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  <w:jc w:val="left"/>
    </w:pPr>
    <w:rPr>
      <w:sz w:val="16"/>
      <w:szCs w:val="16"/>
    </w:rPr>
  </w:style>
  <w:style w:customStyle="1" w:styleId="KeywordTok" w:type="character">
    <w:name w:val="KeywordTok"/>
    <w:basedOn w:val="VerbatimChar"/>
    <w:rPr>
      <w:rFonts w:ascii="Consolas" w:cs="Arial" w:hAnsi="Consolas"/>
      <w:b/>
      <w:i/>
      <w:color w:val="204A87"/>
      <w:sz w:val="16"/>
      <w:szCs w:val="16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cs="Arial" w:hAnsi="Consolas"/>
      <w:i/>
      <w:color w:val="204A87"/>
      <w:sz w:val="16"/>
      <w:szCs w:val="16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cs="Arial" w:hAnsi="Consolas"/>
      <w:i/>
      <w:color w:val="0000CF"/>
      <w:sz w:val="16"/>
      <w:szCs w:val="16"/>
      <w:shd w:color="auto" w:fill="F8F8F8" w:val="clear"/>
    </w:rPr>
  </w:style>
  <w:style w:customStyle="1" w:styleId="BaseNTok" w:type="character">
    <w:name w:val="BaseNTok"/>
    <w:basedOn w:val="VerbatimChar"/>
    <w:rPr>
      <w:rFonts w:ascii="Consolas" w:cs="Arial" w:hAnsi="Consolas"/>
      <w:i/>
      <w:color w:val="0000CF"/>
      <w:sz w:val="16"/>
      <w:szCs w:val="16"/>
      <w:shd w:color="auto" w:fill="F8F8F8" w:val="clear"/>
    </w:rPr>
  </w:style>
  <w:style w:customStyle="1" w:styleId="FloatTok" w:type="character">
    <w:name w:val="FloatTok"/>
    <w:basedOn w:val="VerbatimChar"/>
    <w:rPr>
      <w:rFonts w:ascii="Consolas" w:cs="Arial" w:hAnsi="Consolas"/>
      <w:i/>
      <w:color w:val="0000CF"/>
      <w:sz w:val="16"/>
      <w:szCs w:val="16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cs="Arial" w:hAnsi="Consolas"/>
      <w:i/>
      <w:color w:val="8F5902"/>
      <w:sz w:val="16"/>
      <w:szCs w:val="16"/>
      <w:shd w:color="auto" w:fill="F8F8F8" w:val="clear"/>
    </w:rPr>
  </w:style>
  <w:style w:customStyle="1" w:styleId="CharTok" w:type="character">
    <w:name w:val="CharTok"/>
    <w:basedOn w:val="VerbatimChar"/>
    <w:rPr>
      <w:rFonts w:ascii="Consolas" w:cs="Arial" w:hAnsi="Consolas"/>
      <w:i/>
      <w:color w:val="4E9A06"/>
      <w:sz w:val="16"/>
      <w:szCs w:val="16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cs="Arial" w:hAnsi="Consolas"/>
      <w:b/>
      <w:i/>
      <w:color w:val="CE5C00"/>
      <w:sz w:val="16"/>
      <w:szCs w:val="16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cs="Arial" w:hAnsi="Consolas"/>
      <w:i/>
      <w:color w:val="4E9A06"/>
      <w:sz w:val="16"/>
      <w:szCs w:val="16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cs="Arial" w:hAnsi="Consolas"/>
      <w:i/>
      <w:color w:val="4E9A06"/>
      <w:sz w:val="16"/>
      <w:szCs w:val="16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cs="Arial" w:hAnsi="Consolas"/>
      <w:i/>
      <w:color w:val="4E9A06"/>
      <w:sz w:val="16"/>
      <w:szCs w:val="16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cs="Arial" w:hAnsi="Consolas"/>
      <w:i/>
      <w:sz w:val="16"/>
      <w:szCs w:val="16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cs="Arial" w:hAnsi="Consolas"/>
      <w:i w:val="0"/>
      <w:color w:val="8F5902"/>
      <w:sz w:val="16"/>
      <w:szCs w:val="16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cs="Arial" w:hAnsi="Consolas"/>
      <w:b/>
      <w:i w:val="0"/>
      <w:color w:val="8F5902"/>
      <w:sz w:val="16"/>
      <w:szCs w:val="16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cs="Arial" w:hAnsi="Consolas"/>
      <w:b/>
      <w:i w:val="0"/>
      <w:color w:val="8F5902"/>
      <w:sz w:val="16"/>
      <w:szCs w:val="16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cs="Arial" w:hAnsi="Consolas"/>
      <w:b/>
      <w:i w:val="0"/>
      <w:color w:val="8F5902"/>
      <w:sz w:val="16"/>
      <w:szCs w:val="16"/>
      <w:shd w:color="auto" w:fill="F8F8F8" w:val="clear"/>
    </w:rPr>
  </w:style>
  <w:style w:customStyle="1" w:styleId="OtherTok" w:type="character">
    <w:name w:val="OtherTok"/>
    <w:basedOn w:val="VerbatimChar"/>
    <w:rPr>
      <w:rFonts w:ascii="Consolas" w:cs="Arial" w:hAnsi="Consolas"/>
      <w:i/>
      <w:color w:val="8F5902"/>
      <w:sz w:val="16"/>
      <w:szCs w:val="16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cs="Arial" w:hAnsi="Consolas"/>
      <w:b/>
      <w:i/>
      <w:color w:val="204A87"/>
      <w:sz w:val="16"/>
      <w:szCs w:val="16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cs="Arial" w:hAnsi="Consolas"/>
      <w:i/>
      <w:color w:val="000000"/>
      <w:sz w:val="16"/>
      <w:szCs w:val="16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cs="Arial" w:hAnsi="Consolas"/>
      <w:b/>
      <w:i/>
      <w:color w:val="204A87"/>
      <w:sz w:val="16"/>
      <w:szCs w:val="16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cs="Arial" w:hAnsi="Consolas"/>
      <w:b/>
      <w:i/>
      <w:color w:val="CE5C00"/>
      <w:sz w:val="16"/>
      <w:szCs w:val="16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cs="Arial" w:hAnsi="Consolas"/>
      <w:i/>
      <w:sz w:val="16"/>
      <w:szCs w:val="16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cs="Arial" w:hAnsi="Consolas"/>
      <w:i/>
      <w:sz w:val="16"/>
      <w:szCs w:val="16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cs="Arial" w:hAnsi="Consolas"/>
      <w:i w:val="0"/>
      <w:color w:val="8F5902"/>
      <w:sz w:val="16"/>
      <w:szCs w:val="16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cs="Arial" w:hAnsi="Consolas"/>
      <w:i/>
      <w:color w:val="204A87"/>
      <w:sz w:val="16"/>
      <w:szCs w:val="16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cs="Arial" w:hAnsi="Consolas"/>
      <w:i/>
      <w:sz w:val="16"/>
      <w:szCs w:val="16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cs="Arial" w:hAnsi="Consolas"/>
      <w:b/>
      <w:i w:val="0"/>
      <w:color w:val="8F5902"/>
      <w:sz w:val="16"/>
      <w:szCs w:val="16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cs="Arial" w:hAnsi="Consolas"/>
      <w:b/>
      <w:i w:val="0"/>
      <w:color w:val="8F5902"/>
      <w:sz w:val="16"/>
      <w:szCs w:val="16"/>
      <w:shd w:color="auto" w:fill="F8F8F8" w:val="clear"/>
    </w:rPr>
  </w:style>
  <w:style w:customStyle="1" w:styleId="AlertTok" w:type="character">
    <w:name w:val="AlertTok"/>
    <w:basedOn w:val="VerbatimChar"/>
    <w:rPr>
      <w:rFonts w:ascii="Consolas" w:cs="Arial" w:hAnsi="Consolas"/>
      <w:i/>
      <w:color w:val="EF2929"/>
      <w:sz w:val="16"/>
      <w:szCs w:val="16"/>
      <w:shd w:color="auto" w:fill="F8F8F8" w:val="clear"/>
    </w:rPr>
  </w:style>
  <w:style w:customStyle="1" w:styleId="ErrorTok" w:type="character">
    <w:name w:val="ErrorTok"/>
    <w:basedOn w:val="VerbatimChar"/>
    <w:rPr>
      <w:rFonts w:ascii="Consolas" w:cs="Arial" w:hAnsi="Consolas"/>
      <w:b/>
      <w:i/>
      <w:color w:val="A40000"/>
      <w:sz w:val="16"/>
      <w:szCs w:val="16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cs="Arial" w:hAnsi="Consolas"/>
      <w:i/>
      <w:sz w:val="16"/>
      <w:szCs w:val="16"/>
      <w:shd w:color="auto" w:fill="F8F8F8" w:val="clear"/>
    </w:rPr>
  </w:style>
  <w:style w:styleId="TOC2" w:type="paragraph">
    <w:name w:val="toc 2"/>
    <w:basedOn w:val="Normal"/>
    <w:next w:val="Normal"/>
    <w:autoRedefine/>
    <w:uiPriority w:val="39"/>
    <w:rsid w:val="001D239F"/>
    <w:pPr>
      <w:spacing w:after="0"/>
    </w:pPr>
    <w:rPr>
      <w:b/>
      <w:bCs/>
      <w:smallCaps/>
    </w:rPr>
  </w:style>
  <w:style w:styleId="TOC3" w:type="paragraph">
    <w:name w:val="toc 3"/>
    <w:basedOn w:val="Normal"/>
    <w:next w:val="Normal"/>
    <w:autoRedefine/>
    <w:uiPriority w:val="39"/>
    <w:rsid w:val="001D239F"/>
    <w:pPr>
      <w:spacing w:after="0"/>
    </w:pPr>
    <w:rPr>
      <w:smallCaps/>
    </w:rPr>
  </w:style>
  <w:style w:styleId="TOC1" w:type="paragraph">
    <w:name w:val="toc 1"/>
    <w:basedOn w:val="Normal"/>
    <w:next w:val="Normal"/>
    <w:autoRedefine/>
    <w:rsid w:val="001D239F"/>
    <w:pPr>
      <w:spacing w:after="360" w:before="360"/>
    </w:pPr>
    <w:rPr>
      <w:b/>
      <w:bCs/>
      <w:caps/>
      <w:u w:val="single"/>
    </w:rPr>
  </w:style>
  <w:style w:styleId="TOC4" w:type="paragraph">
    <w:name w:val="toc 4"/>
    <w:basedOn w:val="Normal"/>
    <w:next w:val="Normal"/>
    <w:autoRedefine/>
    <w:uiPriority w:val="39"/>
    <w:rsid w:val="001D239F"/>
    <w:pPr>
      <w:spacing w:after="0"/>
    </w:pPr>
  </w:style>
  <w:style w:styleId="TOC5" w:type="paragraph">
    <w:name w:val="toc 5"/>
    <w:basedOn w:val="Normal"/>
    <w:next w:val="Normal"/>
    <w:autoRedefine/>
    <w:uiPriority w:val="39"/>
    <w:rsid w:val="001D239F"/>
    <w:pPr>
      <w:spacing w:after="0"/>
    </w:pPr>
  </w:style>
  <w:style w:styleId="TOC6" w:type="paragraph">
    <w:name w:val="toc 6"/>
    <w:basedOn w:val="Normal"/>
    <w:next w:val="Normal"/>
    <w:autoRedefine/>
    <w:rsid w:val="001D239F"/>
    <w:pPr>
      <w:spacing w:after="0"/>
    </w:pPr>
  </w:style>
  <w:style w:styleId="TOC7" w:type="paragraph">
    <w:name w:val="toc 7"/>
    <w:basedOn w:val="Normal"/>
    <w:next w:val="Normal"/>
    <w:autoRedefine/>
    <w:rsid w:val="001D239F"/>
    <w:pPr>
      <w:spacing w:after="0"/>
    </w:pPr>
  </w:style>
  <w:style w:styleId="TOC8" w:type="paragraph">
    <w:name w:val="toc 8"/>
    <w:basedOn w:val="Normal"/>
    <w:next w:val="Normal"/>
    <w:autoRedefine/>
    <w:rsid w:val="001D239F"/>
    <w:pPr>
      <w:spacing w:after="0"/>
    </w:pPr>
  </w:style>
  <w:style w:styleId="TOC9" w:type="paragraph">
    <w:name w:val="toc 9"/>
    <w:basedOn w:val="Normal"/>
    <w:next w:val="Normal"/>
    <w:autoRedefine/>
    <w:rsid w:val="001D239F"/>
    <w:pPr>
      <w:spacing w:after="0"/>
    </w:pPr>
  </w:style>
  <w:style w:styleId="Subtitle" w:type="paragraph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cs="Play" w:eastAsia="Play" w:hAnsi="Play"/>
      <w:sz w:val="28"/>
      <w:szCs w:val="28"/>
    </w:rPr>
  </w:style>
  <w:style w:customStyle="1" w:styleId="a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0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1" w:type="table">
    <w:basedOn w:val="TableNormal"/>
    <w:tblPr>
      <w:tblStyleRowBandSize w:val="1"/>
      <w:tblStyleColBandSize w:val="1"/>
    </w:tblPr>
    <w:tblStylePr w:type="firstRow">
      <w:tblPr/>
      <w:tcPr>
        <w:tcBorders>
          <w:bottom w:val="nil"/>
        </w:tcBorders>
        <w:vAlign w:val="bottom"/>
      </w:tcPr>
    </w:tblStylePr>
  </w:style>
  <w:style w:customStyle="1" w:styleId="a2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3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4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5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customStyle="1" w:styleId="a6" w:type="table">
    <w:basedOn w:val="TableNormal"/>
    <w:tblPr>
      <w:tblStyleRowBandSize w:val="1"/>
      <w:tblStyleColBandSize w:val="1"/>
      <w:tblCellMar>
        <w:top w:type="dxa" w:w="100"/>
        <w:left w:type="dxa" w:w="100"/>
        <w:bottom w:type="dxa" w:w="100"/>
        <w:right w:type="dxa" w:w="100"/>
      </w:tblCellMar>
    </w:tblPr>
  </w:style>
  <w:style w:styleId="TOAHeading" w:type="paragraph">
    <w:name w:val="toa heading"/>
    <w:basedOn w:val="Normal"/>
    <w:next w:val="Normal"/>
    <w:rsid w:val="00AD6A50"/>
    <w:pPr>
      <w:spacing w:after="60" w:before="60"/>
      <w:jc w:val="center"/>
    </w:pPr>
    <w:rPr>
      <w:rFonts w:asciiTheme="majorHAnsi" w:cstheme="majorBidi" w:eastAsiaTheme="majorEastAsia" w:hAnsiTheme="majorHAnsi"/>
      <w:b/>
      <w:bCs/>
      <w:sz w:val="21"/>
      <w:szCs w:val="24"/>
      <w:lang w:eastAsia="zh-CN" w:val="en-US"/>
    </w:rPr>
  </w:style>
  <w:style w:styleId="Strong" w:type="character">
    <w:name w:val="Strong"/>
    <w:basedOn w:val="DefaultParagraphFont"/>
    <w:uiPriority w:val="22"/>
    <w:qFormat/>
    <w:rsid w:val="00DE287C"/>
    <w:rPr>
      <w:b/>
      <w:bCs/>
    </w:rPr>
  </w:style>
  <w:style w:styleId="ListParagraph" w:type="paragraph">
    <w:name w:val="List Paragraph"/>
    <w:basedOn w:val="Normal"/>
    <w:uiPriority w:val="34"/>
    <w:qFormat/>
    <w:rsid w:val="00701179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201ADC"/>
    <w:pPr>
      <w:spacing w:after="160"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01ADC"/>
    <w:rPr>
      <w:i/>
      <w:iCs/>
      <w:color w:themeColor="text1" w:themeTint="BF" w:val="404040"/>
    </w:rPr>
  </w:style>
  <w:style w:styleId="NoSpacing" w:type="paragraph">
    <w:name w:val="No Spacing"/>
    <w:uiPriority w:val="1"/>
    <w:qFormat/>
    <w:rsid w:val="00201ADC"/>
    <w:pPr>
      <w:spacing w:after="0" w:before="0" w:line="360" w:lineRule="auto"/>
    </w:pPr>
    <w:rPr>
      <w:rFonts w:ascii="Arial" w:hAnsi="Arial"/>
    </w:rPr>
  </w:style>
  <w:style w:styleId="NormalWeb" w:type="paragraph">
    <w:name w:val="Normal (Web)"/>
    <w:basedOn w:val="Normal"/>
    <w:uiPriority w:val="99"/>
    <w:unhideWhenUsed/>
    <w:rsid w:val="00D84195"/>
    <w:pPr>
      <w:spacing w:after="100" w:afterAutospacing="1" w:before="100" w:beforeAutospacing="1"/>
      <w:jc w:val="left"/>
    </w:pPr>
    <w:rPr>
      <w:sz w:val="24"/>
      <w:szCs w:val="24"/>
      <w:lang w:val="en-CA"/>
    </w:rPr>
  </w:style>
  <w:style w:styleId="Emphasis" w:type="character">
    <w:name w:val="Emphasis"/>
    <w:basedOn w:val="DefaultParagraphFont"/>
    <w:uiPriority w:val="20"/>
    <w:qFormat/>
    <w:rsid w:val="005B0C1C"/>
    <w:rPr>
      <w:i/>
      <w:iCs/>
    </w:rPr>
  </w:style>
  <w:style w:styleId="LineNumber" w:type="character">
    <w:name w:val="line number"/>
    <w:basedOn w:val="DefaultParagraphFont"/>
    <w:uiPriority w:val="99"/>
    <w:semiHidden/>
    <w:unhideWhenUsed/>
    <w:rsid w:val="00B13028"/>
  </w:style>
  <w:style w:styleId="BookTitle" w:type="character">
    <w:name w:val="Book Title"/>
    <w:basedOn w:val="DefaultParagraphFont"/>
    <w:uiPriority w:val="33"/>
    <w:qFormat/>
    <w:rsid w:val="0014433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35" Target="http://dx.doi.org/10.1016/j.foreco.2023.121595" TargetMode="External" /><Relationship Type="http://schemas.openxmlformats.org/officeDocument/2006/relationships/hyperlink" Id="rId45" Target="http://dx.doi.org/10.1016/j.isprsjprs.2024.05.013" TargetMode="External" /><Relationship Type="http://schemas.openxmlformats.org/officeDocument/2006/relationships/hyperlink" Id="rId37" Target="http://dx.doi.org/10.1016/j.rse.2023.113914" TargetMode="External" /><Relationship Type="http://schemas.openxmlformats.org/officeDocument/2006/relationships/hyperlink" Id="rId41" Target="http://dx.doi.org/10.1016/j.rse.2024.114107" TargetMode="External" /><Relationship Type="http://schemas.openxmlformats.org/officeDocument/2006/relationships/hyperlink" Id="rId39" Target="http://dx.doi.org/10.1111/gcb.14279" TargetMode="External" /><Relationship Type="http://schemas.openxmlformats.org/officeDocument/2006/relationships/hyperlink" Id="rId43" Target="http://dx.doi.org/10.17161/bi.v16i1.14758" TargetMode="External" /><Relationship Type="http://schemas.openxmlformats.org/officeDocument/2006/relationships/hyperlink" Id="rId33" Target="http://dx.doi.org/10.2737/RMRS-GTR-443" TargetMode="External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://dx.doi.org/10.1016/j.foreco.2023.121595" TargetMode="External" /><Relationship Type="http://schemas.openxmlformats.org/officeDocument/2006/relationships/hyperlink" Id="rId45" Target="http://dx.doi.org/10.1016/j.isprsjprs.2024.05.013" TargetMode="External" /><Relationship Type="http://schemas.openxmlformats.org/officeDocument/2006/relationships/hyperlink" Id="rId37" Target="http://dx.doi.org/10.1016/j.rse.2023.113914" TargetMode="External" /><Relationship Type="http://schemas.openxmlformats.org/officeDocument/2006/relationships/hyperlink" Id="rId41" Target="http://dx.doi.org/10.1016/j.rse.2024.114107" TargetMode="External" /><Relationship Type="http://schemas.openxmlformats.org/officeDocument/2006/relationships/hyperlink" Id="rId39" Target="http://dx.doi.org/10.1111/gcb.14279" TargetMode="External" /><Relationship Type="http://schemas.openxmlformats.org/officeDocument/2006/relationships/hyperlink" Id="rId43" Target="http://dx.doi.org/10.17161/bi.v16i1.14758" TargetMode="External" /><Relationship Type="http://schemas.openxmlformats.org/officeDocument/2006/relationships/hyperlink" Id="rId33" Target="http://dx.doi.org/10.2737/RMRS-GTR-4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36</Pages>
  <Words>13130</Words>
  <Characters>74843</Characters>
  <Application>Microsoft Office Word</Application>
  <DocSecurity>0</DocSecurity>
  <Lines>623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of deep learning methods and open satellite time series in detecting low-severity spruce beetle mortality in Southcentral Alaska</dc:title>
  <dc:creator>Seamus Murphy</dc:creator>
  <cp:keywords/>
  <dcterms:created xsi:type="dcterms:W3CDTF">2026-08-11T01:42:20Z</dcterms:created>
  <dcterms:modified xsi:type="dcterms:W3CDTF">2026-08-11T01:42:20Z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Placeholder. The confirmatory analysis is gated behind pre-registration; this draft carries the framing, the data provenance and the planned design only. See docs/science-superpowers/questions/2026-08-10-detectability-floor.md.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../04.references/references.bib</vt:lpwstr>
  </property>
  <property fmtid="{D5CDD505-2E9C-101B-9397-08002B2CF9AE}" pid="6" name="by-author">
    <vt:lpwstr/>
  </property>
  <property fmtid="{D5CDD505-2E9C-101B-9397-08002B2CF9AE}" pid="7" name="csl">
    <vt:lpwstr>../04.references/apa.csl</vt:lpwstr>
  </property>
  <property fmtid="{D5CDD505-2E9C-101B-9397-08002B2CF9AE}" pid="8" name="date">
    <vt:lpwstr>2026-08-10</vt:lpwstr>
  </property>
  <property fmtid="{D5CDD505-2E9C-101B-9397-08002B2CF9AE}" pid="9" name="editor">
    <vt:lpwstr>visual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