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@cartwright2018; @powell2014]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[@carroll2004bionomics]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[@cartwright2018]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[@safranyik2006chap1; @mccambridge1971]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[@murphy2026]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@jones2019]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13,556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13,538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15.2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Stand structure across the study perimeter, from the Vegetation Resources Inventory.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270"/>
        <w:gridCol w:w="727"/>
        <w:gridCol w:w="636"/>
        <w:gridCol w:w="636"/>
        <w:gridCol w:w="545"/>
        <w:gridCol w:w="636"/>
        <w:gridCol w:w="545"/>
        <w:gridCol w:w="727"/>
        <w:gridCol w:w="818"/>
        <w:gridCol w:w="81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Skewness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Kurtosis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35.56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1.42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50.10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-1.74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3.37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772.75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312.80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775.00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19.51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27.38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26.95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58.90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115.46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20.88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237.00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1.97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height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26.97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40.30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272.33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131.38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281.47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586.61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-0.35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1.56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2.63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Model comparison. Each model adds one pathway to the previous.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51"/>
        <w:gridCol w:w="648"/>
        <w:gridCol w:w="556"/>
        <w:gridCol w:w="556"/>
        <w:gridCol w:w="833"/>
        <w:gridCol w:w="556"/>
        <w:gridCol w:w="556"/>
        <w:gridCol w:w="833"/>
        <w:gridCol w:w="556"/>
        <w:gridCol w:w="110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Log loss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 skill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46,964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1,734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46,507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1,277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130.6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45,764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129.5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45,230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128.7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0.257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Full model, continuous terms. Coefficients are log-odds per standard deviation on a</w:t>
      </w:r>
      <w:r>
        <w:t xml:space="preserve"> </w:t>
      </w:r>
      <w:r>
        <w:t xml:space="preserve">class-balanced sample, so the intercept is not landscape prevalence. SE is the standard</w:t>
      </w:r>
      <w:r>
        <w:t xml:space="preserve"> </w:t>
      </w:r>
      <w:r>
        <w:t xml:space="preserve">error of the coefficient.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997"/>
        <w:gridCol w:w="839"/>
        <w:gridCol w:w="720"/>
        <w:gridCol w:w="839"/>
        <w:gridCol w:w="95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16.49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-0.362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-14.47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19.79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flight_calm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-6.81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wetness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6.53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-5.80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July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 depth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-4.66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Flight-window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position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0.094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flight_calm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Mid-slope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Vector ruggedness measure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Profile curvature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0.098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0.848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The wind terms under two specifications, both with previous-year pressure in the model.</w:t>
      </w:r>
      <w:r>
        <w:t xml:space="preserve"> </w:t>
      </w:r>
      <w:r>
        <w:t xml:space="preserve">M4 carries station wind, which is flat within a year and identified only across years.</w:t>
      </w:r>
      <w:r>
        <w:t xml:space="preserve"> </w:t>
      </w:r>
      <w:r>
        <w:t xml:space="preserve">M5 carries the terrain-resolved MicroMet field, which varies within the year and is</w:t>
      </w:r>
      <w:r>
        <w:t xml:space="preserve"> </w:t>
      </w:r>
      <w:r>
        <w:t xml:space="preserve">identified in space.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488"/>
        <w:gridCol w:w="4678"/>
        <w:gridCol w:w="696"/>
        <w:gridCol w:w="696"/>
        <w:gridCol w:w="79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flight_calm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-0.543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-16.42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flight_calm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flight-window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MicroMet flight-window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0.087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The 25 cm boundary is the source-sink threshold of the species’ bionomics.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95% CI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22.0-30.2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4,325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1,057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23.2-25.7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9,934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25.6-27.3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19,090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7,576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39.0-40.4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10,903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2,724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24.2-25.8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1,671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14.0-17.5</w:t>
            </w:r>
          </w:p>
        </w:tc>
      </w:tr>
    </w:tbl>
    <w:bookmarkEnd w:id="26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2026-08-29T04:36:02Z</dcterms:created>
  <dcterms:modified xsi:type="dcterms:W3CDTF">2026-08-29T04:36:02Z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