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Look w:firstRow="1" w:lastRow="0" w:firstColumn="0" w:lastColumn="0" w:noHBand="0" w:noVBand="0" w:val="0020"/>
        <w:tblW w:w="9354" w:type="dxa"/>
        <w:tblLayout w:type="fixed"/>
      </w:tblPr>
      <w:tblGrid>
        <w:gridCol w:w="1002"/>
        <w:gridCol w:w="2422"/>
        <w:gridCol w:w="2339"/>
        <w:gridCol w:w="751"/>
        <w:gridCol w:w="877"/>
        <w:gridCol w:w="1002"/>
        <w:gridCol w:w="961"/>
      </w:tblGrid>
      <w:tr>
        <w:trPr>
          <w:tblHeader w:val="on"/>
          <w:trHeight w:val="624" w:hRule="exact"/>
        </w:trPr>
        <w:tc>
          <w:tcPr>
            <w:tcW w:w="1002" w:type="dxa"/>
          </w:tcPr>
          <w:p>
            <w:pPr>
              <w:pStyle w:val="Compact"/>
              <w:jc w:val="left"/>
              <w:rPr>
                <w:sz w:val="16"/>
                <w:szCs w:val="16"/>
              </w:rPr>
            </w:pPr>
            <w:r>
              <w:rPr>
                <w:sz w:val="16"/>
                <w:szCs w:val="16"/>
              </w:rPr>
              <w:t xml:space="preserve">Dataset</w:t>
            </w:r>
          </w:p>
        </w:tc>
        <w:tc>
          <w:tcPr>
            <w:tcW w:w="2422" w:type="dxa"/>
          </w:tcPr>
          <w:p>
            <w:pPr>
              <w:pStyle w:val="Compact"/>
              <w:jc w:val="left"/>
              <w:rPr>
                <w:sz w:val="16"/>
                <w:szCs w:val="16"/>
              </w:rPr>
            </w:pPr>
            <w:r>
              <w:rPr>
                <w:sz w:val="16"/>
                <w:szCs w:val="16"/>
              </w:rPr>
              <w:t xml:space="preserve">Source</w:t>
            </w:r>
          </w:p>
        </w:tc>
        <w:tc>
          <w:tcPr>
            <w:tcW w:w="2339" w:type="dxa"/>
          </w:tcPr>
          <w:p>
            <w:pPr>
              <w:pStyle w:val="Compact"/>
              <w:jc w:val="left"/>
              <w:rPr>
                <w:sz w:val="16"/>
                <w:szCs w:val="16"/>
              </w:rPr>
            </w:pPr>
            <w:r>
              <w:rPr>
                <w:sz w:val="16"/>
                <w:szCs w:val="16"/>
              </w:rPr>
              <w:t xml:space="preserve">Variables</w:t>
            </w:r>
          </w:p>
        </w:tc>
        <w:tc>
          <w:tcPr>
            <w:tcW w:w="751" w:type="dxa"/>
          </w:tcPr>
          <w:p>
            <w:pPr>
              <w:pStyle w:val="Compact"/>
              <w:jc w:val="left"/>
              <w:rPr>
                <w:sz w:val="16"/>
                <w:szCs w:val="16"/>
              </w:rPr>
            </w:pPr>
            <w:r>
              <w:rPr>
                <w:sz w:val="16"/>
                <w:szCs w:val="16"/>
              </w:rPr>
              <w:t xml:space="preserve">Spatial</w:t>
            </w:r>
          </w:p>
        </w:tc>
        <w:tc>
          <w:tcPr>
            <w:tcW w:w="877" w:type="dxa"/>
          </w:tcPr>
          <w:p>
            <w:pPr>
              <w:pStyle w:val="Compact"/>
              <w:jc w:val="left"/>
              <w:rPr>
                <w:sz w:val="16"/>
                <w:szCs w:val="16"/>
              </w:rPr>
            </w:pPr>
            <w:r>
              <w:rPr>
                <w:sz w:val="16"/>
                <w:szCs w:val="16"/>
              </w:rPr>
              <w:t xml:space="preserve">Temporal</w:t>
            </w:r>
          </w:p>
        </w:tc>
        <w:tc>
          <w:tcPr>
            <w:tcW w:w="1002" w:type="dxa"/>
          </w:tcPr>
          <w:p>
            <w:pPr>
              <w:pStyle w:val="Compact"/>
              <w:jc w:val="left"/>
              <w:rPr>
                <w:sz w:val="16"/>
                <w:szCs w:val="16"/>
              </w:rPr>
            </w:pPr>
            <w:r>
              <w:rPr>
                <w:sz w:val="16"/>
                <w:szCs w:val="16"/>
              </w:rPr>
              <w:t xml:space="preserve">Period</w:t>
            </w:r>
          </w:p>
        </w:tc>
        <w:tc>
          <w:tcPr>
            <w:tcW w:w="961" w:type="dxa"/>
          </w:tcPr>
          <w:p>
            <w:pPr>
              <w:pStyle w:val="Compact"/>
              <w:jc w:val="left"/>
              <w:rPr>
                <w:sz w:val="16"/>
                <w:szCs w:val="16"/>
              </w:rPr>
            </w:pPr>
            <w:r>
              <w:rPr>
                <w:sz w:val="16"/>
                <w:szCs w:val="16"/>
              </w:rPr>
              <w:t xml:space="preserve">n</w:t>
            </w:r>
          </w:p>
        </w:tc>
      </w:tr>
      <w:tr>
        <w:trPr>
          <w:trHeight w:val="340" w:hRule="exact"/>
        </w:trPr>
        <w:tc>
          <w:tcPr>
            <w:tcW w:w="1002" w:type="dxa"/>
          </w:tcPr>
          <w:p>
            <w:pPr>
              <w:pStyle w:val="Compact"/>
              <w:jc w:val="left"/>
              <w:rPr>
                <w:sz w:val="16"/>
                <w:szCs w:val="16"/>
              </w:rPr>
            </w:pPr>
            <w:r>
              <w:rPr>
                <w:sz w:val="16"/>
                <w:szCs w:val="16"/>
              </w:rPr>
              <w:t xml:space="preserve">Beetle attack (Annual)</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8 years</w:t>
            </w:r>
          </w:p>
        </w:tc>
      </w:tr>
      <w:tr>
        <w:trPr>
          <w:trHeight w:val="340" w:hRule="exact"/>
        </w:trPr>
        <w:tc>
          <w:tcPr>
            <w:tcW w:w="1002" w:type="dxa"/>
          </w:tcPr>
          <w:p>
            <w:pPr>
              <w:pStyle w:val="Compact"/>
              <w:jc w:val="left"/>
              <w:rPr>
                <w:sz w:val="16"/>
                <w:szCs w:val="16"/>
              </w:rPr>
            </w:pPr>
            <w:r>
              <w:rPr>
                <w:sz w:val="16"/>
                <w:szCs w:val="16"/>
              </w:rPr>
              <w:t xml:space="preserve">Beetle attack (/16-day)</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59 epochs</w:t>
            </w:r>
          </w:p>
        </w:tc>
      </w:tr>
      <w:tr>
        <w:trPr>
          <w:trHeight w:val="340" w:hRule="exact"/>
        </w:trPr>
        <w:tc>
          <w:tcPr>
            <w:tcW w:w="1002" w:type="dxa"/>
          </w:tcPr>
          <w:p>
            <w:pPr>
              <w:pStyle w:val="Compact"/>
              <w:jc w:val="left"/>
              <w:rPr>
                <w:sz w:val="16"/>
                <w:szCs w:val="16"/>
              </w:rPr>
            </w:pPr>
            <w:r>
              <w:rPr>
                <w:sz w:val="16"/>
                <w:szCs w:val="16"/>
              </w:rPr>
              <w:t xml:space="preserve">Stand structure</w:t>
            </w:r>
          </w:p>
        </w:tc>
        <w:tc>
          <w:tcPr>
            <w:tcW w:w="2422" w:type="dxa"/>
          </w:tcPr>
          <w:p>
            <w:pPr>
              <w:pStyle w:val="Compact"/>
              <w:jc w:val="left"/>
              <w:rPr>
                <w:sz w:val="16"/>
                <w:szCs w:val="16"/>
              </w:rPr>
            </w:pPr>
            <w:r>
              <w:rPr>
                <w:sz w:val="16"/>
                <w:szCs w:val="16"/>
              </w:rPr>
              <w:t xml:space="preserve">VRI Historical, BC Data Catalogue</w:t>
            </w:r>
          </w:p>
        </w:tc>
        <w:tc>
          <w:tcPr>
            <w:tcW w:w="2339" w:type="dxa"/>
          </w:tcPr>
          <w:p>
            <w:pPr>
              <w:pStyle w:val="Compact"/>
              <w:jc w:val="left"/>
              <w:rPr>
                <w:sz w:val="16"/>
                <w:szCs w:val="16"/>
              </w:rPr>
            </w:pPr>
            <w:r>
              <w:rPr>
                <w:sz w:val="16"/>
                <w:szCs w:val="16"/>
              </w:rPr>
              <w:t xml:space="preserve">BA, volume, stems, quadratic mean diameter, age, height</w:t>
            </w:r>
          </w:p>
        </w:tc>
        <w:tc>
          <w:tcPr>
            <w:tcW w:w="751" w:type="dxa"/>
          </w:tcPr>
          <w:p>
            <w:pPr>
              <w:pStyle w:val="Compact"/>
              <w:jc w:val="left"/>
              <w:rPr>
                <w:sz w:val="16"/>
                <w:szCs w:val="16"/>
              </w:rPr>
            </w:pPr>
            <w:r>
              <w:rPr>
                <w:sz w:val="16"/>
                <w:szCs w:val="16"/>
              </w:rPr>
              <w:t xml:space="preserve">30 m (rasterised)</w:t>
            </w:r>
          </w:p>
        </w:tc>
        <w:tc>
          <w:tcPr>
            <w:tcW w:w="877" w:type="dxa"/>
          </w:tcPr>
          <w:p>
            <w:pPr>
              <w:pStyle w:val="Compact"/>
              <w:jc w:val="left"/>
              <w:rPr>
                <w:sz w:val="16"/>
                <w:szCs w:val="16"/>
              </w:rPr>
            </w:pPr>
            <w:r>
              <w:rPr>
                <w:sz w:val="16"/>
                <w:szCs w:val="16"/>
              </w:rPr>
              <w:t xml:space="preserve">1 year, projected-yr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9 windows</w:t>
            </w:r>
          </w:p>
        </w:tc>
      </w:tr>
      <w:tr>
        <w:trPr>
          <w:trHeight w:val="340" w:hRule="exact"/>
        </w:trPr>
        <w:tc>
          <w:tcPr>
            <w:tcW w:w="1002" w:type="dxa"/>
          </w:tcPr>
          <w:p>
            <w:pPr>
              <w:pStyle w:val="Compact"/>
              <w:jc w:val="left"/>
              <w:rPr>
                <w:sz w:val="16"/>
                <w:szCs w:val="16"/>
              </w:rPr>
            </w:pPr>
            <w:r>
              <w:rPr>
                <w:sz w:val="16"/>
                <w:szCs w:val="16"/>
              </w:rPr>
              <w:t xml:space="preserve">Terrain</w:t>
            </w:r>
          </w:p>
        </w:tc>
        <w:tc>
          <w:tcPr>
            <w:tcW w:w="2422" w:type="dxa"/>
          </w:tcPr>
          <w:p>
            <w:pPr>
              <w:pStyle w:val="Compact"/>
              <w:jc w:val="left"/>
              <w:rPr>
                <w:sz w:val="16"/>
                <w:szCs w:val="16"/>
              </w:rPr>
            </w:pPr>
            <w:r>
              <w:rPr>
                <w:sz w:val="16"/>
                <w:szCs w:val="16"/>
              </w:rPr>
              <w:t xml:space="preserve">NRCan High-Res DEM, SAGA indices</w:t>
            </w:r>
          </w:p>
        </w:tc>
        <w:tc>
          <w:tcPr>
            <w:tcW w:w="2339" w:type="dxa"/>
          </w:tcPr>
          <w:p>
            <w:pPr>
              <w:pStyle w:val="Compact"/>
              <w:jc w:val="left"/>
              <w:rPr>
                <w:sz w:val="16"/>
                <w:szCs w:val="16"/>
              </w:rPr>
            </w:pPr>
            <w:r>
              <w:rPr>
                <w:sz w:val="16"/>
                <w:szCs w:val="16"/>
              </w:rPr>
              <w:t xml:space="preserve">Geomorphons (incl. radiation, exposure, landform)</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Static</w:t>
            </w:r>
          </w:p>
        </w:tc>
        <w:tc>
          <w:tcPr>
            <w:tcW w:w="1002" w:type="dxa"/>
          </w:tcPr>
          <w:p>
            <w:pPr>
              <w:pStyle w:val="Compact"/>
              <w:jc w:val="left"/>
              <w:rPr>
                <w:sz w:val="16"/>
                <w:szCs w:val="16"/>
              </w:rPr>
            </w:pPr>
            <w:r>
              <w:rPr>
                <w:sz w:val="16"/>
                <w:szCs w:val="16"/>
              </w:rPr>
              <w:t xml:space="preserve">n/a</w:t>
            </w:r>
          </w:p>
        </w:tc>
        <w:tc>
          <w:tcPr>
            <w:tcW w:w="961" w:type="dxa"/>
          </w:tcPr>
          <w:p>
            <w:pPr>
              <w:pStyle w:val="Compact"/>
              <w:jc w:val="left"/>
              <w:rPr>
                <w:sz w:val="16"/>
                <w:szCs w:val="16"/>
              </w:rPr>
            </w:pPr>
            <w:r>
              <w:rPr>
                <w:sz w:val="16"/>
                <w:szCs w:val="16"/>
              </w:rPr>
              <w:t xml:space="preserve">8 fitted</w:t>
            </w:r>
          </w:p>
        </w:tc>
      </w:tr>
      <w:tr>
        <w:trPr>
          <w:trHeight w:val="340" w:hRule="exact"/>
        </w:trPr>
        <w:tc>
          <w:tcPr>
            <w:tcW w:w="1002" w:type="dxa"/>
          </w:tcPr>
          <w:p>
            <w:pPr>
              <w:pStyle w:val="Compact"/>
              <w:jc w:val="left"/>
              <w:rPr>
                <w:sz w:val="16"/>
                <w:szCs w:val="16"/>
              </w:rPr>
            </w:pPr>
            <w:r>
              <w:rPr>
                <w:sz w:val="16"/>
                <w:szCs w:val="16"/>
              </w:rPr>
              <w:t xml:space="preserve">Station wind</w:t>
            </w:r>
          </w:p>
        </w:tc>
        <w:tc>
          <w:tcPr>
            <w:tcW w:w="2422" w:type="dxa"/>
          </w:tcPr>
          <w:p>
            <w:pPr>
              <w:pStyle w:val="Compact"/>
              <w:jc w:val="left"/>
              <w:rPr>
                <w:sz w:val="16"/>
                <w:szCs w:val="16"/>
              </w:rPr>
            </w:pPr>
            <w:r>
              <w:rPr>
                <w:sz w:val="16"/>
                <w:szCs w:val="16"/>
              </w:rPr>
              <w:t xml:space="preserve">Env. &amp; Climate Change Canada</w:t>
            </w:r>
          </w:p>
        </w:tc>
        <w:tc>
          <w:tcPr>
            <w:tcW w:w="2339" w:type="dxa"/>
          </w:tcPr>
          <w:p>
            <w:pPr>
              <w:pStyle w:val="Compact"/>
              <w:jc w:val="left"/>
              <w:rPr>
                <w:sz w:val="16"/>
                <w:szCs w:val="16"/>
              </w:rPr>
            </w:pPr>
            <w:r>
              <w:rPr>
                <w:sz w:val="16"/>
                <w:szCs w:val="16"/>
              </w:rPr>
              <w:t xml:space="preserve">Speed and direction</w:t>
            </w:r>
          </w:p>
        </w:tc>
        <w:tc>
          <w:tcPr>
            <w:tcW w:w="751" w:type="dxa"/>
          </w:tcPr>
          <w:p>
            <w:pPr>
              <w:pStyle w:val="Compact"/>
              <w:jc w:val="left"/>
              <w:rPr>
                <w:sz w:val="16"/>
                <w:szCs w:val="16"/>
              </w:rPr>
            </w:pPr>
            <w:r>
              <w:rPr>
                <w:sz w:val="16"/>
                <w:szCs w:val="16"/>
              </w:rPr>
              <w:t xml:space="preserve">4 to 7 stations</w:t>
            </w:r>
          </w:p>
        </w:tc>
        <w:tc>
          <w:tcPr>
            <w:tcW w:w="877" w:type="dxa"/>
          </w:tcPr>
          <w:p>
            <w:pPr>
              <w:pStyle w:val="Compact"/>
              <w:jc w:val="left"/>
              <w:rPr>
                <w:sz w:val="16"/>
                <w:szCs w:val="16"/>
              </w:rPr>
            </w:pPr>
            <w:r>
              <w:rPr>
                <w:sz w:val="16"/>
                <w:szCs w:val="16"/>
              </w:rPr>
              <w:t xml:space="preserve">1 hour</w:t>
            </w:r>
          </w:p>
        </w:tc>
        <w:tc>
          <w:tcPr>
            <w:tcW w:w="1002" w:type="dxa"/>
          </w:tcPr>
          <w:p>
            <w:pPr>
              <w:pStyle w:val="Compact"/>
              <w:jc w:val="left"/>
              <w:rPr>
                <w:sz w:val="16"/>
                <w:szCs w:val="16"/>
              </w:rPr>
            </w:pPr>
            <w:r>
              <w:rPr>
                <w:sz w:val="16"/>
                <w:szCs w:val="16"/>
              </w:rPr>
              <w:t xml:space="preserve">2005-2014, May-Sept</w:t>
            </w:r>
          </w:p>
        </w:tc>
        <w:tc>
          <w:tcPr>
            <w:tcW w:w="961" w:type="dxa"/>
          </w:tcPr>
          <w:p>
            <w:pPr>
              <w:pStyle w:val="Compact"/>
              <w:jc w:val="left"/>
              <w:rPr>
                <w:sz w:val="16"/>
                <w:szCs w:val="16"/>
              </w:rPr>
            </w:pPr>
            <w:r>
              <w:rPr>
                <w:sz w:val="16"/>
                <w:szCs w:val="16"/>
              </w:rPr>
              <w:t xml:space="preserve">236,079 hourly records</w:t>
            </w:r>
          </w:p>
        </w:tc>
      </w:tr>
      <w:tr>
        <w:trPr>
          <w:trHeight w:val="340" w:hRule="exact"/>
        </w:trPr>
        <w:tc>
          <w:tcPr>
            <w:tcW w:w="1002" w:type="dxa"/>
          </w:tcPr>
          <w:p>
            <w:pPr>
              <w:pStyle w:val="Compact"/>
              <w:jc w:val="left"/>
              <w:rPr>
                <w:sz w:val="16"/>
                <w:szCs w:val="16"/>
              </w:rPr>
            </w:pPr>
            <w:r>
              <w:rPr>
                <w:sz w:val="16"/>
                <w:szCs w:val="16"/>
              </w:rPr>
              <w:t xml:space="preserve">Terrain-resolved wind</w:t>
            </w:r>
          </w:p>
        </w:tc>
        <w:tc>
          <w:tcPr>
            <w:tcW w:w="2422" w:type="dxa"/>
          </w:tcPr>
          <w:p>
            <w:pPr>
              <w:pStyle w:val="Compact"/>
              <w:jc w:val="left"/>
              <w:rPr>
                <w:sz w:val="16"/>
                <w:szCs w:val="16"/>
              </w:rPr>
            </w:pPr>
            <w:r>
              <w:rPr>
                <w:sz w:val="16"/>
                <w:szCs w:val="16"/>
              </w:rPr>
              <w:t xml:space="preserve">DEM-conditioned MicroMet wind field of station data</w:t>
            </w:r>
          </w:p>
        </w:tc>
        <w:tc>
          <w:tcPr>
            <w:tcW w:w="2339" w:type="dxa"/>
          </w:tcPr>
          <w:p>
            <w:pPr>
              <w:pStyle w:val="Compact"/>
              <w:jc w:val="left"/>
              <w:rPr>
                <w:sz w:val="16"/>
                <w:szCs w:val="16"/>
              </w:rPr>
            </w:pPr>
            <w:r>
              <w:rPr>
                <w:sz w:val="16"/>
                <w:szCs w:val="16"/>
              </w:rPr>
              <w:t xml:space="preserve">Weighting factor, modified speed, diverted direction</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 &amp; 1 year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16 sectors (22.5°)</w:t>
            </w:r>
          </w:p>
        </w:tc>
      </w:tr>
      <w:tr>
        <w:trPr>
          <w:trHeight w:val="340" w:hRule="exact"/>
        </w:trPr>
        <w:tc>
          <w:tcPr>
            <w:tcW w:w="1002" w:type="dxa"/>
          </w:tcPr>
          <w:p>
            <w:pPr>
              <w:pStyle w:val="Compact"/>
              <w:jc w:val="left"/>
              <w:rPr>
                <w:sz w:val="16"/>
                <w:szCs w:val="16"/>
              </w:rPr>
            </w:pPr>
            <w:r>
              <w:rPr>
                <w:sz w:val="16"/>
                <w:szCs w:val="16"/>
              </w:rPr>
              <w:t xml:space="preserve">Model frame (Annual)</w:t>
            </w:r>
          </w:p>
        </w:tc>
        <w:tc>
          <w:tcPr>
            <w:tcW w:w="2422" w:type="dxa"/>
          </w:tcPr>
          <w:p>
            <w:pPr>
              <w:pStyle w:val="Compact"/>
              <w:jc w:val="left"/>
              <w:rPr>
                <w:sz w:val="16"/>
                <w:szCs w:val="16"/>
              </w:rPr>
            </w:pPr>
            <w:r>
              <w:rPr>
                <w:sz w:val="16"/>
                <w:szCs w:val="16"/>
              </w:rPr>
              <w:t xml:space="preserve">Rows joined above, (one row / cell-year)</w:t>
            </w:r>
          </w:p>
        </w:tc>
        <w:tc>
          <w:tcPr>
            <w:tcW w:w="2339" w:type="dxa"/>
          </w:tcPr>
          <w:p>
            <w:pPr>
              <w:pStyle w:val="Compact"/>
              <w:jc w:val="left"/>
              <w:rPr>
                <w:sz w:val="16"/>
                <w:szCs w:val="16"/>
              </w:rPr>
            </w:pPr>
            <w:r>
              <w:rPr>
                <w:sz w:val="16"/>
                <w:szCs w:val="16"/>
              </w:rPr>
              <w:t xml:space="preserve">Response &amp; covariates, one row per cell-year</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111,707 cell-years</w:t>
            </w:r>
          </w:p>
        </w:tc>
      </w:tr>
      <w:tr>
        <w:trPr>
          <w:trHeight w:val="340" w:hRule="exact"/>
        </w:trPr>
        <w:tc>
          <w:tcPr>
            <w:tcW w:w="1002" w:type="dxa"/>
          </w:tcPr>
          <w:p>
            <w:pPr>
              <w:pStyle w:val="Compact"/>
              <w:jc w:val="left"/>
              <w:rPr>
                <w:sz w:val="16"/>
                <w:szCs w:val="16"/>
              </w:rPr>
            </w:pPr>
            <w:r>
              <w:rPr>
                <w:sz w:val="16"/>
                <w:szCs w:val="16"/>
              </w:rPr>
              <w:t xml:space="preserve">Model frame (/16-day)</w:t>
            </w:r>
          </w:p>
        </w:tc>
        <w:tc>
          <w:tcPr>
            <w:tcW w:w="2422" w:type="dxa"/>
          </w:tcPr>
          <w:p>
            <w:pPr>
              <w:pStyle w:val="Compact"/>
              <w:jc w:val="left"/>
              <w:rPr>
                <w:sz w:val="16"/>
                <w:szCs w:val="16"/>
              </w:rPr>
            </w:pPr>
            <w:r>
              <w:rPr>
                <w:sz w:val="16"/>
                <w:szCs w:val="16"/>
              </w:rPr>
              <w:t xml:space="preserve">Rows joined above per Landsat pass (one row / cell-epoch)</w:t>
            </w:r>
          </w:p>
        </w:tc>
        <w:tc>
          <w:tcPr>
            <w:tcW w:w="2339" w:type="dxa"/>
          </w:tcPr>
          <w:p>
            <w:pPr>
              <w:pStyle w:val="Compact"/>
              <w:jc w:val="left"/>
              <w:rPr>
                <w:sz w:val="16"/>
                <w:szCs w:val="16"/>
              </w:rPr>
            </w:pPr>
            <w:r>
              <w:rPr>
                <w:sz w:val="16"/>
                <w:szCs w:val="16"/>
              </w:rPr>
              <w:t xml:space="preserve">Response &amp; covariates, one row per cell-epoch</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66,302 cell-epochs</w:t>
            </w:r>
          </w:p>
        </w:tc>
      </w:tr>
    </w:tbl>
    <w:bookmarkEnd w:id="20"/>
    <w:bookmarkStart w:id="21" w:name="table-s2"/>
    <w:p>
      <w:pPr>
        <w:pStyle w:val="Heading1"/>
      </w:pPr>
      <w:r>
        <w:t xml:space="preserve">Table S2</w:t>
      </w:r>
    </w:p>
    <w:p>
      <w:pPr>
        <w:pStyle w:val="FirstParagraph"/>
      </w:pPr>
      <w:r>
        <w:t xml:space="preserve">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tcW w:w="3118" w:type="dxa"/>
          </w:tcPr>
          <w:p>
            <w:pPr>
              <w:pStyle w:val="Compact"/>
              <w:jc w:val="left"/>
              <w:rPr>
                <w:sz w:val="16"/>
                <w:szCs w:val="16"/>
              </w:rPr>
            </w:pPr>
            <w:r>
              <w:rPr>
                <w:sz w:val="16"/>
                <w:szCs w:val="16"/>
              </w:rPr>
              <w:t xml:space="preserve">Year</w:t>
            </w:r>
          </w:p>
        </w:tc>
        <w:tc>
          <w:tcPr>
            <w:tcW w:w="3118" w:type="dxa"/>
          </w:tcPr>
          <w:p>
            <w:pPr>
              <w:pStyle w:val="Compact"/>
              <w:jc w:val="left"/>
              <w:rPr>
                <w:sz w:val="16"/>
                <w:szCs w:val="16"/>
              </w:rPr>
            </w:pPr>
            <w:r>
              <w:rPr>
                <w:sz w:val="16"/>
                <w:szCs w:val="16"/>
              </w:rPr>
              <w:t xml:space="preserve">Cells</w:t>
            </w:r>
          </w:p>
        </w:tc>
        <w:tc>
          <w:tcPr>
            <w:tcW w:w="3118" w:type="dxa"/>
          </w:tcPr>
          <w:p>
            <w:pPr>
              <w:pStyle w:val="Compact"/>
              <w:jc w:val="left"/>
              <w:rPr>
                <w:sz w:val="16"/>
                <w:szCs w:val="16"/>
              </w:rPr>
            </w:pPr>
            <w:r>
              <w:rPr>
                <w:sz w:val="16"/>
                <w:szCs w:val="16"/>
              </w:rPr>
              <w:t xml:space="preserve">Moderate-to-high (%)</w:t>
            </w:r>
          </w:p>
        </w:tc>
      </w:tr>
      <w:tr>
        <w:trPr>
          <w:trHeight w:val="340" w:hRule="exact"/>
        </w:trPr>
        <w:tc>
          <w:tcPr>
            <w:tcW w:w="3118" w:type="dxa"/>
          </w:tcPr>
          <w:p>
            <w:pPr>
              <w:pStyle w:val="Compact"/>
              <w:jc w:val="left"/>
              <w:rPr>
                <w:sz w:val="16"/>
                <w:szCs w:val="16"/>
              </w:rPr>
            </w:pPr>
            <w:r>
              <w:rPr>
                <w:sz w:val="16"/>
                <w:szCs w:val="16"/>
              </w:rPr>
              <w:t xml:space="preserve">2006</w:t>
            </w:r>
          </w:p>
        </w:tc>
        <w:tc>
          <w:tcPr>
            <w:tcW w:w="3118" w:type="dxa"/>
          </w:tcPr>
          <w:p>
            <w:pPr>
              <w:pStyle w:val="Compact"/>
              <w:jc w:val="left"/>
              <w:rPr>
                <w:sz w:val="16"/>
                <w:szCs w:val="16"/>
              </w:rPr>
            </w:pPr>
            <w:r>
              <w:rPr>
                <w:sz w:val="16"/>
                <w:szCs w:val="16"/>
              </w:rPr>
              <w:t xml:space="preserve">13,224</w:t>
            </w:r>
          </w:p>
        </w:tc>
        <w:tc>
          <w:tcPr>
            <w:tcW w:w="3118" w:type="dxa"/>
          </w:tcPr>
          <w:p>
            <w:pPr>
              <w:pStyle w:val="Compact"/>
              <w:jc w:val="left"/>
              <w:rPr>
                <w:sz w:val="16"/>
                <w:szCs w:val="16"/>
              </w:rPr>
            </w:pPr>
            <w:r>
              <w:rPr>
                <w:sz w:val="16"/>
                <w:szCs w:val="16"/>
              </w:rPr>
              <w:t xml:space="preserve">4.2</w:t>
            </w:r>
          </w:p>
        </w:tc>
      </w:tr>
      <w:tr>
        <w:trPr>
          <w:trHeight w:val="340" w:hRule="exact"/>
        </w:trPr>
        <w:tc>
          <w:tcPr>
            <w:tcW w:w="3118" w:type="dxa"/>
          </w:tcPr>
          <w:p>
            <w:pPr>
              <w:pStyle w:val="Compact"/>
              <w:jc w:val="left"/>
              <w:rPr>
                <w:sz w:val="16"/>
                <w:szCs w:val="16"/>
              </w:rPr>
            </w:pPr>
            <w:r>
              <w:rPr>
                <w:sz w:val="16"/>
                <w:szCs w:val="16"/>
              </w:rPr>
              <w:t xml:space="preserve">2007</w:t>
            </w:r>
          </w:p>
        </w:tc>
        <w:tc>
          <w:tcPr>
            <w:tcW w:w="3118" w:type="dxa"/>
          </w:tcPr>
          <w:p>
            <w:pPr>
              <w:pStyle w:val="Compact"/>
              <w:jc w:val="left"/>
              <w:rPr>
                <w:sz w:val="16"/>
                <w:szCs w:val="16"/>
              </w:rPr>
            </w:pPr>
            <w:r>
              <w:rPr>
                <w:sz w:val="16"/>
                <w:szCs w:val="16"/>
              </w:rPr>
              <w:t xml:space="preserve">13,225</w:t>
            </w:r>
          </w:p>
        </w:tc>
        <w:tc>
          <w:tcPr>
            <w:tcW w:w="3118" w:type="dxa"/>
          </w:tcPr>
          <w:p>
            <w:pPr>
              <w:pStyle w:val="Compact"/>
              <w:jc w:val="left"/>
              <w:rPr>
                <w:sz w:val="16"/>
                <w:szCs w:val="16"/>
              </w:rPr>
            </w:pPr>
            <w:r>
              <w:rPr>
                <w:sz w:val="16"/>
                <w:szCs w:val="16"/>
              </w:rPr>
              <w:t xml:space="preserve">3.9</w:t>
            </w:r>
          </w:p>
        </w:tc>
      </w:tr>
      <w:tr>
        <w:trPr>
          <w:trHeight w:val="340" w:hRule="exact"/>
        </w:trPr>
        <w:tc>
          <w:tcPr>
            <w:tcW w:w="3118" w:type="dxa"/>
          </w:tcPr>
          <w:p>
            <w:pPr>
              <w:pStyle w:val="Compact"/>
              <w:jc w:val="left"/>
              <w:rPr>
                <w:sz w:val="16"/>
                <w:szCs w:val="16"/>
              </w:rPr>
            </w:pPr>
            <w:r>
              <w:rPr>
                <w:sz w:val="16"/>
                <w:szCs w:val="16"/>
              </w:rPr>
              <w:t xml:space="preserve">2008</w:t>
            </w:r>
          </w:p>
        </w:tc>
        <w:tc>
          <w:tcPr>
            <w:tcW w:w="3118" w:type="dxa"/>
          </w:tcPr>
          <w:p>
            <w:pPr>
              <w:pStyle w:val="Compact"/>
              <w:jc w:val="left"/>
              <w:rPr>
                <w:sz w:val="16"/>
                <w:szCs w:val="16"/>
              </w:rPr>
            </w:pPr>
            <w:r>
              <w:rPr>
                <w:sz w:val="16"/>
                <w:szCs w:val="16"/>
              </w:rPr>
              <w:t xml:space="preserve">13,285</w:t>
            </w:r>
          </w:p>
        </w:tc>
        <w:tc>
          <w:tcPr>
            <w:tcW w:w="3118" w:type="dxa"/>
          </w:tcPr>
          <w:p>
            <w:pPr>
              <w:pStyle w:val="Compact"/>
              <w:jc w:val="left"/>
              <w:rPr>
                <w:sz w:val="16"/>
                <w:szCs w:val="16"/>
              </w:rPr>
            </w:pPr>
            <w:r>
              <w:rPr>
                <w:sz w:val="16"/>
                <w:szCs w:val="16"/>
              </w:rPr>
              <w:t xml:space="preserve">18.6</w:t>
            </w:r>
          </w:p>
        </w:tc>
      </w:tr>
      <w:tr>
        <w:trPr>
          <w:trHeight w:val="340" w:hRule="exact"/>
        </w:trPr>
        <w:tc>
          <w:tcPr>
            <w:tcW w:w="3118" w:type="dxa"/>
          </w:tcPr>
          <w:p>
            <w:pPr>
              <w:pStyle w:val="Compact"/>
              <w:jc w:val="left"/>
              <w:rPr>
                <w:sz w:val="16"/>
                <w:szCs w:val="16"/>
              </w:rPr>
            </w:pPr>
            <w:r>
              <w:rPr>
                <w:sz w:val="16"/>
                <w:szCs w:val="16"/>
              </w:rPr>
              <w:t xml:space="preserve">2009</w:t>
            </w:r>
          </w:p>
        </w:tc>
        <w:tc>
          <w:tcPr>
            <w:tcW w:w="3118" w:type="dxa"/>
          </w:tcPr>
          <w:p>
            <w:pPr>
              <w:pStyle w:val="Compact"/>
              <w:jc w:val="left"/>
              <w:rPr>
                <w:sz w:val="16"/>
                <w:szCs w:val="16"/>
              </w:rPr>
            </w:pPr>
            <w:r>
              <w:rPr>
                <w:sz w:val="16"/>
                <w:szCs w:val="16"/>
              </w:rPr>
              <w:t xml:space="preserve">13,556</w:t>
            </w:r>
          </w:p>
        </w:tc>
        <w:tc>
          <w:tcPr>
            <w:tcW w:w="3118" w:type="dxa"/>
          </w:tcPr>
          <w:p>
            <w:pPr>
              <w:pStyle w:val="Compact"/>
              <w:jc w:val="left"/>
              <w:rPr>
                <w:sz w:val="16"/>
                <w:szCs w:val="16"/>
              </w:rPr>
            </w:pPr>
            <w:r>
              <w:rPr>
                <w:sz w:val="16"/>
                <w:szCs w:val="16"/>
              </w:rPr>
              <w:t xml:space="preserve">7.3</w:t>
            </w:r>
          </w:p>
        </w:tc>
      </w:tr>
      <w:tr>
        <w:trPr>
          <w:trHeight w:val="340" w:hRule="exact"/>
        </w:trPr>
        <w:tc>
          <w:tcPr>
            <w:tcW w:w="3118" w:type="dxa"/>
          </w:tcPr>
          <w:p>
            <w:pPr>
              <w:pStyle w:val="Compact"/>
              <w:jc w:val="left"/>
              <w:rPr>
                <w:sz w:val="16"/>
                <w:szCs w:val="16"/>
              </w:rPr>
            </w:pPr>
            <w:r>
              <w:rPr>
                <w:sz w:val="16"/>
                <w:szCs w:val="16"/>
              </w:rPr>
              <w:t xml:space="preserve">2010</w:t>
            </w:r>
          </w:p>
        </w:tc>
        <w:tc>
          <w:tcPr>
            <w:tcW w:w="3118" w:type="dxa"/>
          </w:tcPr>
          <w:p>
            <w:pPr>
              <w:pStyle w:val="Compact"/>
              <w:jc w:val="left"/>
              <w:rPr>
                <w:sz w:val="16"/>
                <w:szCs w:val="16"/>
              </w:rPr>
            </w:pPr>
            <w:r>
              <w:rPr>
                <w:sz w:val="16"/>
                <w:szCs w:val="16"/>
              </w:rPr>
              <w:t xml:space="preserve">13,538</w:t>
            </w:r>
          </w:p>
        </w:tc>
        <w:tc>
          <w:tcPr>
            <w:tcW w:w="3118" w:type="dxa"/>
          </w:tcPr>
          <w:p>
            <w:pPr>
              <w:pStyle w:val="Compact"/>
              <w:jc w:val="left"/>
              <w:rPr>
                <w:sz w:val="16"/>
                <w:szCs w:val="16"/>
              </w:rPr>
            </w:pPr>
            <w:r>
              <w:rPr>
                <w:sz w:val="16"/>
                <w:szCs w:val="16"/>
              </w:rPr>
              <w:t xml:space="preserve">13.5</w:t>
            </w:r>
          </w:p>
        </w:tc>
      </w:tr>
      <w:tr>
        <w:trPr>
          <w:trHeight w:val="340" w:hRule="exact"/>
        </w:trPr>
        <w:tc>
          <w:tcPr>
            <w:tcW w:w="3118" w:type="dxa"/>
          </w:tcPr>
          <w:p>
            <w:pPr>
              <w:pStyle w:val="Compact"/>
              <w:jc w:val="left"/>
              <w:rPr>
                <w:sz w:val="16"/>
                <w:szCs w:val="16"/>
              </w:rPr>
            </w:pPr>
            <w:r>
              <w:rPr>
                <w:sz w:val="16"/>
                <w:szCs w:val="16"/>
              </w:rPr>
              <w:t xml:space="preserve">2011</w:t>
            </w:r>
          </w:p>
        </w:tc>
        <w:tc>
          <w:tcPr>
            <w:tcW w:w="3118" w:type="dxa"/>
          </w:tcPr>
          <w:p>
            <w:pPr>
              <w:pStyle w:val="Compact"/>
              <w:jc w:val="left"/>
              <w:rPr>
                <w:sz w:val="16"/>
                <w:szCs w:val="16"/>
              </w:rPr>
            </w:pPr>
            <w:r>
              <w:rPr>
                <w:sz w:val="16"/>
                <w:szCs w:val="16"/>
              </w:rPr>
              <w:t xml:space="preserve">14,944</w:t>
            </w:r>
          </w:p>
        </w:tc>
        <w:tc>
          <w:tcPr>
            <w:tcW w:w="3118" w:type="dxa"/>
          </w:tcPr>
          <w:p>
            <w:pPr>
              <w:pStyle w:val="Compact"/>
              <w:jc w:val="left"/>
              <w:rPr>
                <w:sz w:val="16"/>
                <w:szCs w:val="16"/>
              </w:rPr>
            </w:pPr>
            <w:r>
              <w:rPr>
                <w:sz w:val="16"/>
                <w:szCs w:val="16"/>
              </w:rPr>
              <w:t xml:space="preserve">9.8</w:t>
            </w:r>
          </w:p>
        </w:tc>
      </w:tr>
      <w:tr>
        <w:trPr>
          <w:trHeight w:val="340" w:hRule="exact"/>
        </w:trPr>
        <w:tc>
          <w:tcPr>
            <w:tcW w:w="3118" w:type="dxa"/>
          </w:tcPr>
          <w:p>
            <w:pPr>
              <w:pStyle w:val="Compact"/>
              <w:jc w:val="left"/>
              <w:rPr>
                <w:sz w:val="16"/>
                <w:szCs w:val="16"/>
              </w:rPr>
            </w:pPr>
            <w:r>
              <w:rPr>
                <w:sz w:val="16"/>
                <w:szCs w:val="16"/>
              </w:rPr>
              <w:t xml:space="preserve">2013</w:t>
            </w:r>
          </w:p>
        </w:tc>
        <w:tc>
          <w:tcPr>
            <w:tcW w:w="3118" w:type="dxa"/>
          </w:tcPr>
          <w:p>
            <w:pPr>
              <w:pStyle w:val="Compact"/>
              <w:jc w:val="left"/>
              <w:rPr>
                <w:sz w:val="16"/>
                <w:szCs w:val="16"/>
              </w:rPr>
            </w:pPr>
            <w:r>
              <w:rPr>
                <w:sz w:val="16"/>
                <w:szCs w:val="16"/>
              </w:rPr>
              <w:t xml:space="preserve">14,943</w:t>
            </w:r>
          </w:p>
        </w:tc>
        <w:tc>
          <w:tcPr>
            <w:tcW w:w="3118" w:type="dxa"/>
          </w:tcPr>
          <w:p>
            <w:pPr>
              <w:pStyle w:val="Compact"/>
              <w:jc w:val="left"/>
              <w:rPr>
                <w:sz w:val="16"/>
                <w:szCs w:val="16"/>
              </w:rPr>
            </w:pPr>
            <w:r>
              <w:rPr>
                <w:sz w:val="16"/>
                <w:szCs w:val="16"/>
              </w:rPr>
              <w:t xml:space="preserve">10.0</w:t>
            </w:r>
          </w:p>
        </w:tc>
      </w:tr>
      <w:tr>
        <w:trPr>
          <w:trHeight w:val="340" w:hRule="exact"/>
        </w:trPr>
        <w:tc>
          <w:tcPr>
            <w:tcW w:w="3118" w:type="dxa"/>
          </w:tcPr>
          <w:p>
            <w:pPr>
              <w:pStyle w:val="Compact"/>
              <w:jc w:val="left"/>
              <w:rPr>
                <w:sz w:val="16"/>
                <w:szCs w:val="16"/>
              </w:rPr>
            </w:pPr>
            <w:r>
              <w:rPr>
                <w:sz w:val="16"/>
                <w:szCs w:val="16"/>
              </w:rPr>
              <w:t xml:space="preserve">2014</w:t>
            </w:r>
          </w:p>
        </w:tc>
        <w:tc>
          <w:tcPr>
            <w:tcW w:w="3118" w:type="dxa"/>
          </w:tcPr>
          <w:p>
            <w:pPr>
              <w:pStyle w:val="Compact"/>
              <w:jc w:val="left"/>
              <w:rPr>
                <w:sz w:val="16"/>
                <w:szCs w:val="16"/>
              </w:rPr>
            </w:pPr>
            <w:r>
              <w:rPr>
                <w:sz w:val="16"/>
                <w:szCs w:val="16"/>
              </w:rPr>
              <w:t xml:space="preserve">14,992</w:t>
            </w:r>
          </w:p>
        </w:tc>
        <w:tc>
          <w:tcPr>
            <w:tcW w:w="3118" w:type="dxa"/>
          </w:tcPr>
          <w:p>
            <w:pPr>
              <w:pStyle w:val="Compact"/>
              <w:jc w:val="left"/>
              <w:rPr>
                <w:sz w:val="16"/>
                <w:szCs w:val="16"/>
              </w:rPr>
            </w:pPr>
            <w:r>
              <w:rPr>
                <w:sz w:val="16"/>
                <w:szCs w:val="16"/>
              </w:rPr>
              <w:t xml:space="preserve">9.7</w:t>
            </w:r>
          </w:p>
        </w:tc>
      </w:tr>
    </w:tbl>
    <w:bookmarkEnd w:id="21"/>
    <w:bookmarkStart w:id="26" w:name="methods-s1"/>
    <w:p>
      <w:pPr>
        <w:pStyle w:val="Heading1"/>
      </w:pPr>
      <w:r>
        <w:t xml:space="preserve">Methods S1</w:t>
      </w:r>
    </w:p>
    <w:p>
      <w:pPr>
        <w:pStyle w:val="FirstParagraph"/>
      </w:pPr>
      <w:r>
        <w:t xml:space="preserve">The wind component of the MicroMet model of</w:t>
      </w:r>
      <w:r>
        <w:t xml:space="preserve"> </w:t>
      </w:r>
      <w:r>
        <w:t xml:space="preserve">Liston &amp;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&amp;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2"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2"/>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3"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3"/>
    </w:p>
    <w:p>
      <w:pPr>
        <w:pStyle w:val="FirstParagraph"/>
      </w:pPr>
      <w:r>
        <w:t xml:space="preserve">This provided the basis for calculation of the terrain-modified speed using</w:t>
      </w:r>
    </w:p>
    <w:p>
      <w:pPr>
        <w:pStyle w:val="BodyText"/>
      </w:pPr>
      <w:bookmarkStart w:id="24"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4"/>
    </w:p>
    <w:p>
      <w:pPr>
        <w:pStyle w:val="FirstParagraph"/>
      </w:pPr>
      <w:r>
        <w:t xml:space="preserve">and a diversion of wind direction computed as</w:t>
      </w:r>
    </w:p>
    <w:p>
      <w:pPr>
        <w:pStyle w:val="BodyText"/>
      </w:pPr>
      <w:bookmarkStart w:id="25"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5"/>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0.60 to 1.38.</w:t>
      </w:r>
    </w:p>
    <w:bookmarkEnd w:id="26"/>
    <w:bookmarkStart w:id="27" w:name="table-s3"/>
    <w:p>
      <w:pPr>
        <w:pStyle w:val="Heading1"/>
      </w:pPr>
      <w:r>
        <w:t xml:space="preserve">Table S3</w:t>
      </w:r>
    </w:p>
    <w:p>
      <w:pPr>
        <w:pStyle w:val="FirstParagraph"/>
      </w:pPr>
      <w:r>
        <w:t xml:space="preserve">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Look w:firstRow="1" w:lastRow="0" w:firstColumn="0" w:lastColumn="0" w:noHBand="0" w:noVBand="0" w:val="0020"/>
        <w:tblW w:w="9354" w:type="dxa"/>
        <w:tblLayout w:type="fixed"/>
      </w:tblPr>
      <w:tblGrid>
        <w:gridCol w:w="3185"/>
        <w:gridCol w:w="2455"/>
        <w:gridCol w:w="995"/>
        <w:gridCol w:w="862"/>
        <w:gridCol w:w="1194"/>
        <w:gridCol w:w="663"/>
      </w:tblGrid>
      <w:tr>
        <w:trPr>
          <w:tblHeader w:val="on"/>
          <w:trHeight w:val="624" w:hRule="exact"/>
        </w:trPr>
        <w:tc>
          <w:tcPr>
            <w:tcW w:w="3185" w:type="dxa"/>
          </w:tcPr>
          <w:p>
            <w:pPr>
              <w:pStyle w:val="Compact"/>
              <w:jc w:val="left"/>
              <w:rPr>
                <w:sz w:val="16"/>
                <w:szCs w:val="16"/>
              </w:rPr>
            </w:pPr>
            <w:r>
              <w:rPr>
                <w:sz w:val="16"/>
                <w:szCs w:val="16"/>
              </w:rPr>
              <w:t xml:space="preserve">Candidate</w:t>
            </w:r>
          </w:p>
        </w:tc>
        <w:tc>
          <w:tcPr>
            <w:tcW w:w="2455" w:type="dxa"/>
          </w:tcPr>
          <w:p>
            <w:pPr>
              <w:pStyle w:val="Compact"/>
              <w:jc w:val="left"/>
              <w:rPr>
                <w:sz w:val="16"/>
                <w:szCs w:val="16"/>
              </w:rPr>
            </w:pPr>
            <w:r>
              <w:rPr>
                <w:sz w:val="16"/>
                <w:szCs w:val="16"/>
              </w:rPr>
              <w:t xml:space="preserve">Pathway</w:t>
            </w:r>
          </w:p>
        </w:tc>
        <w:tc>
          <w:tcPr>
            <w:tcW w:w="995" w:type="dxa"/>
          </w:tcPr>
          <w:p>
            <w:pPr>
              <w:pStyle w:val="Compact"/>
              <w:jc w:val="left"/>
              <w:rPr>
                <w:sz w:val="16"/>
                <w:szCs w:val="16"/>
              </w:rPr>
            </w:pPr>
            <w:r>
              <w:rPr>
                <w:sz w:val="16"/>
                <w:szCs w:val="16"/>
              </w:rPr>
              <w:t xml:space="preserve">Univariate AUC</w:t>
            </w:r>
          </w:p>
        </w:tc>
        <w:tc>
          <w:tcPr>
            <w:tcW w:w="862" w:type="dxa"/>
          </w:tcPr>
          <w:p>
            <w:pPr>
              <w:pStyle w:val="Compact"/>
              <w:jc w:val="left"/>
              <w:rPr>
                <w:sz w:val="16"/>
                <w:szCs w:val="16"/>
              </w:rPr>
            </w:pPr>
            <w:r>
              <w:rPr>
                <w:sz w:val="16"/>
                <w:szCs w:val="16"/>
              </w:rPr>
              <w:t xml:space="preserve">Stage</w:t>
            </w:r>
          </w:p>
        </w:tc>
        <w:tc>
          <w:tcPr>
            <w:tcW w:w="1194" w:type="dxa"/>
          </w:tcPr>
          <w:p>
            <w:pPr>
              <w:pStyle w:val="Compact"/>
              <w:jc w:val="left"/>
              <w:rPr>
                <w:sz w:val="16"/>
                <w:szCs w:val="16"/>
              </w:rPr>
            </w:pPr>
            <w:r>
              <w:rPr>
                <w:sz w:val="16"/>
                <w:szCs w:val="16"/>
              </w:rPr>
              <w:t xml:space="preserve">Lasso coefficient</w:t>
            </w:r>
          </w:p>
        </w:tc>
        <w:tc>
          <w:tcPr>
            <w:tcW w:w="663" w:type="dxa"/>
          </w:tcPr>
          <w:p>
            <w:pPr>
              <w:pStyle w:val="Compact"/>
              <w:jc w:val="left"/>
              <w:rPr>
                <w:sz w:val="16"/>
                <w:szCs w:val="16"/>
              </w:rPr>
            </w:pPr>
            <w:r>
              <w:rPr>
                <w:sz w:val="16"/>
                <w:szCs w:val="16"/>
              </w:rPr>
              <w:t xml:space="preserve">Protected</w:t>
            </w:r>
          </w:p>
        </w:tc>
      </w:tr>
      <w:tr>
        <w:trPr>
          <w:trHeight w:val="340" w:hRule="exact"/>
        </w:trPr>
        <w:tc>
          <w:tcPr>
            <w:tcW w:w="3185" w:type="dxa"/>
          </w:tcPr>
          <w:p>
            <w:pPr>
              <w:pStyle w:val="Compact"/>
              <w:jc w:val="left"/>
              <w:rPr>
                <w:sz w:val="16"/>
                <w:szCs w:val="16"/>
              </w:rPr>
            </w:pPr>
            <w:r>
              <w:rPr>
                <w:sz w:val="16"/>
                <w:szCs w:val="16"/>
              </w:rPr>
              <w:t xml:space="preserve">Elevation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0.682****</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0.336</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Susceptible pine BA (m² ha⁻¹)</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0.678****</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0.427</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Stand basal area (m² ha⁻¹)</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0.601****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0.347</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Sky view factor</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0.686****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0.315</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Stand age (years)</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0.571****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0.068</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July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0.563****</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0.249</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Northness</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0.586****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0.314</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Quadratic mean diameter (cm)</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0.510****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-0.124</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June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0.534****</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-0.025</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 shelter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0.526****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-0.205</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MicroMet flight-window wind (km/h)</w:t>
            </w:r>
          </w:p>
        </w:tc>
        <w:tc>
          <w:tcPr>
            <w:tcW w:w="2455" w:type="dxa"/>
          </w:tcPr>
          <w:p>
            <w:pPr>
              <w:pStyle w:val="Compact"/>
              <w:jc w:val="left"/>
              <w:rPr>
                <w:sz w:val="16"/>
                <w:szCs w:val="16"/>
              </w:rPr>
            </w:pPr>
            <w:r>
              <w:rPr>
                <w:sz w:val="16"/>
                <w:szCs w:val="16"/>
              </w:rPr>
              <w:t xml:space="preserve">Flight-window wind, terrain-resolved</w:t>
            </w:r>
          </w:p>
        </w:tc>
        <w:tc>
          <w:tcPr>
            <w:tcW w:w="995" w:type="dxa"/>
          </w:tcPr>
          <w:p>
            <w:pPr>
              <w:pStyle w:val="Compact"/>
              <w:jc w:val="left"/>
              <w:rPr>
                <w:sz w:val="16"/>
                <w:szCs w:val="16"/>
              </w:rPr>
            </w:pPr>
            <w:r>
              <w:rPr>
                <w:sz w:val="16"/>
                <w:szCs w:val="16"/>
              </w:rPr>
              <w:t xml:space="preserve">0.580****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0.253</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Topographic position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0.585****</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-0.168</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Flight-window direct radiation (kWh/m2)</w:t>
            </w:r>
          </w:p>
        </w:tc>
        <w:tc>
          <w:tcPr>
            <w:tcW w:w="2455" w:type="dxa"/>
          </w:tcPr>
          <w:p>
            <w:pPr>
              <w:pStyle w:val="Compact"/>
              <w:jc w:val="left"/>
              <w:rPr>
                <w:sz w:val="16"/>
                <w:szCs w:val="16"/>
              </w:rPr>
            </w:pPr>
            <w:r>
              <w:rPr>
                <w:sz w:val="16"/>
                <w:szCs w:val="16"/>
              </w:rPr>
              <w:t xml:space="preserve">Flight-window radiation</w:t>
            </w:r>
          </w:p>
        </w:tc>
        <w:tc>
          <w:tcPr>
            <w:tcW w:w="995" w:type="dxa"/>
          </w:tcPr>
          <w:p>
            <w:pPr>
              <w:pStyle w:val="Compact"/>
              <w:jc w:val="left"/>
              <w:rPr>
                <w:sz w:val="16"/>
                <w:szCs w:val="16"/>
              </w:rPr>
            </w:pPr>
            <w:r>
              <w:rPr>
                <w:sz w:val="16"/>
                <w:szCs w:val="16"/>
              </w:rPr>
              <w:t xml:space="preserve">0.561****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0.206</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Convergence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0.530****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-0.016</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Profile curvature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0.514****</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-0.010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Height above valley floor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0.646****</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Live stems (n/ha)</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0.602****</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Valley depth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0.617****</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Mid-slope position</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0.517****</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Crown closure (%)</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0.524****</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Vector ruggedness measure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0.600****</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Terrain ruggedness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0.648****</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Normalised height</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0.584****</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0.558****</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Eastness</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0.549****</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Effective air flow height</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0.682****</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Lodgepole pine cover (%)</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0.656****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Slope (degrees)</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0.645****</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Positive openness</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0.636****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 exposition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0.563****</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Standing volume (m³ ha⁻¹)</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0.555****</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windy hours (share above 15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0.548****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calm hours (share below 5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0.547****</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Multi-scale topographic position</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0.540****</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August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0.534****</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Plan curvature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0.528****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solar_flight_diffuse</w:t>
            </w:r>
          </w:p>
        </w:tc>
        <w:tc>
          <w:tcPr>
            <w:tcW w:w="2455" w:type="dxa"/>
          </w:tcPr>
          <w:p>
            <w:pPr>
              <w:pStyle w:val="Compact"/>
              <w:jc w:val="left"/>
              <w:rPr>
                <w:sz w:val="16"/>
                <w:szCs w:val="16"/>
              </w:rPr>
            </w:pPr>
            <w:r>
              <w:rPr>
                <w:sz w:val="16"/>
                <w:szCs w:val="16"/>
              </w:rPr>
              <w:t xml:space="preserve">Flight-window radiation</w:t>
            </w:r>
          </w:p>
        </w:tc>
        <w:tc>
          <w:tcPr>
            <w:tcW w:w="995" w:type="dxa"/>
          </w:tcPr>
          <w:p>
            <w:pPr>
              <w:pStyle w:val="Compact"/>
              <w:jc w:val="left"/>
              <w:rPr>
                <w:sz w:val="16"/>
                <w:szCs w:val="16"/>
              </w:rPr>
            </w:pPr>
            <w:r>
              <w:rPr>
                <w:sz w:val="16"/>
                <w:szCs w:val="16"/>
              </w:rPr>
              <w:t xml:space="preserve">0.528****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Windward-leeward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0.522****</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Growing-season total radiation (kWh/m2)</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0.517****</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Growing-season direct radiation (kWh/m2)</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0.516****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95th percentile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0.527</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Stand height (m)</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0.507</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Topographic wetness index</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0.506*</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Negative openness</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0.501</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Heat load index</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0.499</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bl>
    <w:bookmarkEnd w:id="27"/>
    <w:bookmarkStart w:id="28" w:name="table-s4"/>
    <w:p>
      <w:pPr>
        <w:pStyle w:val="Heading1"/>
      </w:pPr>
      <w:r>
        <w:t xml:space="preserve">Table S4</w:t>
      </w:r>
    </w:p>
    <w:p>
      <w:pPr>
        <w:pStyle w:val="FirstParagraph"/>
      </w:pPr>
      <w:r>
        <w:t xml:space="preserve">The wind variable of the sixteen-day models was the epoch wind regime, the mean over every hourly station observation in the sixteen days an epoch covered, each hour modified over the terrain by its own bearing. It was not restricted to the flight window, and that choice followed from the way the insect was known to disperse.</w:t>
      </w:r>
      <w:r>
        <w:t xml:space="preserve"> </w:t>
      </w:r>
      <w:r>
        <w:t xml:space="preserve">Jackson et al. (2008)</w:t>
      </w:r>
      <w:r>
        <w:t xml:space="preserve"> </w:t>
      </w:r>
      <w:r>
        <w:t xml:space="preserve">tracked mountain pine beetle on weather radar and confirmed the returns by aerial capture, finding beetles</w:t>
      </w:r>
      <w:r>
        <w:t xml:space="preserve"> </w:t>
      </w:r>
      <w:r>
        <w:t xml:space="preserve">“at altitudes up to more than 800 m above the forest canopy”</w:t>
      </w:r>
      <w:r>
        <w:t xml:space="preserve"> </w:t>
      </w:r>
      <w:r>
        <w:t xml:space="preserve">and estimating that those in flight above the canopy</w:t>
      </w:r>
      <w:r>
        <w:t xml:space="preserve"> </w:t>
      </w:r>
      <w:r>
        <w:t xml:space="preserve">“may move 30 to 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 hectare.</w:t>
      </w:r>
      <w:r>
        <w:t xml:space="preserve"> </w:t>
      </w:r>
      <w:r>
        <w:t xml:space="preserve">Ainslie &amp; Jackson (2010)</w:t>
      </w:r>
      <w:r>
        <w:t xml:space="preserve"> </w:t>
      </w:r>
      <w:r>
        <w:t xml:space="preserve">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pPr>
        <w:pStyle w:val="BodyText"/>
      </w:pPr>
      <w:r>
        <w:t xml:space="preserve">The 16-day model was refitted under four definitions of the window (Table S4),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p>
      <w:pPr>
        <w:pStyle w:val="BodyText"/>
      </w:pPr>
      <w:r>
        <w:t xml:space="preserve">The 16-day model refitted under four definitions of the wind window. The epoch wind regime, every hour, was the definition used throughout the article.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Look w:firstRow="1" w:lastRow="0" w:firstColumn="0" w:lastColumn="0" w:noHBand="0" w:noVBand="0" w:val="0020"/>
        <w:tblW w:w="9354" w:type="dxa"/>
        <w:tblLayout w:type="fixed"/>
      </w:tblPr>
      <w:tblGrid>
        <w:gridCol w:w="3226"/>
        <w:gridCol w:w="1290"/>
        <w:gridCol w:w="1290"/>
        <w:gridCol w:w="1398"/>
        <w:gridCol w:w="1505"/>
        <w:gridCol w:w="645"/>
      </w:tblGrid>
      <w:tr>
        <w:trPr>
          <w:tblHeader w:val="on"/>
          <w:trHeight w:val="624" w:hRule="exact"/>
        </w:trPr>
        <w:tc>
          <w:tcPr>
            <w:tcW w:w="3226" w:type="dxa"/>
          </w:tcPr>
          <w:p>
            <w:pPr>
              <w:pStyle w:val="Compact"/>
              <w:jc w:val="left"/>
              <w:rPr>
                <w:sz w:val="16"/>
                <w:szCs w:val="16"/>
              </w:rPr>
            </w:pPr>
            <w:r>
              <w:rPr>
                <w:sz w:val="16"/>
                <w:szCs w:val="16"/>
              </w:rPr>
              <w:t xml:space="preserve">Definition</w:t>
            </w:r>
          </w:p>
        </w:tc>
        <w:tc>
          <w:tcPr>
            <w:tcW w:w="1290" w:type="dxa"/>
          </w:tcPr>
          <w:p>
            <w:pPr>
              <w:pStyle w:val="Compact"/>
              <w:jc w:val="left"/>
              <w:rPr>
                <w:sz w:val="16"/>
                <w:szCs w:val="16"/>
              </w:rPr>
            </w:pPr>
            <w:r>
              <w:rPr>
                <w:sz w:val="16"/>
                <w:szCs w:val="16"/>
              </w:rPr>
              <w:t xml:space="preserve">Cell-epochs</w:t>
            </w:r>
          </w:p>
        </w:tc>
        <w:tc>
          <w:tcPr>
            <w:tcW w:w="1290" w:type="dxa"/>
          </w:tcPr>
          <w:p>
            <w:pPr>
              <w:pStyle w:val="Compact"/>
              <w:jc w:val="left"/>
              <w:rPr>
                <w:sz w:val="16"/>
                <w:szCs w:val="16"/>
              </w:rPr>
            </w:pPr>
            <w:r>
              <w:rPr>
                <w:sz w:val="16"/>
                <w:szCs w:val="16"/>
              </w:rPr>
              <w:t xml:space="preserve">Wind (km/h)</w:t>
            </w:r>
          </w:p>
        </w:tc>
        <w:tc>
          <w:tcPr>
            <w:tcW w:w="1398" w:type="dxa"/>
          </w:tcPr>
          <w:p>
            <w:pPr>
              <w:pStyle w:val="Compact"/>
              <w:jc w:val="left"/>
              <w:rPr>
                <w:sz w:val="16"/>
                <w:szCs w:val="16"/>
              </w:rPr>
            </w:pPr>
            <w:r>
              <w:rPr>
                <w:sz w:val="16"/>
                <w:szCs w:val="16"/>
              </w:rPr>
              <w:t xml:space="preserve">Stems x wind</w:t>
            </w:r>
          </w:p>
        </w:tc>
        <w:tc>
          <w:tcPr>
            <w:tcW w:w="1505" w:type="dxa"/>
          </w:tcPr>
          <w:p>
            <w:pPr>
              <w:pStyle w:val="Compact"/>
              <w:jc w:val="left"/>
              <w:rPr>
                <w:sz w:val="16"/>
                <w:szCs w:val="16"/>
              </w:rPr>
            </w:pPr>
            <w:r>
              <w:rPr>
                <w:sz w:val="16"/>
                <w:szCs w:val="16"/>
              </w:rPr>
              <w:t xml:space="preserve">Volume x wind</w:t>
            </w:r>
          </w:p>
        </w:tc>
        <w:tc>
          <w:tcPr>
            <w:tcW w:w="645" w:type="dxa"/>
          </w:tcPr>
          <w:p>
            <w:pPr>
              <w:pStyle w:val="Compact"/>
              <w:jc w:val="left"/>
              <w:rPr>
                <w:sz w:val="16"/>
                <w:szCs w:val="16"/>
              </w:rPr>
            </w:pPr>
            <w:r>
              <w:rPr>
                <w:sz w:val="16"/>
                <w:szCs w:val="16"/>
              </w:rPr>
              <w:t xml:space="preserve">AUC</w:t>
            </w:r>
          </w:p>
        </w:tc>
      </w:tr>
      <w:tr>
        <w:trPr>
          <w:trHeight w:val="340" w:hRule="exact"/>
        </w:trPr>
        <w:tc>
          <w:tcPr>
            <w:tcW w:w="3226" w:type="dxa"/>
          </w:tcPr>
          <w:p>
            <w:pPr>
              <w:pStyle w:val="Compact"/>
              <w:jc w:val="left"/>
              <w:rPr>
                <w:sz w:val="16"/>
                <w:szCs w:val="16"/>
              </w:rPr>
            </w:pPr>
            <w:r>
              <w:rPr>
                <w:sz w:val="16"/>
                <w:szCs w:val="16"/>
              </w:rPr>
              <w:t xml:space="preserve">Epoch wind regime (all hours)</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5.01</w:t>
            </w:r>
          </w:p>
        </w:tc>
        <w:tc>
          <w:tcPr>
            <w:tcW w:w="1398" w:type="dxa"/>
          </w:tcPr>
          <w:p>
            <w:pPr>
              <w:pStyle w:val="Compact"/>
              <w:jc w:val="left"/>
              <w:rPr>
                <w:sz w:val="16"/>
                <w:szCs w:val="16"/>
              </w:rPr>
            </w:pPr>
            <w:r>
              <w:rPr>
                <w:sz w:val="16"/>
                <w:szCs w:val="16"/>
              </w:rPr>
              <w:t xml:space="preserve">-0.0491****</w:t>
            </w:r>
          </w:p>
        </w:tc>
        <w:tc>
          <w:tcPr>
            <w:tcW w:w="1505" w:type="dxa"/>
          </w:tcPr>
          <w:p>
            <w:pPr>
              <w:pStyle w:val="Compact"/>
              <w:jc w:val="left"/>
              <w:rPr>
                <w:sz w:val="16"/>
                <w:szCs w:val="16"/>
              </w:rPr>
            </w:pPr>
            <w:r>
              <w:rPr>
                <w:sz w:val="16"/>
                <w:szCs w:val="16"/>
              </w:rPr>
              <w:t xml:space="preserve">-0.0169*</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12:00-17:00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6.41</w:t>
            </w:r>
          </w:p>
        </w:tc>
        <w:tc>
          <w:tcPr>
            <w:tcW w:w="1398" w:type="dxa"/>
          </w:tcPr>
          <w:p>
            <w:pPr>
              <w:pStyle w:val="Compact"/>
              <w:jc w:val="left"/>
              <w:rPr>
                <w:sz w:val="16"/>
                <w:szCs w:val="16"/>
              </w:rPr>
            </w:pPr>
            <w:r>
              <w:rPr>
                <w:sz w:val="16"/>
                <w:szCs w:val="16"/>
              </w:rPr>
              <w:t xml:space="preserve">-0.0369****</w:t>
            </w:r>
          </w:p>
        </w:tc>
        <w:tc>
          <w:tcPr>
            <w:tcW w:w="1505" w:type="dxa"/>
          </w:tcPr>
          <w:p>
            <w:pPr>
              <w:pStyle w:val="Compact"/>
              <w:jc w:val="left"/>
              <w:rPr>
                <w:sz w:val="16"/>
                <w:szCs w:val="16"/>
              </w:rPr>
            </w:pPr>
            <w:r>
              <w:rPr>
                <w:sz w:val="16"/>
                <w:szCs w:val="16"/>
              </w:rPr>
              <w:t xml:space="preserve">-0.0131</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11:00-18:00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6.28</w:t>
            </w:r>
          </w:p>
        </w:tc>
        <w:tc>
          <w:tcPr>
            <w:tcW w:w="1398" w:type="dxa"/>
          </w:tcPr>
          <w:p>
            <w:pPr>
              <w:pStyle w:val="Compact"/>
              <w:jc w:val="left"/>
              <w:rPr>
                <w:sz w:val="16"/>
                <w:szCs w:val="16"/>
              </w:rPr>
            </w:pPr>
            <w:r>
              <w:rPr>
                <w:sz w:val="16"/>
                <w:szCs w:val="16"/>
              </w:rPr>
              <w:t xml:space="preserve">-0.0413****</w:t>
            </w:r>
          </w:p>
        </w:tc>
        <w:tc>
          <w:tcPr>
            <w:tcW w:w="1505" w:type="dxa"/>
          </w:tcPr>
          <w:p>
            <w:pPr>
              <w:pStyle w:val="Compact"/>
              <w:jc w:val="left"/>
              <w:rPr>
                <w:sz w:val="16"/>
                <w:szCs w:val="16"/>
              </w:rPr>
            </w:pPr>
            <w:r>
              <w:rPr>
                <w:sz w:val="16"/>
                <w:szCs w:val="16"/>
              </w:rPr>
              <w:t xml:space="preserve">-0.0173*</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Inside the 19-41 C range</w:t>
            </w:r>
          </w:p>
        </w:tc>
        <w:tc>
          <w:tcPr>
            <w:tcW w:w="1290" w:type="dxa"/>
          </w:tcPr>
          <w:p>
            <w:pPr>
              <w:pStyle w:val="Compact"/>
              <w:jc w:val="left"/>
              <w:rPr>
                <w:sz w:val="16"/>
                <w:szCs w:val="16"/>
              </w:rPr>
            </w:pPr>
            <w:r>
              <w:rPr>
                <w:sz w:val="16"/>
                <w:szCs w:val="16"/>
              </w:rPr>
              <w:t xml:space="preserve">64,895</w:t>
            </w:r>
          </w:p>
        </w:tc>
        <w:tc>
          <w:tcPr>
            <w:tcW w:w="1290" w:type="dxa"/>
          </w:tcPr>
          <w:p>
            <w:pPr>
              <w:pStyle w:val="Compact"/>
              <w:jc w:val="left"/>
              <w:rPr>
                <w:sz w:val="16"/>
                <w:szCs w:val="16"/>
              </w:rPr>
            </w:pPr>
            <w:r>
              <w:rPr>
                <w:sz w:val="16"/>
                <w:szCs w:val="16"/>
              </w:rPr>
              <w:t xml:space="preserve">5.64</w:t>
            </w:r>
          </w:p>
        </w:tc>
        <w:tc>
          <w:tcPr>
            <w:tcW w:w="1398" w:type="dxa"/>
          </w:tcPr>
          <w:p>
            <w:pPr>
              <w:pStyle w:val="Compact"/>
              <w:jc w:val="left"/>
              <w:rPr>
                <w:sz w:val="16"/>
                <w:szCs w:val="16"/>
              </w:rPr>
            </w:pPr>
            <w:r>
              <w:rPr>
                <w:sz w:val="16"/>
                <w:szCs w:val="16"/>
              </w:rPr>
              <w:t xml:space="preserve">-0.0108</w:t>
            </w:r>
          </w:p>
        </w:tc>
        <w:tc>
          <w:tcPr>
            <w:tcW w:w="1505" w:type="dxa"/>
          </w:tcPr>
          <w:p>
            <w:pPr>
              <w:pStyle w:val="Compact"/>
              <w:jc w:val="left"/>
              <w:rPr>
                <w:sz w:val="16"/>
                <w:szCs w:val="16"/>
              </w:rPr>
            </w:pPr>
            <w:r>
              <w:rPr>
                <w:sz w:val="16"/>
                <w:szCs w:val="16"/>
              </w:rPr>
              <w:t xml:space="preserve">-0.0397****</w:t>
            </w:r>
          </w:p>
        </w:tc>
        <w:tc>
          <w:tcPr>
            <w:tcW w:w="645" w:type="dxa"/>
          </w:tcPr>
          <w:p>
            <w:pPr>
              <w:pStyle w:val="Compact"/>
              <w:jc w:val="left"/>
              <w:rPr>
                <w:sz w:val="16"/>
                <w:szCs w:val="16"/>
              </w:rPr>
            </w:pPr>
            <w:r>
              <w:rPr>
                <w:sz w:val="16"/>
                <w:szCs w:val="16"/>
              </w:rPr>
              <w:t xml:space="preserve">0.671</w:t>
            </w:r>
          </w:p>
        </w:tc>
      </w:tr>
    </w:tbl>
    <w:bookmarkEnd w:id="28"/>
    <w:bookmarkStart w:id="29" w:name="table-s5"/>
    <w:p>
      <w:pPr>
        <w:pStyle w:val="Heading1"/>
      </w:pPr>
      <w:r>
        <w:t xml:space="preserve">Table S5</w:t>
      </w:r>
    </w:p>
    <w:p>
      <w:pPr>
        <w:pStyle w:val="FirstParagraph"/>
      </w:pPr>
      <w:r>
        <w:t xml:space="preserve">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and shoulder, 16 cells with no attack, was merged into ridge. Significance was marked * P ≤ 0.05, ** P ≤ 0.01, *** P ≤ 0.001, **** P ≤ 0.0001.</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Class</w:t>
            </w:r>
          </w:p>
        </w:tc>
        <w:tc>
          <w:tcPr>
            <w:tcW w:w="1871" w:type="dxa"/>
          </w:tcPr>
          <w:p>
            <w:pPr>
              <w:pStyle w:val="Compact"/>
              <w:jc w:val="left"/>
              <w:rPr>
                <w:sz w:val="16"/>
                <w:szCs w:val="16"/>
              </w:rPr>
            </w:pPr>
            <w:r>
              <w:rPr>
                <w:sz w:val="16"/>
                <w:szCs w:val="16"/>
              </w:rPr>
              <w:t xml:space="preserve">Cells</w:t>
            </w:r>
          </w:p>
        </w:tc>
        <w:tc>
          <w:tcPr>
            <w:tcW w:w="1871" w:type="dxa"/>
          </w:tcPr>
          <w:p>
            <w:pPr>
              <w:pStyle w:val="Compact"/>
              <w:jc w:val="left"/>
              <w:rPr>
                <w:sz w:val="16"/>
                <w:szCs w:val="16"/>
              </w:rPr>
            </w:pPr>
            <w:r>
              <w:rPr>
                <w:sz w:val="16"/>
                <w:szCs w:val="16"/>
              </w:rPr>
              <w:t xml:space="preserve">Attacked (%)</w:t>
            </w:r>
          </w:p>
        </w:tc>
        <w:tc>
          <w:tcPr>
            <w:tcW w:w="1871" w:type="dxa"/>
          </w:tcPr>
          <w:p>
            <w:pPr>
              <w:pStyle w:val="Compact"/>
              <w:jc w:val="left"/>
              <w:rPr>
                <w:sz w:val="16"/>
                <w:szCs w:val="16"/>
              </w:rPr>
            </w:pPr>
            <w:r>
              <w:rPr>
                <w:sz w:val="16"/>
                <w:szCs w:val="16"/>
              </w:rPr>
              <w:t xml:space="preserve">Beta</w:t>
            </w:r>
          </w:p>
        </w:tc>
        <w:tc>
          <w:tcPr>
            <w:tcW w:w="1870" w:type="dxa"/>
          </w:tcPr>
          <w:p>
            <w:pPr>
              <w:pStyle w:val="Compact"/>
              <w:jc w:val="left"/>
              <w:rPr>
                <w:sz w:val="16"/>
                <w:szCs w:val="16"/>
              </w:rPr>
            </w:pPr>
            <w:r>
              <w:rPr>
                <w:sz w:val="16"/>
                <w:szCs w:val="16"/>
              </w:rPr>
              <w:t xml:space="preserve">SE</w:t>
            </w:r>
          </w:p>
        </w:tc>
      </w:tr>
      <w:tr>
        <w:trPr>
          <w:trHeight w:val="340" w:hRule="exact"/>
        </w:trPr>
        <w:tc>
          <w:tcPr>
            <w:tcW w:w="1871" w:type="dxa"/>
          </w:tcPr>
          <w:p>
            <w:pPr>
              <w:pStyle w:val="Compact"/>
              <w:jc w:val="left"/>
              <w:rPr>
                <w:sz w:val="16"/>
                <w:szCs w:val="16"/>
              </w:rPr>
            </w:pPr>
            <w:r>
              <w:rPr>
                <w:sz w:val="16"/>
                <w:szCs w:val="16"/>
              </w:rPr>
              <w:t xml:space="preserve">slope (reference)</w:t>
            </w:r>
          </w:p>
        </w:tc>
        <w:tc>
          <w:tcPr>
            <w:tcW w:w="1871" w:type="dxa"/>
          </w:tcPr>
          <w:p>
            <w:pPr>
              <w:pStyle w:val="Compact"/>
              <w:jc w:val="left"/>
              <w:rPr>
                <w:sz w:val="16"/>
                <w:szCs w:val="16"/>
              </w:rPr>
            </w:pPr>
            <w:r>
              <w:rPr>
                <w:sz w:val="16"/>
                <w:szCs w:val="16"/>
              </w:rPr>
              <w:t xml:space="preserve">72,262</w:t>
            </w:r>
          </w:p>
        </w:tc>
        <w:tc>
          <w:tcPr>
            <w:tcW w:w="1871" w:type="dxa"/>
          </w:tcPr>
          <w:p>
            <w:pPr>
              <w:pStyle w:val="Compact"/>
              <w:jc w:val="left"/>
              <w:rPr>
                <w:sz w:val="16"/>
                <w:szCs w:val="16"/>
              </w:rPr>
            </w:pPr>
            <w:r>
              <w:rPr>
                <w:sz w:val="16"/>
                <w:szCs w:val="16"/>
              </w:rPr>
              <w:t xml:space="preserve">9.6</w:t>
            </w:r>
          </w:p>
        </w:tc>
        <w:tc>
          <w:tcPr>
            <w:tcW w:w="1871" w:type="dxa"/>
          </w:tcPr>
          <w:p>
            <w:pPr>
              <w:pStyle w:val="Compact"/>
              <w:jc w:val="left"/>
              <w:rPr>
                <w:sz w:val="16"/>
                <w:szCs w:val="16"/>
              </w:rPr>
            </w:pPr>
          </w:p>
        </w:tc>
        <w:tc>
          <w:tcPr>
            <w:tcW w:w="1870" w:type="dxa"/>
          </w:tcPr>
          <w:p>
            <w:pPr>
              <w:pStyle w:val="Compact"/>
              <w:jc w:val="left"/>
              <w:rPr>
                <w:sz w:val="16"/>
                <w:szCs w:val="16"/>
              </w:rPr>
            </w:pPr>
          </w:p>
        </w:tc>
      </w:tr>
      <w:tr>
        <w:trPr>
          <w:trHeight w:val="340" w:hRule="exact"/>
        </w:trPr>
        <w:tc>
          <w:tcPr>
            <w:tcW w:w="1871" w:type="dxa"/>
          </w:tcPr>
          <w:p>
            <w:pPr>
              <w:pStyle w:val="Compact"/>
              <w:jc w:val="left"/>
              <w:rPr>
                <w:sz w:val="16"/>
                <w:szCs w:val="16"/>
              </w:rPr>
            </w:pPr>
            <w:r>
              <w:rPr>
                <w:sz w:val="16"/>
                <w:szCs w:val="16"/>
              </w:rPr>
              <w:t xml:space="preserve">spur</w:t>
            </w:r>
          </w:p>
        </w:tc>
        <w:tc>
          <w:tcPr>
            <w:tcW w:w="1871" w:type="dxa"/>
          </w:tcPr>
          <w:p>
            <w:pPr>
              <w:pStyle w:val="Compact"/>
              <w:jc w:val="left"/>
              <w:rPr>
                <w:sz w:val="16"/>
                <w:szCs w:val="16"/>
              </w:rPr>
            </w:pPr>
            <w:r>
              <w:rPr>
                <w:sz w:val="16"/>
                <w:szCs w:val="16"/>
              </w:rPr>
              <w:t xml:space="preserve">22,050</w:t>
            </w:r>
          </w:p>
        </w:tc>
        <w:tc>
          <w:tcPr>
            <w:tcW w:w="1871" w:type="dxa"/>
          </w:tcPr>
          <w:p>
            <w:pPr>
              <w:pStyle w:val="Compact"/>
              <w:jc w:val="left"/>
              <w:rPr>
                <w:sz w:val="16"/>
                <w:szCs w:val="16"/>
              </w:rPr>
            </w:pPr>
            <w:r>
              <w:rPr>
                <w:sz w:val="16"/>
                <w:szCs w:val="16"/>
              </w:rPr>
              <w:t xml:space="preserve">12.6</w:t>
            </w:r>
          </w:p>
        </w:tc>
        <w:tc>
          <w:tcPr>
            <w:tcW w:w="1871" w:type="dxa"/>
          </w:tcPr>
          <w:p>
            <w:pPr>
              <w:pStyle w:val="Compact"/>
              <w:jc w:val="left"/>
              <w:rPr>
                <w:sz w:val="16"/>
                <w:szCs w:val="16"/>
              </w:rPr>
            </w:pPr>
            <w:r>
              <w:rPr>
                <w:sz w:val="16"/>
                <w:szCs w:val="16"/>
              </w:rPr>
              <w:t xml:space="preserve">-0.075*</w:t>
            </w:r>
          </w:p>
        </w:tc>
        <w:tc>
          <w:tcPr>
            <w:tcW w:w="1870" w:type="dxa"/>
          </w:tcPr>
          <w:p>
            <w:pPr>
              <w:pStyle w:val="Compact"/>
              <w:jc w:val="left"/>
              <w:rPr>
                <w:sz w:val="16"/>
                <w:szCs w:val="16"/>
              </w:rPr>
            </w:pPr>
            <w:r>
              <w:rPr>
                <w:sz w:val="16"/>
                <w:szCs w:val="16"/>
              </w:rPr>
              <w:t xml:space="preserve">0.035</w:t>
            </w:r>
          </w:p>
        </w:tc>
      </w:tr>
      <w:tr>
        <w:trPr>
          <w:trHeight w:val="340" w:hRule="exact"/>
        </w:trPr>
        <w:tc>
          <w:tcPr>
            <w:tcW w:w="1871" w:type="dxa"/>
          </w:tcPr>
          <w:p>
            <w:pPr>
              <w:pStyle w:val="Compact"/>
              <w:jc w:val="left"/>
              <w:rPr>
                <w:sz w:val="16"/>
                <w:szCs w:val="16"/>
              </w:rPr>
            </w:pPr>
            <w:r>
              <w:rPr>
                <w:sz w:val="16"/>
                <w:szCs w:val="16"/>
              </w:rPr>
              <w:t xml:space="preserve">hollow</w:t>
            </w:r>
          </w:p>
        </w:tc>
        <w:tc>
          <w:tcPr>
            <w:tcW w:w="1871" w:type="dxa"/>
          </w:tcPr>
          <w:p>
            <w:pPr>
              <w:pStyle w:val="Compact"/>
              <w:jc w:val="left"/>
              <w:rPr>
                <w:sz w:val="16"/>
                <w:szCs w:val="16"/>
              </w:rPr>
            </w:pPr>
            <w:r>
              <w:rPr>
                <w:sz w:val="16"/>
                <w:szCs w:val="16"/>
              </w:rPr>
              <w:t xml:space="preserve">12,988</w:t>
            </w:r>
          </w:p>
        </w:tc>
        <w:tc>
          <w:tcPr>
            <w:tcW w:w="1871" w:type="dxa"/>
          </w:tcPr>
          <w:p>
            <w:pPr>
              <w:pStyle w:val="Compact"/>
              <w:jc w:val="left"/>
              <w:rPr>
                <w:sz w:val="16"/>
                <w:szCs w:val="16"/>
              </w:rPr>
            </w:pPr>
            <w:r>
              <w:rPr>
                <w:sz w:val="16"/>
                <w:szCs w:val="16"/>
              </w:rPr>
              <w:t xml:space="preserve">6.0</w:t>
            </w:r>
          </w:p>
        </w:tc>
        <w:tc>
          <w:tcPr>
            <w:tcW w:w="1871" w:type="dxa"/>
          </w:tcPr>
          <w:p>
            <w:pPr>
              <w:pStyle w:val="Compact"/>
              <w:jc w:val="left"/>
              <w:rPr>
                <w:sz w:val="16"/>
                <w:szCs w:val="16"/>
              </w:rPr>
            </w:pPr>
            <w:r>
              <w:rPr>
                <w:sz w:val="16"/>
                <w:szCs w:val="16"/>
              </w:rPr>
              <w:t xml:space="preserve">-0.091</w:t>
            </w:r>
          </w:p>
        </w:tc>
        <w:tc>
          <w:tcPr>
            <w:tcW w:w="1870" w:type="dxa"/>
          </w:tcPr>
          <w:p>
            <w:pPr>
              <w:pStyle w:val="Compact"/>
              <w:jc w:val="left"/>
              <w:rPr>
                <w:sz w:val="16"/>
                <w:szCs w:val="16"/>
              </w:rPr>
            </w:pPr>
            <w:r>
              <w:rPr>
                <w:sz w:val="16"/>
                <w:szCs w:val="16"/>
              </w:rPr>
              <w:t xml:space="preserve">0.053</w:t>
            </w:r>
          </w:p>
        </w:tc>
      </w:tr>
      <w:tr>
        <w:trPr>
          <w:trHeight w:val="340" w:hRule="exact"/>
        </w:trPr>
        <w:tc>
          <w:tcPr>
            <w:tcW w:w="1871" w:type="dxa"/>
          </w:tcPr>
          <w:p>
            <w:pPr>
              <w:pStyle w:val="Compact"/>
              <w:jc w:val="left"/>
              <w:rPr>
                <w:sz w:val="16"/>
                <w:szCs w:val="16"/>
              </w:rPr>
            </w:pPr>
            <w:r>
              <w:rPr>
                <w:sz w:val="16"/>
                <w:szCs w:val="16"/>
              </w:rPr>
              <w:t xml:space="preserve">valley</w:t>
            </w:r>
          </w:p>
        </w:tc>
        <w:tc>
          <w:tcPr>
            <w:tcW w:w="1871" w:type="dxa"/>
          </w:tcPr>
          <w:p>
            <w:pPr>
              <w:pStyle w:val="Compact"/>
              <w:jc w:val="left"/>
              <w:rPr>
                <w:sz w:val="16"/>
                <w:szCs w:val="16"/>
              </w:rPr>
            </w:pPr>
            <w:r>
              <w:rPr>
                <w:sz w:val="16"/>
                <w:szCs w:val="16"/>
              </w:rPr>
              <w:t xml:space="preserve">2,963</w:t>
            </w:r>
          </w:p>
        </w:tc>
        <w:tc>
          <w:tcPr>
            <w:tcW w:w="1871" w:type="dxa"/>
          </w:tcPr>
          <w:p>
            <w:pPr>
              <w:pStyle w:val="Compact"/>
              <w:jc w:val="left"/>
              <w:rPr>
                <w:sz w:val="16"/>
                <w:szCs w:val="16"/>
              </w:rPr>
            </w:pPr>
            <w:r>
              <w:rPr>
                <w:sz w:val="16"/>
                <w:szCs w:val="16"/>
              </w:rPr>
              <w:t xml:space="preserve">3.8</w:t>
            </w:r>
          </w:p>
        </w:tc>
        <w:tc>
          <w:tcPr>
            <w:tcW w:w="1871" w:type="dxa"/>
          </w:tcPr>
          <w:p>
            <w:pPr>
              <w:pStyle w:val="Compact"/>
              <w:jc w:val="left"/>
              <w:rPr>
                <w:sz w:val="16"/>
                <w:szCs w:val="16"/>
              </w:rPr>
            </w:pPr>
            <w:r>
              <w:rPr>
                <w:sz w:val="16"/>
                <w:szCs w:val="16"/>
              </w:rPr>
              <w:t xml:space="preserve">-0.676****</w:t>
            </w:r>
          </w:p>
        </w:tc>
        <w:tc>
          <w:tcPr>
            <w:tcW w:w="1870" w:type="dxa"/>
          </w:tcPr>
          <w:p>
            <w:pPr>
              <w:pStyle w:val="Compact"/>
              <w:jc w:val="left"/>
              <w:rPr>
                <w:sz w:val="16"/>
                <w:szCs w:val="16"/>
              </w:rPr>
            </w:pPr>
            <w:r>
              <w:rPr>
                <w:sz w:val="16"/>
                <w:szCs w:val="16"/>
              </w:rPr>
              <w:t xml:space="preserve">0.121</w:t>
            </w:r>
          </w:p>
        </w:tc>
      </w:tr>
      <w:tr>
        <w:trPr>
          <w:trHeight w:val="340" w:hRule="exact"/>
        </w:trPr>
        <w:tc>
          <w:tcPr>
            <w:tcW w:w="1871" w:type="dxa"/>
          </w:tcPr>
          <w:p>
            <w:pPr>
              <w:pStyle w:val="Compact"/>
              <w:jc w:val="left"/>
              <w:rPr>
                <w:sz w:val="16"/>
                <w:szCs w:val="16"/>
              </w:rPr>
            </w:pPr>
            <w:r>
              <w:rPr>
                <w:sz w:val="16"/>
                <w:szCs w:val="16"/>
              </w:rPr>
              <w:t xml:space="preserve">ridge#</w:t>
            </w:r>
          </w:p>
        </w:tc>
        <w:tc>
          <w:tcPr>
            <w:tcW w:w="1871" w:type="dxa"/>
          </w:tcPr>
          <w:p>
            <w:pPr>
              <w:pStyle w:val="Compact"/>
              <w:jc w:val="left"/>
              <w:rPr>
                <w:sz w:val="16"/>
                <w:szCs w:val="16"/>
              </w:rPr>
            </w:pPr>
            <w:r>
              <w:rPr>
                <w:sz w:val="16"/>
                <w:szCs w:val="16"/>
              </w:rPr>
              <w:t xml:space="preserve">1,276</w:t>
            </w:r>
          </w:p>
        </w:tc>
        <w:tc>
          <w:tcPr>
            <w:tcW w:w="1871" w:type="dxa"/>
          </w:tcPr>
          <w:p>
            <w:pPr>
              <w:pStyle w:val="Compact"/>
              <w:jc w:val="left"/>
              <w:rPr>
                <w:sz w:val="16"/>
                <w:szCs w:val="16"/>
              </w:rPr>
            </w:pPr>
            <w:r>
              <w:rPr>
                <w:sz w:val="16"/>
                <w:szCs w:val="16"/>
              </w:rPr>
              <w:t xml:space="preserve">11.0</w:t>
            </w:r>
          </w:p>
        </w:tc>
        <w:tc>
          <w:tcPr>
            <w:tcW w:w="1871" w:type="dxa"/>
          </w:tcPr>
          <w:p>
            <w:pPr>
              <w:pStyle w:val="Compact"/>
              <w:jc w:val="left"/>
              <w:rPr>
                <w:sz w:val="16"/>
                <w:szCs w:val="16"/>
              </w:rPr>
            </w:pPr>
            <w:r>
              <w:rPr>
                <w:sz w:val="16"/>
                <w:szCs w:val="16"/>
              </w:rPr>
              <w:t xml:space="preserve">-1.160****</w:t>
            </w:r>
          </w:p>
        </w:tc>
        <w:tc>
          <w:tcPr>
            <w:tcW w:w="1870" w:type="dxa"/>
          </w:tcPr>
          <w:p>
            <w:pPr>
              <w:pStyle w:val="Compact"/>
              <w:jc w:val="left"/>
              <w:rPr>
                <w:sz w:val="16"/>
                <w:szCs w:val="16"/>
              </w:rPr>
            </w:pPr>
            <w:r>
              <w:rPr>
                <w:sz w:val="16"/>
                <w:szCs w:val="16"/>
              </w:rPr>
              <w:t xml:space="preserve">0.119</w:t>
            </w:r>
          </w:p>
        </w:tc>
      </w:tr>
      <w:tr>
        <w:trPr>
          <w:trHeight w:val="340" w:hRule="exact"/>
        </w:trPr>
        <w:tc>
          <w:tcPr>
            <w:tcW w:w="1871" w:type="dxa"/>
          </w:tcPr>
          <w:p>
            <w:pPr>
              <w:pStyle w:val="Compact"/>
              <w:jc w:val="left"/>
              <w:rPr>
                <w:sz w:val="16"/>
                <w:szCs w:val="16"/>
              </w:rPr>
            </w:pPr>
            <w:r>
              <w:rPr>
                <w:sz w:val="16"/>
                <w:szCs w:val="16"/>
              </w:rPr>
              <w:t xml:space="preserve">peak</w:t>
            </w:r>
          </w:p>
        </w:tc>
        <w:tc>
          <w:tcPr>
            <w:tcW w:w="1871" w:type="dxa"/>
          </w:tcPr>
          <w:p>
            <w:pPr>
              <w:pStyle w:val="Compact"/>
              <w:jc w:val="left"/>
              <w:rPr>
                <w:sz w:val="16"/>
                <w:szCs w:val="16"/>
              </w:rPr>
            </w:pPr>
            <w:r>
              <w:rPr>
                <w:sz w:val="16"/>
                <w:szCs w:val="16"/>
              </w:rPr>
              <w:t xml:space="preserve">168</w:t>
            </w:r>
          </w:p>
        </w:tc>
        <w:tc>
          <w:tcPr>
            <w:tcW w:w="1871" w:type="dxa"/>
          </w:tcPr>
          <w:p>
            <w:pPr>
              <w:pStyle w:val="Compact"/>
              <w:jc w:val="left"/>
              <w:rPr>
                <w:sz w:val="16"/>
                <w:szCs w:val="16"/>
              </w:rPr>
            </w:pPr>
            <w:r>
              <w:rPr>
                <w:sz w:val="16"/>
                <w:szCs w:val="16"/>
              </w:rPr>
              <w:t xml:space="preserve">22.6</w:t>
            </w:r>
          </w:p>
        </w:tc>
        <w:tc>
          <w:tcPr>
            <w:tcW w:w="1871" w:type="dxa"/>
          </w:tcPr>
          <w:p>
            <w:pPr>
              <w:pStyle w:val="Compact"/>
              <w:jc w:val="left"/>
              <w:rPr>
                <w:sz w:val="16"/>
                <w:szCs w:val="16"/>
              </w:rPr>
            </w:pPr>
            <w:r>
              <w:rPr>
                <w:sz w:val="16"/>
                <w:szCs w:val="16"/>
              </w:rPr>
              <w:t xml:space="preserve">-0.523*</w:t>
            </w:r>
          </w:p>
        </w:tc>
        <w:tc>
          <w:tcPr>
            <w:tcW w:w="1870" w:type="dxa"/>
          </w:tcPr>
          <w:p>
            <w:pPr>
              <w:pStyle w:val="Compact"/>
              <w:jc w:val="left"/>
              <w:rPr>
                <w:sz w:val="16"/>
                <w:szCs w:val="16"/>
              </w:rPr>
            </w:pPr>
            <w:r>
              <w:rPr>
                <w:sz w:val="16"/>
                <w:szCs w:val="16"/>
              </w:rPr>
              <w:t xml:space="preserve">0.227</w:t>
            </w:r>
          </w:p>
        </w:tc>
      </w:tr>
    </w:tbl>
    <w:bookmarkEnd w:id="29"/>
    <w:bookmarkStart w:id="33" w:name="figure-s1"/>
    <w:p>
      <w:pPr>
        <w:pStyle w:val="Heading1"/>
      </w:pPr>
      <w:r>
        <w:t xml:space="preserve">Figure S1</w:t>
      </w:r>
    </w:p>
    <w:p>
      <w:pPr>
        <w:pStyle w:val="FirstParagraph"/>
      </w:pPr>
      <w:r>
        <w:t xml:space="preserve">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pPr>
        <w:pStyle w:val="BodyText"/>
      </w:pPr>
      <w:r>
        <w:drawing>
          <wp:inline>
            <wp:extent cx="5943600" cy="4913375"/>
            <wp:effectExtent b="0" l="0" r="0" t="0"/>
            <wp:docPr descr="" title="" id="31" name="Picture"/>
            <a:graphic>
              <a:graphicData uri="http://schemas.openxmlformats.org/drawingml/2006/picture">
                <pic:pic>
                  <pic:nvPicPr>
                    <pic:cNvPr descr="../03.outputs/PNG/FigS1.png" id="32" name="Picture"/>
                    <pic:cNvPicPr>
                      <a:picLocks noChangeArrowheads="1" noChangeAspect="1"/>
                    </pic:cNvPicPr>
                  </pic:nvPicPr>
                  <pic:blipFill>
                    <a:blip r:embed="rId30"/>
                    <a:stretch>
                      <a:fillRect/>
                    </a:stretch>
                  </pic:blipFill>
                  <pic:spPr bwMode="auto">
                    <a:xfrm>
                      <a:off x="0" y="0"/>
                      <a:ext cx="5943600" cy="4913375"/>
                    </a:xfrm>
                    <a:prstGeom prst="rect">
                      <a:avLst/>
                    </a:prstGeom>
                    <a:noFill/>
                    <a:ln w="9525">
                      <a:noFill/>
                      <a:headEnd/>
                      <a:tailEnd/>
                    </a:ln>
                  </pic:spPr>
                </pic:pic>
              </a:graphicData>
            </a:graphic>
          </wp:inline>
        </w:drawing>
      </w:r>
    </w:p>
    <w:bookmarkEnd w:id="33"/>
    <w:bookmarkStart w:id="41" w:name="references"/>
    <w:p>
      <w:pPr>
        <w:pStyle w:val="Heading1"/>
      </w:pPr>
      <w:r>
        <w:t xml:space="preserve">References</w:t>
      </w:r>
    </w:p>
    <w:bookmarkStart w:id="40" w:name="refs"/>
    <w:bookmarkStart w:id="35"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34">
        <w:r>
          <w:rPr>
            <w:rStyle w:val="Hyperlink"/>
          </w:rPr>
          <w:t xml:space="preserve">https://doi.org/10.1007/s10453-010-9176-9</w:t>
        </w:r>
      </w:hyperlink>
    </w:p>
    <w:bookmarkEnd w:id="35"/>
    <w:bookmarkStart w:id="37"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36">
        <w:r>
          <w:rPr>
            <w:rStyle w:val="Hyperlink"/>
          </w:rPr>
          <w:t xml:space="preserve">https://doi.org/10.1139/X08-066</w:t>
        </w:r>
      </w:hyperlink>
    </w:p>
    <w:bookmarkEnd w:id="37"/>
    <w:bookmarkStart w:id="39"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38">
        <w:r>
          <w:rPr>
            <w:rStyle w:val="Hyperlink"/>
          </w:rPr>
          <w:t xml:space="preserve">https://doi.org/10.1175/JHM486.1</w:t>
        </w:r>
      </w:hyperlink>
    </w:p>
    <w:bookmarkEnd w:id="39"/>
    <w:bookmarkEnd w:id="40"/>
    <w:bookmarkEnd w:id="4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hyperlink" Id="rId34" Target="https://doi.org/10.1007/s10453-010-9176-9" TargetMode="External" /><Relationship Type="http://schemas.openxmlformats.org/officeDocument/2006/relationships/hyperlink" Id="rId36" Target="https://doi.org/10.1139/X08-066" TargetMode="External" /><Relationship Type="http://schemas.openxmlformats.org/officeDocument/2006/relationships/hyperlink" Id="rId38"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34" Target="https://doi.org/10.1007/s10453-010-9176-9" TargetMode="External" /><Relationship Type="http://schemas.openxmlformats.org/officeDocument/2006/relationships/hyperlink" Id="rId36" Target="https://doi.org/10.1139/X08-066" TargetMode="External" /><Relationship Type="http://schemas.openxmlformats.org/officeDocument/2006/relationships/hyperlink" Id="rId38"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2026-09-23T08:50:01Z</dcterms:created>
  <dcterms:modified xsi:type="dcterms:W3CDTF">2026-09-23T08:50:01Z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../04.references/apa.csl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