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and wind as competing controls on mountain pine beetle attack (Dendroctonus ponderosae) in the Selkirk Mountains of British Columbia</w:t>
      </w:r>
    </w:p>
    <w:p>
      <w:pPr>
        <w:pStyle w:val="Author"/>
      </w:pPr>
      <w:r>
        <w:t xml:space="preserve">Seamus Murphy</w:t>
      </w:r>
    </w:p>
    <w:p>
      <w:pPr>
        <w:pStyle w:val="Date"/>
      </w:pPr>
      <w:r>
        <w:t xml:space="preserve">2026-08-31</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tree defences hold, on shaded ground that spares trees water stress, or in thin</w:t>
      </w:r>
      <w:r>
        <w:t xml:space="preserve"> </w:t>
      </w:r>
      <w:r>
        <w:t xml:space="preserve">stands with few large hosts, where wind may disrupt the aggregation pheromone or vigour</w:t>
      </w:r>
      <w:r>
        <w:t xml:space="preserve"> </w:t>
      </w:r>
      <w:r>
        <w:t xml:space="preserve">sustain chemical defence. None has been fitted spatially. All three were tested across</w:t>
      </w:r>
      <w:r>
        <w:t xml:space="preserve"> </w:t>
      </w:r>
      <w:r>
        <w:t xml:space="preserve">5,573 ha of the Selkirk Mountains, British Columbia, using 59</w:t>
      </w:r>
      <w:r>
        <w:t xml:space="preserve"> </w:t>
      </w:r>
      <w:r>
        <w:t xml:space="preserve">sixteen-day Landsat epochs over eight outbreak years, year-matched forest</w:t>
      </w:r>
      <w:r>
        <w:t xml:space="preserve"> </w:t>
      </w:r>
      <w:r>
        <w:t xml:space="preserve">inventory, 29 geomorphometric variables, and a terrain-resolved MicroMet wind</w:t>
      </w:r>
      <w:r>
        <w:t xml:space="preserve"> </w:t>
      </w:r>
      <w:r>
        <w:t xml:space="preserve">field from hourly station records. The wind disruption hypothesis held, conditionally.</w:t>
      </w:r>
      <w:r>
        <w:t xml:space="preserve"> </w:t>
      </w:r>
      <w:r>
        <w:t xml:space="preserve">Attack fell where a thin stand and strong flight-period wind coincided, the density-by-wind</w:t>
      </w:r>
      <w:r>
        <w:t xml:space="preserve"> </w:t>
      </w:r>
      <w:r>
        <w:t xml:space="preserve">interaction -0.049 for stem density (p &lt; 0.001) and -0.017 for</w:t>
      </w:r>
      <w:r>
        <w:t xml:space="preserve"> </w:t>
      </w:r>
      <w:r>
        <w:t xml:space="preserve">standing volume (p &lt; 0.05), both surviving a within-season contagion term. Neither</w:t>
      </w:r>
      <w:r>
        <w:t xml:space="preserve"> </w:t>
      </w:r>
      <w:r>
        <w:t xml:space="preserve">protected alone. Wind alone carried marginally more attack (+0.022), and</w:t>
      </w:r>
      <w:r>
        <w:t xml:space="preserve"> </w:t>
      </w:r>
      <w:r>
        <w:t xml:space="preserve">thin stands in still air did not. A refugium here is a conjunction of stand and weather, not</w:t>
      </w:r>
      <w:r>
        <w:t xml:space="preserve"> </w:t>
      </w:r>
      <w:r>
        <w:t xml:space="preserve">a fixed place. The model cannot separate plume disruption from the vigour that also</w:t>
      </w:r>
      <w:r>
        <w:t xml:space="preserve"> </w:t>
      </w:r>
      <w:r>
        <w:t xml:space="preserve">accompanies low density. Host size held as a threshold, not a gradient. Attack peaked at</w:t>
      </w:r>
      <w:r>
        <w:t xml:space="preserve"> </w:t>
      </w:r>
      <w:r>
        <w:t xml:space="preserve">39.7 per cent in the 25 to 30 cm quadratic mean diameter class, the</w:t>
      </w:r>
      <w:r>
        <w:t xml:space="preserve"> </w:t>
      </w:r>
      <w:r>
        <w:t xml:space="preserve">source-sink boundary of</w:t>
      </w:r>
      <w:r>
        <w:t xml:space="preserve"> </w:t>
      </w:r>
      <w:r>
        <w:t xml:space="preserve">Carroll &amp; Safranyik (2004)</w:t>
      </w:r>
      <w:r>
        <w:t xml:space="preserve">, and fell away on both sides. Above that class</w:t>
      </w:r>
      <w:r>
        <w:t xml:space="preserve"> </w:t>
      </w:r>
      <w:r>
        <w:t xml:space="preserve">pine basal area falls from 10.2 to 1.4 square</w:t>
      </w:r>
      <w:r>
        <w:t xml:space="preserve"> </w:t>
      </w:r>
      <w:r>
        <w:t xml:space="preserve">metres per hectare while total basal area rises, as expected of a pioneer, because the</w:t>
      </w:r>
      <w:r>
        <w:t xml:space="preserve"> </w:t>
      </w:r>
      <w:r>
        <w:t xml:space="preserve">larger stands are not pine. The rise across 25 cm is the size threshold, the</w:t>
      </w:r>
      <w:r>
        <w:t xml:space="preserve"> </w:t>
      </w:r>
      <w:r>
        <w:t xml:space="preserve">fall above it host scarcity. Temperature and hydrology failed in reverse. North-facing</w:t>
      </w:r>
      <w:r>
        <w:t xml:space="preserve"> </w:t>
      </w:r>
      <w:r>
        <w:t xml:space="preserve">slopes, which the water-stress mechanism predicts should escape, carried more attack,</w:t>
      </w:r>
      <w:r>
        <w:t xml:space="preserve"> </w:t>
      </w:r>
      <w:r>
        <w:t xml:space="preserve">+0.305. Refugia here were warm, not cool, so terrain wind indices at these</w:t>
      </w:r>
      <w:r>
        <w:t xml:space="preserve"> </w:t>
      </w:r>
      <w:r>
        <w:t xml:space="preserve">elevations partly carry insolation.</w:t>
      </w:r>
    </w:p>
    <w:bookmarkEnd w:id="20"/>
    <w:bookmarkStart w:id="21" w:name="keywords"/>
    <w:p>
      <w:pPr>
        <w:pStyle w:val="Heading1"/>
      </w:pPr>
      <w:r>
        <w:t xml:space="preserve">Keywords</w:t>
      </w:r>
    </w:p>
    <w:p>
      <w:pPr>
        <w:pStyle w:val="FirstParagraph"/>
      </w:pPr>
      <w:r>
        <w:t xml:space="preserve">Dendroctonus ponderosae, forest disturbance, insect outbreaks, Landsat time series,</w:t>
      </w:r>
      <w:r>
        <w:t xml:space="preserve"> </w:t>
      </w:r>
      <w:r>
        <w:t xml:space="preserve">refugia, British Columbia</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cause on record</w:t>
      </w:r>
      <w:r>
        <w:t xml:space="preserve"> </w:t>
      </w:r>
      <w:r>
        <w:t xml:space="preserve">(Sambaraju &amp; Goodsman, 2021; Taylor &amp; Carroll, 2003)</w:t>
      </w:r>
      <w:r>
        <w:t xml:space="preserve">. Mortality is not distributed evenly across a landscape, and</w:t>
      </w:r>
      <w:r>
        <w:t xml:space="preserve"> </w:t>
      </w:r>
      <w:r>
        <w:t xml:space="preserve">the stands that survive supply the structure and seed from which the next forest develops.</w:t>
      </w:r>
      <w:r>
        <w:t xml:space="preserve"> </w:t>
      </w:r>
      <w:r>
        <w:t xml:space="preserve">Such stands are termed disturbance refugia, places buffered from disturbance over time</w:t>
      </w:r>
      <w:r>
        <w:t xml:space="preserve"> </w:t>
      </w:r>
      <w:r>
        <w:t xml:space="preserve">(Krawchuk et al., 2020)</w:t>
      </w:r>
      <w:r>
        <w:t xml:space="preserve">. Locating a refugium is not the same as explaining one, and explanation</w:t>
      </w:r>
      <w:r>
        <w:t xml:space="preserve"> </w:t>
      </w:r>
      <w:r>
        <w:t xml:space="preserve">requires a mechanism linking survival to a measurable property of the site, such as terrain,</w:t>
      </w:r>
      <w:r>
        <w:t xml:space="preserve"> </w:t>
      </w:r>
      <w:r>
        <w:t xml:space="preserve">soil or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that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These are treated here as three testable hypotheses.</w:t>
      </w:r>
      <w:r>
        <w:t xml:space="preserve"> </w:t>
      </w:r>
      <w:r>
        <w:t xml:space="preserve">Under H1, topographic shading reduces attack by relieving water stress on cool ground. Under</w:t>
      </w:r>
      <w:r>
        <w:t xml:space="preserve"> </w:t>
      </w:r>
      <w:r>
        <w:t xml:space="preserve">H2, low host density reduces attack by admitting the wind that disperses the aggregation</w:t>
      </w:r>
      <w:r>
        <w:t xml:space="preserve"> </w:t>
      </w:r>
      <w:r>
        <w:t xml:space="preserve">pheromone. Under H3, a scarcity of large-diameter hosts reduces attack by limiting brood</w:t>
      </w:r>
      <w:r>
        <w:t xml:space="preserve"> </w:t>
      </w:r>
      <w:r>
        <w:t xml:space="preserve">production. Two of the three act through terrain, and none has been fitted spatially. Of</w:t>
      </w:r>
      <w:r>
        <w:t xml:space="preserve"> </w:t>
      </w:r>
      <w:r>
        <w:t xml:space="preserve">the prior work reviewed here, only</w:t>
      </w:r>
      <w:r>
        <w:t xml:space="preserve"> </w:t>
      </w:r>
      <w:r>
        <w:t xml:space="preserve">Murphy, Leslie, Wilson, &amp; Banks (2026)</w:t>
      </w:r>
      <w:r>
        <w:t xml:space="preserve"> </w:t>
      </w:r>
      <w:r>
        <w:t xml:space="preserve">enters a wind term, in a companion study on</w:t>
      </w:r>
      <w:r>
        <w:t xml:space="preserve"> </w:t>
      </w:r>
      <w:r>
        <w:t xml:space="preserve">this same landscape whose response is conifer regeneration rather than beetle attack.</w:t>
      </w:r>
    </w:p>
    <w:p>
      <w:pPr>
        <w:pStyle w:val="BodyText"/>
      </w:pPr>
      <w:r>
        <w:t xml:space="preserve">The wind mechanism is a claim about conditions within the canopy rather than in open air.</w:t>
      </w:r>
      <w:r>
        <w:t xml:space="preserve"> </w:t>
      </w:r>
      <w:r>
        <w:t xml:space="preserve">Cartwright (2018)</w:t>
      </w:r>
      <w:r>
        <w:t xml:space="preserve">, the only reviewed study designed to model the controls on an insect</w:t>
      </w:r>
      <w:r>
        <w:t xml:space="preserve"> </w:t>
      </w:r>
      <w:r>
        <w:t xml:space="preserve">refugium, located refugia in stands of low basal area, reasoning that</w:t>
      </w:r>
      <w:r>
        <w:t xml:space="preserve"> </w:t>
      </w:r>
      <w:r>
        <w:t xml:space="preserve">“thinner stands also</w:t>
      </w:r>
      <w:r>
        <w:t xml:space="preserve"> </w:t>
      </w:r>
      <w:r>
        <w:t xml:space="preserve">increase wind penetration, helping to disperse beetle pheromones and disrupt chemical</w:t>
      </w:r>
      <w:r>
        <w:t xml:space="preserve"> </w:t>
      </w:r>
      <w:r>
        <w:t xml:space="preserve">communications needed to coordinate attacks.”</w:t>
      </w:r>
      <w:r>
        <w:t xml:space="preserve"> </w:t>
      </w:r>
      <w:r>
        <w:t xml:space="preserve">Powell &amp; Bentz (2014)</w:t>
      </w:r>
      <w:r>
        <w:t xml:space="preserve"> </w:t>
      </w:r>
      <w:r>
        <w:t xml:space="preserve">state the converse as a condition</w:t>
      </w:r>
      <w:r>
        <w:t xml:space="preserve"> </w:t>
      </w:r>
      <w:r>
        <w:t xml:space="preserve">for outbreak, that</w:t>
      </w:r>
      <w:r>
        <w:t xml:space="preserve"> </w:t>
      </w:r>
      <w:r>
        <w:t xml:space="preserve">“higher local host density, which minimizes pheromone plume dispersion,</w:t>
      </w:r>
      <w:r>
        <w:t xml:space="preserve"> </w:t>
      </w:r>
      <w:r>
        <w:t xml:space="preserve">reduces wind, and promotes successful switching to nearby hosts, positively influences</w:t>
      </w:r>
      <w:r>
        <w:t xml:space="preserve"> </w:t>
      </w:r>
      <w:r>
        <w:t xml:space="preserve">outbreak propensity.”</w:t>
      </w:r>
      <w:r>
        <w:t xml:space="preserve"> </w:t>
      </w:r>
      <w:r>
        <w:t xml:space="preserve">A model that removes stand density and then reads a terrain</w:t>
      </w:r>
      <w:r>
        <w:t xml:space="preserve"> </w:t>
      </w:r>
      <w:r>
        <w:t xml:space="preserve">coefficient as a wind effect has eliminated the pathway it set out to test.</w:t>
      </w:r>
    </w:p>
    <w:p>
      <w:pPr>
        <w:pStyle w:val="BodyText"/>
      </w:pPr>
      <w:r>
        <w:t xml:space="preserve">Terrain acts on attack through more than airflow, because flight is itself confined to a</w:t>
      </w:r>
      <w:r>
        <w:t xml:space="preserve"> </w:t>
      </w:r>
      <w:r>
        <w:t xml:space="preserve">temperature window, between 19 and 41 degrees C and mostly between 22 and 32, and most flights occur</w:t>
      </w:r>
      <w:r>
        <w:t xml:space="preserve"> </w:t>
      </w:r>
      <w:r>
        <w:t xml:space="preserve">“on</w:t>
      </w:r>
      <w:r>
        <w:t xml:space="preserve"> </w:t>
      </w:r>
      <w:r>
        <w:t xml:space="preserve">bright sunny days, and peak flight is in the early to mid afternoon”</w:t>
      </w:r>
      <w:r>
        <w:t xml:space="preserve"> </w:t>
      </w:r>
      <w:r>
        <w:t xml:space="preserve">(McCambridge, 1971; Safranyik &amp; Carroll, 2006)</w:t>
      </w:r>
      <w:r>
        <w:t xml:space="preserve">. Radiation during the flight window is therefore a different quantity from</w:t>
      </w:r>
      <w:r>
        <w:t xml:space="preserve"> </w:t>
      </w:r>
      <w:r>
        <w:t xml:space="preserve">radiation accumulated across the season, and it is the seasonal quantity that the shading</w:t>
      </w:r>
      <w:r>
        <w:t xml:space="preserve"> </w:t>
      </w:r>
      <w:r>
        <w:t xml:space="preserve">pathway concerns. Light, temperature and wind are not competing explanations so much as a</w:t>
      </w:r>
      <w:r>
        <w:t xml:space="preserve"> </w:t>
      </w:r>
      <w:r>
        <w:t xml:space="preserve">single bundle of correlated conditions. Stand density governs</w:t>
      </w:r>
      <w:r>
        <w:t xml:space="preserve"> </w:t>
      </w:r>
      <w:r>
        <w:t xml:space="preserve">“tree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w:t>
      </w:r>
      <w:r>
        <w:t xml:space="preserve">(Safranyik &amp; Carroll, 2006)</w:t>
      </w:r>
      <w:r>
        <w:t xml:space="preserve">, and</w:t>
      </w:r>
      <w:r>
        <w:t xml:space="preserve"> </w:t>
      </w:r>
      <w:r>
        <w:t xml:space="preserve">Bartos &amp; Amman (1989)</w:t>
      </w:r>
      <w:r>
        <w:t xml:space="preserve"> </w:t>
      </w:r>
      <w:r>
        <w:t xml:space="preserve">set the two halves of</w:t>
      </w:r>
      <w:r>
        <w:t xml:space="preserve"> </w:t>
      </w:r>
      <w:r>
        <w:t xml:space="preserve">that bundle against each other in their own title, microclimate against tree vigour. A third</w:t>
      </w:r>
      <w:r>
        <w:t xml:space="preserve"> </w:t>
      </w:r>
      <w:r>
        <w:t xml:space="preserve">route leads to the same place, because cool sites slow development enough to push the beetle</w:t>
      </w:r>
      <w:r>
        <w:t xml:space="preserve"> </w:t>
      </w:r>
      <w:r>
        <w:t xml:space="preserve">onto a two-year cycle</w:t>
      </w:r>
      <w:r>
        <w:t xml:space="preserve"> </w:t>
      </w:r>
      <w:r>
        <w:t xml:space="preserve">(Sambaraju &amp; Goodsman, 2021)</w:t>
      </w:r>
      <w:r>
        <w:t xml:space="preserve">. Shade and vigour therefore both predict less attack</w:t>
      </w:r>
      <w:r>
        <w:t xml:space="preserve"> </w:t>
      </w:r>
      <w:r>
        <w:t xml:space="preserve">on cool ground, by routes this design cannot separate.</w:t>
      </w:r>
    </w:p>
    <w:p>
      <w:pPr>
        <w:pStyle w:val="BodyText"/>
      </w:pPr>
      <w:r>
        <w:t xml:space="preserve">Two further constraints determine the interval over which a wind term can meaningfully be</w:t>
      </w:r>
      <w:r>
        <w:t xml:space="preserve"> </w:t>
      </w:r>
      <w:r>
        <w:t xml:space="preserve">measured, and both are temporal rather than spatial. The first operates within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bounded at both ends and confined to a few hours of the afternoon, so a daily</w:t>
      </w:r>
      <w:r>
        <w:t xml:space="preserve"> </w:t>
      </w:r>
      <w:r>
        <w:t xml:space="preserve">or monthly mean wind speed averages across many hours in which no beetle is flying.</w:t>
      </w:r>
    </w:p>
    <w:p>
      <w:pPr>
        <w:pStyle w:val="BodyText"/>
      </w:pPr>
      <w:r>
        <w:t xml:space="preserve">The second constraint operates across the season and is a property of the population rather</w:t>
      </w:r>
      <w:r>
        <w:t xml:space="preserve"> </w:t>
      </w:r>
      <w:r>
        <w:t xml:space="preserve">than of the individual, because mass attack is a threshold phenomenon.</w:t>
      </w:r>
      <w:r>
        <w:t xml:space="preserve"> </w:t>
      </w:r>
      <w:r>
        <w:t xml:space="preserve">Howe, Raffa, Aukema, Gratton, &amp; Carroll (2022)</w:t>
      </w:r>
      <w:r>
        <w:t xml:space="preserve"> </w:t>
      </w:r>
      <w:r>
        <w:t xml:space="preserve">conclude</w:t>
      </w:r>
      <w:r>
        <w:t xml:space="preserve"> </w:t>
      </w:r>
      <w:r>
        <w:t xml:space="preserve">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consequences follow for the present design. Attack in one year</w:t>
      </w:r>
      <w:r>
        <w:t xml:space="preserve"> </w:t>
      </w:r>
      <w:r>
        <w:t xml:space="preserve">is not independent of attack in the year before, which is why previous-year and</w:t>
      </w:r>
      <w:r>
        <w:t xml:space="preserve"> </w:t>
      </w:r>
      <w:r>
        <w:t xml:space="preserve">neighbourhood pressure enter the models. An environmental variable acting on this system</w:t>
      </w:r>
      <w:r>
        <w:t xml:space="preserve"> </w:t>
      </w:r>
      <w:r>
        <w:t xml:space="preserve">does so by regulating that threshold rather than by adding to attack, and</w:t>
      </w:r>
      <w:r>
        <w:t xml:space="preserve"> </w:t>
      </w:r>
      <w:r>
        <w:t xml:space="preserve">Cooke et al. (2025)</w:t>
      </w:r>
      <w:r>
        <w:t xml:space="preserve"> </w:t>
      </w:r>
      <w:r>
        <w:t xml:space="preserve">report</w:t>
      </w:r>
      <w:r>
        <w:t xml:space="preserve"> </w:t>
      </w:r>
      <w:r>
        <w:t xml:space="preserve">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available product reports the quantity the hypothesis concerns, an instantaneous</w:t>
      </w:r>
      <w:r>
        <w:t xml:space="preserve"> </w:t>
      </w:r>
      <w:r>
        <w:t xml:space="preserve">below-canopy wind speed at flight height during the flight period. Gridded climatologies</w:t>
      </w:r>
      <w:r>
        <w:t xml:space="preserve"> </w:t>
      </w:r>
      <w:r>
        <w:t xml:space="preserve">report a long-run mean at 10 m over open ground and are downscaled over a digital elevation</w:t>
      </w:r>
      <w:r>
        <w:t xml:space="preserve"> </w:t>
      </w:r>
      <w:r>
        <w:t xml:space="preserve">model, which makes them in part a transform of the terrain variables offered alongside them</w:t>
      </w:r>
      <w:r>
        <w:t xml:space="preserve"> </w:t>
      </w:r>
      <w:r>
        <w:t xml:space="preserve">(Badger, Frank, Hahmann, &amp; Giebel, 2014; Davis et al., 2023)</w:t>
      </w:r>
      <w:r>
        <w:t xml:space="preserve">. Nor does the literature specify the interval over which wind</w:t>
      </w:r>
      <w:r>
        <w:t xml:space="preserve"> </w:t>
      </w:r>
      <w:r>
        <w:t xml:space="preserve">should be summarised. Wind is therefore taken</w:t>
      </w:r>
      <w:r>
        <w:t xml:space="preserve"> </w:t>
      </w:r>
      <w:r>
        <w:t xml:space="preserve">from station observations of each 16-day period, modified over the terrain with the MicroMet</w:t>
      </w:r>
      <w:r>
        <w:t xml:space="preserve"> </w:t>
      </w:r>
      <w:r>
        <w:t xml:space="preserve">model of</w:t>
      </w:r>
      <w:r>
        <w:t xml:space="preserve"> </w:t>
      </w:r>
      <w:r>
        <w:t xml:space="preserve">Liston &amp; Elder (2006)</w:t>
      </w:r>
      <w:r>
        <w:t xml:space="preserve">, and the response is measured at Landsat’s own 16-day repeat, which is</w:t>
      </w:r>
      <w:r>
        <w:t xml:space="preserve"> </w:t>
      </w:r>
      <w:r>
        <w:t xml:space="preserve">the finest interval the sensor and the flight period share.</w:t>
      </w:r>
    </w:p>
    <w:p>
      <w:pPr>
        <w:pStyle w:val="BodyText"/>
      </w:pPr>
      <w:hyperlink w:anchor="tbl-hypotheses">
        <w:r>
          <w:rPr>
            <w:rStyle w:val="Hyperlink"/>
          </w:rPr>
          <w:t xml:space="preserve">Table 1</w:t>
        </w:r>
      </w:hyperlink>
      <w:r>
        <w:t xml:space="preserve"> </w:t>
      </w:r>
      <w:r>
        <w:t xml:space="preserve">sets out the direction expected of each attribute and the reasoning behind</w:t>
      </w:r>
      <w:r>
        <w:t xml:space="preserve"> </w:t>
      </w:r>
      <w:r>
        <w:t xml:space="preserve">it. This study addresses four questions. Does stand density predict moderate-to-high</w:t>
      </w:r>
      <w:r>
        <w:t xml:space="preserve"> </w:t>
      </w:r>
      <w:r>
        <w:t xml:space="preserve">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W w:type="pct" w:w="5000"/>
              <w:tblLayout w:type="fixed"/>
              <w:tblLook w:firstRow="1" w:lastRow="0" w:firstColumn="0" w:lastColumn="0" w:noHBand="0" w:noVBand="0" w:val="0020"/>
            </w:tblPr>
            <w:tblGrid>
              <w:gridCol w:w="1726"/>
              <w:gridCol w:w="1049"/>
              <w:gridCol w:w="5144"/>
            </w:tblGrid>
            <w:tr>
              <w:trPr>
                <w:tblHeader w:val="on"/>
              </w:trPr>
              <w:tc>
                <w:tcPr/>
                <w:p>
                  <w:pPr>
                    <w:pStyle w:val="Compact"/>
                    <w:jc w:val="left"/>
                    <w:jc w:val="center"/>
                  </w:pPr>
                  <w:r>
                    <w:t xml:space="preserve">Attribute</w:t>
                  </w:r>
                </w:p>
              </w:tc>
              <w:tc>
                <w:tcPr/>
                <w:p>
                  <w:pPr>
                    <w:pStyle w:val="Compact"/>
                    <w:jc w:val="left"/>
                    <w:jc w:val="center"/>
                  </w:pPr>
                  <w:r>
                    <w:t xml:space="preserve">Expected</w:t>
                  </w:r>
                </w:p>
              </w:tc>
              <w:tc>
                <w:tcPr/>
                <w:p>
                  <w:pPr>
                    <w:pStyle w:val="Compact"/>
                    <w:jc w:val="left"/>
                    <w:jc w:val="center"/>
                  </w:pPr>
                  <w:r>
                    <w:t xml:space="preserve">Rationale</w:t>
                  </w:r>
                </w:p>
              </w:tc>
            </w:tr>
            <w:tr>
              <w:tc>
                <w:tcPr/>
                <w:p>
                  <w:pPr>
                    <w:pStyle w:val="Compact"/>
                    <w:jc w:val="left"/>
                    <w:jc w:val="center"/>
                  </w:pPr>
                  <w:r>
                    <w:t xml:space="preserve">Stand basal area, volume, crown closure, stems</w:t>
                  </w:r>
                </w:p>
              </w:tc>
              <w:tc>
                <w:tcPr/>
                <w:p>
                  <w:pPr>
                    <w:pStyle w:val="Compact"/>
                    <w:jc w:val="left"/>
                    <w:jc w:val="center"/>
                  </w:pPr>
                  <w:r>
                    <w:t xml:space="preserve">positive</w:t>
                  </w:r>
                </w:p>
              </w:tc>
              <w:tc>
                <w:tcPr/>
                <w:p>
                  <w:pPr>
                    <w:pStyle w:val="Compact"/>
                    <w:jc w:val="left"/>
                    <w:jc w:val="center"/>
                  </w:pPr>
                  <w:r>
                    <w:t xml:space="preserve">Denser canopy holds the pheromone plume together; thinner stands admit wind that disperses it</w:t>
                  </w:r>
                  <w:r>
                    <w:t xml:space="preserve"> </w:t>
                  </w:r>
                  <w:r>
                    <w:t xml:space="preserve">(Cartwright, 2018; Krawchuk et al., 2020; Powell &amp; Bentz, 2014)</w:t>
                  </w:r>
                  <w:r>
                    <w:t xml:space="preserve">.</w:t>
                  </w:r>
                </w:p>
              </w:tc>
            </w:tr>
            <w:tr>
              <w:tc>
                <w:tcPr/>
                <w:p>
                  <w:pPr>
                    <w:pStyle w:val="Compact"/>
                    <w:jc w:val="left"/>
                    <w:jc w:val="center"/>
                  </w:pPr>
                  <w:r>
                    <w:t xml:space="preserve">Quadratic mean diameter</w:t>
                  </w:r>
                </w:p>
              </w:tc>
              <w:tc>
                <w:tcPr/>
                <w:p>
                  <w:pPr>
                    <w:pStyle w:val="Compact"/>
                    <w:jc w:val="left"/>
                    <w:jc w:val="center"/>
                  </w:pPr>
                  <w:r>
                    <w:t xml:space="preserve">positive above 25 cm</w:t>
                  </w:r>
                </w:p>
              </w:tc>
              <w:tc>
                <w:tcPr/>
                <w:p>
                  <w:pPr>
                    <w:pStyle w:val="Compact"/>
                    <w:jc w:val="left"/>
                    <w:jc w:val="center"/>
                  </w:pPr>
                  <w:r>
                    <w:t xml:space="preserve">Trees under 25 cm are beetle sinks, over 25 cm are sources</w:t>
                  </w:r>
                  <w:r>
                    <w:t xml:space="preserve"> </w:t>
                  </w:r>
                  <w:r>
                    <w:t xml:space="preserve">(Carroll &amp; Safranyik, 2004)</w:t>
                  </w:r>
                  <w:r>
                    <w:t xml:space="preserve">.</w:t>
                  </w:r>
                </w:p>
              </w:tc>
            </w:tr>
            <w:tr>
              <w:tc>
                <w:tcPr/>
                <w:p>
                  <w:pPr>
                    <w:pStyle w:val="Compact"/>
                    <w:jc w:val="left"/>
                    <w:jc w:val="center"/>
                  </w:pPr>
                  <w:r>
                    <w:t xml:space="preserve">Lodgepole pine cover and basal area</w:t>
                  </w:r>
                </w:p>
              </w:tc>
              <w:tc>
                <w:tcPr/>
                <w:p>
                  <w:pPr>
                    <w:pStyle w:val="Compact"/>
                    <w:jc w:val="left"/>
                    <w:jc w:val="center"/>
                  </w:pPr>
                  <w:r>
                    <w:t xml:space="preserve">positive</w:t>
                  </w:r>
                </w:p>
              </w:tc>
              <w:tc>
                <w:tcPr/>
                <w:p>
                  <w:pPr>
                    <w:pStyle w:val="Compact"/>
                    <w:jc w:val="left"/>
                    <w:jc w:val="center"/>
                  </w:pPr>
                  <w:r>
                    <w:t xml:space="preserve">Attack cannot occur where the host is absent; a cell without pine is not a refugium</w:t>
                  </w:r>
                  <w:r>
                    <w:t xml:space="preserve"> </w:t>
                  </w:r>
                  <w:r>
                    <w:t xml:space="preserve">(Cartwright, 2018)</w:t>
                  </w:r>
                  <w:r>
                    <w:t xml:space="preserve">.</w:t>
                  </w:r>
                </w:p>
              </w:tc>
            </w:tr>
            <w:tr>
              <w:tc>
                <w:tcPr/>
                <w:p>
                  <w:pPr>
                    <w:pStyle w:val="Compact"/>
                    <w:jc w:val="left"/>
                    <w:jc w:val="center"/>
                  </w:pPr>
                  <w:r>
                    <w:t xml:space="preserve">Flight-period direct radiation</w:t>
                  </w:r>
                </w:p>
              </w:tc>
              <w:tc>
                <w:tcPr/>
                <w:p>
                  <w:pPr>
                    <w:pStyle w:val="Compact"/>
                    <w:jc w:val="left"/>
                    <w:jc w:val="center"/>
                  </w:pPr>
                  <w:r>
                    <w:t xml:space="preserve">positive</w:t>
                  </w:r>
                </w:p>
              </w:tc>
              <w:tc>
                <w:tcPr/>
                <w:p>
                  <w:pPr>
                    <w:pStyle w:val="Compact"/>
                    <w:jc w:val="left"/>
                    <w:jc w:val="center"/>
                  </w:pPr>
                  <w:r>
                    <w:t xml:space="preserve">Flight is gated between 19 and 41 degrees C and peaks on bright afternoons, so sunlit slopes are reachable</w:t>
                  </w:r>
                  <w:r>
                    <w:t xml:space="preserve"> </w:t>
                  </w:r>
                  <w:r>
                    <w:t xml:space="preserve">(McCambridge, 1971; Safranyik &amp; Carroll, 2006)</w:t>
                  </w:r>
                  <w:r>
                    <w:t xml:space="preserve">.</w:t>
                  </w:r>
                </w:p>
              </w:tc>
            </w:tr>
            <w:tr>
              <w:tc>
                <w:tcPr/>
                <w:p>
                  <w:pPr>
                    <w:pStyle w:val="Compact"/>
                    <w:jc w:val="left"/>
                    <w:jc w:val="center"/>
                  </w:pPr>
                  <w:r>
                    <w:t xml:space="preserve">Growing-season direct radiation</w:t>
                  </w:r>
                </w:p>
              </w:tc>
              <w:tc>
                <w:tcPr/>
                <w:p>
                  <w:pPr>
                    <w:pStyle w:val="Compact"/>
                    <w:jc w:val="left"/>
                    <w:jc w:val="center"/>
                  </w:pPr>
                  <w:r>
                    <w:t xml:space="preserve">negative</w:t>
                  </w:r>
                </w:p>
              </w:tc>
              <w:tc>
                <w:tcPr/>
                <w:p>
                  <w:pPr>
                    <w:pStyle w:val="Compact"/>
                    <w:jc w:val="left"/>
                    <w:jc w:val="center"/>
                  </w:pPr>
                  <w:r>
                    <w:t xml:space="preserve">Shading cools, relieving water stress and funding defence, and cool sites also push the beetle toward a two-year cycle</w:t>
                  </w:r>
                  <w:r>
                    <w:t xml:space="preserve"> </w:t>
                  </w:r>
                  <w:r>
                    <w:t xml:space="preserve">(Krawchuk et al., 2020; Sambaraju &amp; Goodsman, 2021)</w:t>
                  </w:r>
                  <w:r>
                    <w:t xml:space="preserve">.</w:t>
                  </w:r>
                </w:p>
              </w:tc>
            </w:tr>
            <w:tr>
              <w:tc>
                <w:tcPr/>
                <w:p>
                  <w:pPr>
                    <w:pStyle w:val="Compact"/>
                    <w:jc w:val="left"/>
                    <w:jc w:val="center"/>
                  </w:pPr>
                  <w:r>
                    <w:t xml:space="preserve">Terrain exposure to wind</w:t>
                  </w:r>
                </w:p>
              </w:tc>
              <w:tc>
                <w:tcPr/>
                <w:p>
                  <w:pPr>
                    <w:pStyle w:val="Compact"/>
                    <w:jc w:val="left"/>
                    <w:jc w:val="center"/>
                  </w:pPr>
                  <w:r>
                    <w:t xml:space="preserve">negative</w:t>
                  </w:r>
                </w:p>
              </w:tc>
              <w:tc>
                <w:tcPr/>
                <w:p>
                  <w:pPr>
                    <w:pStyle w:val="Compact"/>
                    <w:jc w:val="left"/>
                    <w:jc w:val="center"/>
                  </w:pPr>
                  <w:r>
                    <w:t xml:space="preserve">Wind disrupts the pheromone plume, so exposed ground should carry less attack</w:t>
                  </w:r>
                  <w:r>
                    <w:t xml:space="preserve"> </w:t>
                  </w:r>
                  <w:r>
                    <w:t xml:space="preserve">(Krawchuk et al., 2020)</w:t>
                  </w:r>
                  <w:r>
                    <w:t xml:space="preserve">.</w:t>
                  </w:r>
                </w:p>
              </w:tc>
            </w:tr>
            <w:tr>
              <w:tc>
                <w:tcPr/>
                <w:p>
                  <w:pPr>
                    <w:pStyle w:val="Compact"/>
                    <w:jc w:val="left"/>
                    <w:jc w:val="center"/>
                  </w:pPr>
                  <w:r>
                    <w:t xml:space="preserve">Terrain ruggedness</w:t>
                  </w:r>
                </w:p>
              </w:tc>
              <w:tc>
                <w:tcPr/>
                <w:p>
                  <w:pPr>
                    <w:pStyle w:val="Compact"/>
                    <w:jc w:val="left"/>
                    <w:jc w:val="center"/>
                  </w:pPr>
                  <w:r>
                    <w:t xml:space="preserve">uncertain</w:t>
                  </w:r>
                </w:p>
              </w:tc>
              <w:tc>
                <w:tcPr/>
                <w:p>
                  <w:pPr>
                    <w:pStyle w:val="Compact"/>
                    <w:jc w:val="left"/>
                    <w:jc w:val="center"/>
                  </w:pPr>
                  <w:r>
                    <w:t xml:space="preserve">The strongest terrain term in the companion study on this landscape, but fitted there against regeneration rather than attack</w:t>
                  </w:r>
                  <w:r>
                    <w:t xml:space="preserve"> </w:t>
                  </w:r>
                  <w:r>
                    <w:t xml:space="preserve">(Murphy et al., 2026)</w:t>
                  </w:r>
                  <w:r>
                    <w:t xml:space="preserve">.</w:t>
                  </w:r>
                </w:p>
              </w:tc>
            </w:tr>
            <w:tr>
              <w:tc>
                <w:tcPr/>
                <w:p>
                  <w:pPr>
                    <w:pStyle w:val="Compact"/>
                    <w:jc w:val="left"/>
                    <w:jc w:val="center"/>
                  </w:pPr>
                  <w:r>
                    <w:t xml:space="preserve">Convergence, wetness, valley depth, slope position</w:t>
                  </w:r>
                </w:p>
              </w:tc>
              <w:tc>
                <w:tcPr/>
                <w:p>
                  <w:pPr>
                    <w:pStyle w:val="Compact"/>
                    <w:jc w:val="left"/>
                    <w:jc w:val="center"/>
                  </w:pPr>
                  <w:r>
                    <w:t xml:space="preserve">positive in convergent terrain</w:t>
                  </w:r>
                </w:p>
              </w:tc>
              <w:tc>
                <w:tcPr/>
                <w:p>
                  <w:pPr>
                    <w:pStyle w:val="Compact"/>
                    <w:jc w:val="left"/>
                    <w:jc w:val="center"/>
                  </w:pPr>
                  <w:r>
                    <w:t xml:space="preserve">Infested groups gather in draws and gullies, and deep snow insulates overwintering brood</w:t>
                  </w:r>
                  <w:r>
                    <w:t xml:space="preserve"> </w:t>
                  </w:r>
                  <w:r>
                    <w:t xml:space="preserve">(Safranyik &amp; Carroll, 2006)</w:t>
                  </w:r>
                  <w:r>
                    <w:t xml:space="preserve">.</w:t>
                  </w:r>
                </w:p>
              </w:tc>
            </w:tr>
            <w:tr>
              <w:tc>
                <w:tcPr/>
                <w:p>
                  <w:pPr>
                    <w:pStyle w:val="Compact"/>
                    <w:jc w:val="left"/>
                    <w:jc w:val="center"/>
                  </w:pPr>
                  <w:r>
                    <w:t xml:space="preserve">Flight-period wind speed</w:t>
                  </w:r>
                </w:p>
              </w:tc>
              <w:tc>
                <w:tcPr/>
                <w:p>
                  <w:pPr>
                    <w:pStyle w:val="Compact"/>
                    <w:jc w:val="left"/>
                    <w:jc w:val="center"/>
                  </w:pPr>
                  <w:r>
                    <w:t xml:space="preserve">negative</w:t>
                  </w:r>
                </w:p>
              </w:tc>
              <w:tc>
                <w:tcPr/>
                <w:p>
                  <w:pPr>
                    <w:pStyle w:val="Compact"/>
                    <w:jc w:val="left"/>
                    <w:jc w:val="center"/>
                  </w:pPr>
                  <w:r>
                    <w:t xml:space="preserve">The mechanism acts during dispersal, and no study specifies the interval, so it is taken at the flight period</w:t>
                  </w:r>
                  <w:r>
                    <w:t xml:space="preserve"> </w:t>
                  </w:r>
                  <w:r>
                    <w:t xml:space="preserve">(Jones, Shegelski, Marculis, Wijerathna, &amp; Evenden, 2019; Krawchuk et al., 2020)</w:t>
                  </w:r>
                  <w:r>
                    <w:t xml:space="preserve">.</w:t>
                  </w:r>
                </w:p>
              </w:tc>
            </w:tr>
            <w:tr>
              <w:tc>
                <w:tcPr/>
                <w:p>
                  <w:pPr>
                    <w:pStyle w:val="Compact"/>
                    <w:jc w:val="left"/>
                    <w:jc w:val="center"/>
                  </w:pPr>
                  <w:r>
                    <w:t xml:space="preserve">Elevation</w:t>
                  </w:r>
                </w:p>
              </w:tc>
              <w:tc>
                <w:tcPr/>
                <w:p>
                  <w:pPr>
                    <w:pStyle w:val="Compact"/>
                    <w:jc w:val="left"/>
                    <w:jc w:val="center"/>
                  </w:pPr>
                  <w:r>
                    <w:t xml:space="preserve">uncertain</w:t>
                  </w:r>
                </w:p>
              </w:tc>
              <w:tc>
                <w:tcPr/>
                <w:p>
                  <w:pPr>
                    <w:pStyle w:val="Compact"/>
                    <w:jc w:val="left"/>
                    <w:jc w:val="center"/>
                  </w:pPr>
                  <w:r>
                    <w:t xml:space="preserve">A composite of temperature, snowpack, season length and host distribution that this design cannot separate</w:t>
                  </w:r>
                  <w:r>
                    <w:t xml:space="preserve"> </w:t>
                  </w:r>
                  <w:r>
                    <w:t xml:space="preserve">(Sambaraju &amp; Goodsman, 2021)</w:t>
                  </w:r>
                  <w: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 The</w:t>
      </w:r>
      <w:r>
        <w:t xml:space="preserve"> </w:t>
      </w:r>
      <w:r>
        <w:t xml:space="preserve">asymmetry it shows is the one on which the analysis depends, in that the response varies</w:t>
      </w:r>
      <w:r>
        <w:t xml:space="preserve"> </w:t>
      </w:r>
      <w:r>
        <w:t xml:space="preserve">every sixteen days, the inventory once a year, the station wind every hour, and the terrain</w:t>
      </w:r>
      <w:r>
        <w:t xml:space="preserve"> </w:t>
      </w:r>
      <w:r>
        <w:t xml:space="preserve">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W w:type="pct" w:w="5000"/>
              <w:tblLayout w:type="fixed"/>
              <w:tblLook w:firstRow="1" w:lastRow="0" w:firstColumn="0" w:lastColumn="0" w:noHBand="0" w:noVBand="0" w:val="0020"/>
            </w:tblPr>
            <w:tblGrid>
              <w:gridCol w:w="862"/>
              <w:gridCol w:w="1500"/>
              <w:gridCol w:w="2043"/>
              <w:gridCol w:w="894"/>
              <w:gridCol w:w="990"/>
              <w:gridCol w:w="894"/>
              <w:gridCol w:w="734"/>
            </w:tblGrid>
            <w:tr>
              <w:trPr>
                <w:tblHeader w:val="on"/>
              </w:trPr>
              <w:tc>
                <w:tcPr/>
                <w:p>
                  <w:pPr>
                    <w:pStyle w:val="Compact"/>
                    <w:jc w:val="left"/>
                    <w:jc w:val="center"/>
                  </w:pPr>
                  <w:r>
                    <w:t xml:space="preserve">Dataset</w:t>
                  </w:r>
                </w:p>
              </w:tc>
              <w:tc>
                <w:tcPr/>
                <w:p>
                  <w:pPr>
                    <w:pStyle w:val="Compact"/>
                    <w:jc w:val="left"/>
                    <w:jc w:val="center"/>
                  </w:pPr>
                  <w:r>
                    <w:t xml:space="preserve">Source</w:t>
                  </w:r>
                </w:p>
              </w:tc>
              <w:tc>
                <w:tcPr/>
                <w:p>
                  <w:pPr>
                    <w:pStyle w:val="Compact"/>
                    <w:jc w:val="left"/>
                    <w:jc w:val="center"/>
                  </w:pPr>
                  <w:r>
                    <w:t xml:space="preserve">Variables</w:t>
                  </w:r>
                </w:p>
              </w:tc>
              <w:tc>
                <w:tcPr/>
                <w:p>
                  <w:pPr>
                    <w:pStyle w:val="Compact"/>
                    <w:jc w:val="left"/>
                    <w:jc w:val="center"/>
                  </w:pPr>
                  <w:r>
                    <w:t xml:space="preserve">Spatial resolution</w:t>
                  </w:r>
                </w:p>
              </w:tc>
              <w:tc>
                <w:tcPr/>
                <w:p>
                  <w:pPr>
                    <w:pStyle w:val="Compact"/>
                    <w:jc w:val="left"/>
                    <w:jc w:val="center"/>
                  </w:pPr>
                  <w:r>
                    <w:t xml:space="preserve">Temporal resolution</w:t>
                  </w:r>
                </w:p>
              </w:tc>
              <w:tc>
                <w:tcPr/>
                <w:p>
                  <w:pPr>
                    <w:pStyle w:val="Compact"/>
                    <w:jc w:val="left"/>
                    <w:jc w:val="center"/>
                  </w:pPr>
                  <w:r>
                    <w:t xml:space="preserve">Period</w:t>
                  </w:r>
                </w:p>
              </w:tc>
              <w:tc>
                <w:tcPr/>
                <w:p>
                  <w:pPr>
                    <w:pStyle w:val="Compact"/>
                    <w:jc w:val="right"/>
                    <w:jc w:val="center"/>
                  </w:pPr>
                  <w:r>
                    <w:t xml:space="preserve">n</w:t>
                  </w:r>
                </w:p>
              </w:tc>
            </w:tr>
            <w:tr>
              <w:tc>
                <w:tcPr/>
                <w:p>
                  <w:pPr>
                    <w:pStyle w:val="Compact"/>
                    <w:jc w:val="left"/>
                    <w:jc w:val="center"/>
                  </w:pPr>
                  <w:r>
                    <w:t xml:space="preserve">Beetle disturbance, annual</w:t>
                  </w:r>
                </w:p>
              </w:tc>
              <w:tc>
                <w:tcPr/>
                <w:p>
                  <w:pPr>
                    <w:pStyle w:val="Compact"/>
                    <w:jc w:val="left"/>
                    <w:jc w:val="center"/>
                  </w:pPr>
                  <w:r>
                    <w:t xml:space="preserve">Landsat 5 and 8 Collection 2 Level-2</w:t>
                  </w:r>
                </w:p>
              </w:tc>
              <w:tc>
                <w:tcPr/>
                <w:p>
                  <w:pPr>
                    <w:pStyle w:val="Compact"/>
                    <w:jc w:val="left"/>
                    <w:jc w:val="center"/>
                  </w:pPr>
                  <w:r>
                    <w:t xml:space="preserve">Moderate-to-high disturbance, binary, from NDMI</w:t>
                  </w:r>
                </w:p>
              </w:tc>
              <w:tc>
                <w:tcPr/>
                <w:p>
                  <w:pPr>
                    <w:pStyle w:val="Compact"/>
                    <w:jc w:val="left"/>
                    <w:jc w:val="center"/>
                  </w:pPr>
                  <w:r>
                    <w:t xml:space="preserve">30 m</w:t>
                  </w:r>
                </w:p>
              </w:tc>
              <w:tc>
                <w:tcPr/>
                <w:p>
                  <w:pPr>
                    <w:pStyle w:val="Compact"/>
                    <w:jc w:val="left"/>
                    <w:jc w:val="center"/>
                  </w:pPr>
                  <w:r>
                    <w:t xml:space="preserve">1 year</w:t>
                  </w:r>
                </w:p>
              </w:tc>
              <w:tc>
                <w:tcPr/>
                <w:p>
                  <w:pPr>
                    <w:pStyle w:val="Compact"/>
                    <w:jc w:val="left"/>
                    <w:jc w:val="center"/>
                  </w:pPr>
                  <w:r>
                    <w:t xml:space="preserve">2006-2014, excluding 2012</w:t>
                  </w:r>
                </w:p>
              </w:tc>
              <w:tc>
                <w:tcPr/>
                <w:p>
                  <w:pPr>
                    <w:pStyle w:val="Compact"/>
                    <w:jc w:val="right"/>
                    <w:jc w:val="center"/>
                  </w:pPr>
                  <w:r>
                    <w:t xml:space="preserve">8 years</w:t>
                  </w:r>
                </w:p>
              </w:tc>
            </w:tr>
            <w:tr>
              <w:tc>
                <w:tcPr/>
                <w:p>
                  <w:pPr>
                    <w:pStyle w:val="Compact"/>
                    <w:jc w:val="left"/>
                    <w:jc w:val="center"/>
                  </w:pPr>
                  <w:r>
                    <w:t xml:space="preserve">Beetle disturbance, 16-day</w:t>
                  </w:r>
                </w:p>
              </w:tc>
              <w:tc>
                <w:tcPr/>
                <w:p>
                  <w:pPr>
                    <w:pStyle w:val="Compact"/>
                    <w:jc w:val="left"/>
                    <w:jc w:val="center"/>
                  </w:pPr>
                  <w:r>
                    <w:t xml:space="preserve">Landsat 5 and 8 Collection 2 Level-2</w:t>
                  </w:r>
                </w:p>
              </w:tc>
              <w:tc>
                <w:tcPr/>
                <w:p>
                  <w:pPr>
                    <w:pStyle w:val="Compact"/>
                    <w:jc w:val="left"/>
                    <w:jc w:val="center"/>
                  </w:pPr>
                  <w:r>
                    <w:t xml:space="preserve">Moderate-to-high disturbance, binary, from NDMI</w:t>
                  </w:r>
                </w:p>
              </w:tc>
              <w:tc>
                <w:tcPr/>
                <w:p>
                  <w:pPr>
                    <w:pStyle w:val="Compact"/>
                    <w:jc w:val="left"/>
                    <w:jc w:val="center"/>
                  </w:pPr>
                  <w:r>
                    <w:t xml:space="preserve">30 m</w:t>
                  </w:r>
                </w:p>
              </w:tc>
              <w:tc>
                <w:tcPr/>
                <w:p>
                  <w:pPr>
                    <w:pStyle w:val="Compact"/>
                    <w:jc w:val="left"/>
                    <w:jc w:val="center"/>
                  </w:pPr>
                  <w:r>
                    <w:t xml:space="preserve">16 days, the sensor’s repeat</w:t>
                  </w:r>
                </w:p>
              </w:tc>
              <w:tc>
                <w:tcPr/>
                <w:p>
                  <w:pPr>
                    <w:pStyle w:val="Compact"/>
                    <w:jc w:val="left"/>
                    <w:jc w:val="center"/>
                  </w:pPr>
                  <w:r>
                    <w:t xml:space="preserve">2006-2014, excluding 2012</w:t>
                  </w:r>
                </w:p>
              </w:tc>
              <w:tc>
                <w:tcPr/>
                <w:p>
                  <w:pPr>
                    <w:pStyle w:val="Compact"/>
                    <w:jc w:val="right"/>
                    <w:jc w:val="center"/>
                  </w:pPr>
                  <w:r>
                    <w:t xml:space="preserve">59 epochs</w:t>
                  </w:r>
                </w:p>
              </w:tc>
            </w:tr>
            <w:tr>
              <w:tc>
                <w:tcPr/>
                <w:p>
                  <w:pPr>
                    <w:pStyle w:val="Compact"/>
                    <w:jc w:val="left"/>
                    <w:jc w:val="center"/>
                  </w:pPr>
                  <w:r>
                    <w:t xml:space="preserve">Stand structure</w:t>
                  </w:r>
                </w:p>
              </w:tc>
              <w:tc>
                <w:tcPr/>
                <w:p>
                  <w:pPr>
                    <w:pStyle w:val="Compact"/>
                    <w:jc w:val="left"/>
                    <w:jc w:val="center"/>
                  </w:pPr>
                  <w:r>
                    <w:t xml:space="preserve">VRI Historical, BC Data Catalogue</w:t>
                  </w:r>
                </w:p>
              </w:tc>
              <w:tc>
                <w:tcPr/>
                <w:p>
                  <w:pPr>
                    <w:pStyle w:val="Compact"/>
                    <w:jc w:val="left"/>
                    <w:jc w:val="center"/>
                  </w:pPr>
                  <w:r>
                    <w:t xml:space="preserve">Basal area, volume, stems, quadratic mean diameter, age, height</w:t>
                  </w:r>
                </w:p>
              </w:tc>
              <w:tc>
                <w:tcPr/>
                <w:p>
                  <w:pPr>
                    <w:pStyle w:val="Compact"/>
                    <w:jc w:val="left"/>
                    <w:jc w:val="center"/>
                  </w:pPr>
                  <w:r>
                    <w:t xml:space="preserve">Polygon, rasterised to 30 m</w:t>
                  </w:r>
                </w:p>
              </w:tc>
              <w:tc>
                <w:tcPr/>
                <w:p>
                  <w:pPr>
                    <w:pStyle w:val="Compact"/>
                    <w:jc w:val="left"/>
                    <w:jc w:val="center"/>
                  </w:pPr>
                  <w:r>
                    <w:t xml:space="preserve">1 year, projected to each year</w:t>
                  </w:r>
                </w:p>
              </w:tc>
              <w:tc>
                <w:tcPr/>
                <w:p>
                  <w:pPr>
                    <w:pStyle w:val="Compact"/>
                    <w:jc w:val="left"/>
                    <w:jc w:val="center"/>
                  </w:pPr>
                  <w:r>
                    <w:t xml:space="preserve">2005-2014</w:t>
                  </w:r>
                </w:p>
              </w:tc>
              <w:tc>
                <w:tcPr/>
                <w:p>
                  <w:pPr>
                    <w:pStyle w:val="Compact"/>
                    <w:jc w:val="right"/>
                    <w:jc w:val="center"/>
                  </w:pPr>
                  <w:r>
                    <w:t xml:space="preserve">9 snapshots</w:t>
                  </w:r>
                </w:p>
              </w:tc>
            </w:tr>
            <w:tr>
              <w:tc>
                <w:tcPr/>
                <w:p>
                  <w:pPr>
                    <w:pStyle w:val="Compact"/>
                    <w:jc w:val="left"/>
                    <w:jc w:val="center"/>
                  </w:pPr>
                  <w:r>
                    <w:t xml:space="preserve">Terrain</w:t>
                  </w:r>
                </w:p>
              </w:tc>
              <w:tc>
                <w:tcPr/>
                <w:p>
                  <w:pPr>
                    <w:pStyle w:val="Compact"/>
                    <w:jc w:val="left"/>
                    <w:jc w:val="center"/>
                  </w:pPr>
                  <w:r>
                    <w:t xml:space="preserve">NRCan High Resolution DEM, indices by SAGA GIS</w:t>
                  </w:r>
                </w:p>
              </w:tc>
              <w:tc>
                <w:tcPr/>
                <w:p>
                  <w:pPr>
                    <w:pStyle w:val="Compact"/>
                    <w:jc w:val="left"/>
                    <w:jc w:val="center"/>
                  </w:pPr>
                  <w:r>
                    <w:t xml:space="preserve">29 geomorphometric surfaces incl. radiation, exposure, landform</w:t>
                  </w:r>
                </w:p>
              </w:tc>
              <w:tc>
                <w:tcPr/>
                <w:p>
                  <w:pPr>
                    <w:pStyle w:val="Compact"/>
                    <w:jc w:val="left"/>
                    <w:jc w:val="center"/>
                  </w:pPr>
                  <w:r>
                    <w:t xml:space="preserve">30 m</w:t>
                  </w:r>
                </w:p>
              </w:tc>
              <w:tc>
                <w:tcPr/>
                <w:p>
                  <w:pPr>
                    <w:pStyle w:val="Compact"/>
                    <w:jc w:val="left"/>
                    <w:jc w:val="center"/>
                  </w:pPr>
                  <w:r>
                    <w:t xml:space="preserve">Static</w:t>
                  </w:r>
                </w:p>
              </w:tc>
              <w:tc>
                <w:tcPr/>
                <w:p>
                  <w:pPr>
                    <w:pStyle w:val="Compact"/>
                    <w:jc w:val="left"/>
                    <w:jc w:val="center"/>
                  </w:pPr>
                  <w:r>
                    <w:t xml:space="preserve">n/a</w:t>
                  </w:r>
                </w:p>
              </w:tc>
              <w:tc>
                <w:tcPr/>
                <w:p>
                  <w:pPr>
                    <w:pStyle w:val="Compact"/>
                    <w:jc w:val="right"/>
                    <w:jc w:val="center"/>
                  </w:pPr>
                  <w:r>
                    <w:t xml:space="preserve">29 surfaces</w:t>
                  </w:r>
                </w:p>
              </w:tc>
            </w:tr>
            <w:tr>
              <w:tc>
                <w:tcPr/>
                <w:p>
                  <w:pPr>
                    <w:pStyle w:val="Compact"/>
                    <w:jc w:val="left"/>
                    <w:jc w:val="center"/>
                  </w:pPr>
                  <w:r>
                    <w:t xml:space="preserve">Station wind</w:t>
                  </w:r>
                </w:p>
              </w:tc>
              <w:tc>
                <w:tcPr/>
                <w:p>
                  <w:pPr>
                    <w:pStyle w:val="Compact"/>
                    <w:jc w:val="left"/>
                    <w:jc w:val="center"/>
                  </w:pPr>
                  <w:r>
                    <w:t xml:space="preserve">Environment and Climate Change Canada</w:t>
                  </w:r>
                </w:p>
              </w:tc>
              <w:tc>
                <w:tcPr/>
                <w:p>
                  <w:pPr>
                    <w:pStyle w:val="Compact"/>
                    <w:jc w:val="left"/>
                    <w:jc w:val="center"/>
                  </w:pPr>
                  <w:r>
                    <w:t xml:space="preserve">Speed and direction</w:t>
                  </w:r>
                </w:p>
              </w:tc>
              <w:tc>
                <w:tcPr/>
                <w:p>
                  <w:pPr>
                    <w:pStyle w:val="Compact"/>
                    <w:jc w:val="left"/>
                    <w:jc w:val="center"/>
                  </w:pPr>
                  <w:r>
                    <w:t xml:space="preserve">4 to 7 valley stations</w:t>
                  </w:r>
                </w:p>
              </w:tc>
              <w:tc>
                <w:tcPr/>
                <w:p>
                  <w:pPr>
                    <w:pStyle w:val="Compact"/>
                    <w:jc w:val="left"/>
                    <w:jc w:val="center"/>
                  </w:pPr>
                  <w:r>
                    <w:t xml:space="preserve">1 hour</w:t>
                  </w:r>
                </w:p>
              </w:tc>
              <w:tc>
                <w:tcPr/>
                <w:p>
                  <w:pPr>
                    <w:pStyle w:val="Compact"/>
                    <w:jc w:val="left"/>
                    <w:jc w:val="center"/>
                  </w:pPr>
                  <w:r>
                    <w:t xml:space="preserve">2005-2014, May to September</w:t>
                  </w:r>
                </w:p>
              </w:tc>
              <w:tc>
                <w:tcPr/>
                <w:p>
                  <w:pPr>
                    <w:pStyle w:val="Compact"/>
                    <w:jc w:val="right"/>
                    <w:jc w:val="center"/>
                  </w:pPr>
                  <w:r>
                    <w:t xml:space="preserve">236,079 hourly records</w:t>
                  </w:r>
                </w:p>
              </w:tc>
            </w:tr>
            <w:tr>
              <w:tc>
                <w:tcPr/>
                <w:p>
                  <w:pPr>
                    <w:pStyle w:val="Compact"/>
                    <w:jc w:val="left"/>
                    <w:jc w:val="center"/>
                  </w:pPr>
                  <w:r>
                    <w:t xml:space="preserve">Terrain-resolved wind</w:t>
                  </w:r>
                </w:p>
              </w:tc>
              <w:tc>
                <w:tcPr/>
                <w:p>
                  <w:pPr>
                    <w:pStyle w:val="Compact"/>
                    <w:jc w:val="left"/>
                    <w:jc w:val="center"/>
                  </w:pPr>
                  <w:r>
                    <w:t xml:space="preserve">MicroMet over the DEM, driven by station wind</w:t>
                  </w:r>
                </w:p>
              </w:tc>
              <w:tc>
                <w:tcPr/>
                <w:p>
                  <w:pPr>
                    <w:pStyle w:val="Compact"/>
                    <w:jc w:val="left"/>
                    <w:jc w:val="center"/>
                  </w:pPr>
                  <w:r>
                    <w:t xml:space="preserve">Weighting factor, modified speed, diverted direction</w:t>
                  </w:r>
                </w:p>
              </w:tc>
              <w:tc>
                <w:tcPr/>
                <w:p>
                  <w:pPr>
                    <w:pStyle w:val="Compact"/>
                    <w:jc w:val="left"/>
                    <w:jc w:val="center"/>
                  </w:pPr>
                  <w:r>
                    <w:t xml:space="preserve">30 m</w:t>
                  </w:r>
                </w:p>
              </w:tc>
              <w:tc>
                <w:tcPr/>
                <w:p>
                  <w:pPr>
                    <w:pStyle w:val="Compact"/>
                    <w:jc w:val="left"/>
                    <w:jc w:val="center"/>
                  </w:pPr>
                  <w:r>
                    <w:t xml:space="preserve">16 days, and 1 year</w:t>
                  </w:r>
                </w:p>
              </w:tc>
              <w:tc>
                <w:tcPr/>
                <w:p>
                  <w:pPr>
                    <w:pStyle w:val="Compact"/>
                    <w:jc w:val="left"/>
                    <w:jc w:val="center"/>
                  </w:pPr>
                  <w:r>
                    <w:t xml:space="preserve">2005-2014</w:t>
                  </w:r>
                </w:p>
              </w:tc>
              <w:tc>
                <w:tcPr/>
                <w:p>
                  <w:pPr>
                    <w:pStyle w:val="Compact"/>
                    <w:jc w:val="right"/>
                    <w:jc w:val="center"/>
                  </w:pPr>
                  <w:r>
                    <w:t xml:space="preserve">16 direction bins</w:t>
                  </w:r>
                </w:p>
              </w:tc>
            </w:tr>
            <w:tr>
              <w:tc>
                <w:tcPr/>
                <w:p>
                  <w:pPr>
                    <w:pStyle w:val="Compact"/>
                    <w:jc w:val="left"/>
                    <w:jc w:val="center"/>
                  </w:pPr>
                  <w:r>
                    <w:t xml:space="preserve">Modelling table, annual</w:t>
                  </w:r>
                </w:p>
              </w:tc>
              <w:tc>
                <w:tcPr/>
                <w:p>
                  <w:pPr>
                    <w:pStyle w:val="Compact"/>
                    <w:jc w:val="left"/>
                    <w:jc w:val="center"/>
                  </w:pPr>
                  <w:r>
                    <w:t xml:space="preserve">Assembled by 38-assemble-model-data.R</w:t>
                  </w:r>
                </w:p>
              </w:tc>
              <w:tc>
                <w:tcPr/>
                <w:p>
                  <w:pPr>
                    <w:pStyle w:val="Compact"/>
                    <w:jc w:val="left"/>
                    <w:jc w:val="center"/>
                  </w:pPr>
                  <w:r>
                    <w:t xml:space="preserve">Response and every covariate, one row per cell-year</w:t>
                  </w:r>
                </w:p>
              </w:tc>
              <w:tc>
                <w:tcPr/>
                <w:p>
                  <w:pPr>
                    <w:pStyle w:val="Compact"/>
                    <w:jc w:val="left"/>
                    <w:jc w:val="center"/>
                  </w:pPr>
                  <w:r>
                    <w:t xml:space="preserve">30 m</w:t>
                  </w:r>
                </w:p>
              </w:tc>
              <w:tc>
                <w:tcPr/>
                <w:p>
                  <w:pPr>
                    <w:pStyle w:val="Compact"/>
                    <w:jc w:val="left"/>
                    <w:jc w:val="center"/>
                  </w:pPr>
                  <w:r>
                    <w:t xml:space="preserve">1 year</w:t>
                  </w:r>
                </w:p>
              </w:tc>
              <w:tc>
                <w:tcPr/>
                <w:p>
                  <w:pPr>
                    <w:pStyle w:val="Compact"/>
                    <w:jc w:val="left"/>
                    <w:jc w:val="center"/>
                  </w:pPr>
                  <w:r>
                    <w:t xml:space="preserve">2006-2014, excluding 2012</w:t>
                  </w:r>
                </w:p>
              </w:tc>
              <w:tc>
                <w:tcPr/>
                <w:p>
                  <w:pPr>
                    <w:pStyle w:val="Compact"/>
                    <w:jc w:val="right"/>
                    <w:jc w:val="center"/>
                  </w:pPr>
                  <w:r>
                    <w:t xml:space="preserve">111,707 cell-years</w:t>
                  </w:r>
                </w:p>
              </w:tc>
            </w:tr>
            <w:tr>
              <w:tc>
                <w:tcPr/>
                <w:p>
                  <w:pPr>
                    <w:pStyle w:val="Compact"/>
                    <w:jc w:val="left"/>
                    <w:jc w:val="center"/>
                  </w:pPr>
                  <w:r>
                    <w:t xml:space="preserve">Modelling table, 16-day</w:t>
                  </w:r>
                </w:p>
              </w:tc>
              <w:tc>
                <w:tcPr/>
                <w:p>
                  <w:pPr>
                    <w:pStyle w:val="Compact"/>
                    <w:jc w:val="left"/>
                    <w:jc w:val="center"/>
                  </w:pPr>
                  <w:r>
                    <w:t xml:space="preserve">Assembled by 45-epoch-model-data.R</w:t>
                  </w:r>
                </w:p>
              </w:tc>
              <w:tc>
                <w:tcPr/>
                <w:p>
                  <w:pPr>
                    <w:pStyle w:val="Compact"/>
                    <w:jc w:val="left"/>
                    <w:jc w:val="center"/>
                  </w:pPr>
                  <w:r>
                    <w:t xml:space="preserve">Response and every covariate, one row per cell-epoch</w:t>
                  </w:r>
                </w:p>
              </w:tc>
              <w:tc>
                <w:tcPr/>
                <w:p>
                  <w:pPr>
                    <w:pStyle w:val="Compact"/>
                    <w:jc w:val="left"/>
                    <w:jc w:val="center"/>
                  </w:pPr>
                  <w:r>
                    <w:t xml:space="preserve">30 m</w:t>
                  </w:r>
                </w:p>
              </w:tc>
              <w:tc>
                <w:tcPr/>
                <w:p>
                  <w:pPr>
                    <w:pStyle w:val="Compact"/>
                    <w:jc w:val="left"/>
                    <w:jc w:val="center"/>
                  </w:pPr>
                  <w:r>
                    <w:t xml:space="preserve">16 days</w:t>
                  </w:r>
                </w:p>
              </w:tc>
              <w:tc>
                <w:tcPr/>
                <w:p>
                  <w:pPr>
                    <w:pStyle w:val="Compact"/>
                    <w:jc w:val="left"/>
                    <w:jc w:val="center"/>
                  </w:pPr>
                  <w:r>
                    <w:t xml:space="preserve">2006-2014, excluding 2012</w:t>
                  </w:r>
                </w:p>
              </w:tc>
              <w:tc>
                <w:tcPr/>
                <w:p>
                  <w:pPr>
                    <w:pStyle w:val="Compact"/>
                    <w:jc w:val="right"/>
                    <w:jc w:val="center"/>
                  </w:pPr>
                  <w: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which is the parent study’s</w:t>
      </w:r>
      <w:r>
        <w:t xml:space="preserve"> </w:t>
      </w:r>
      <w:r>
        <w:t xml:space="preserve">grid and was adopted so that results are directly comparable to it. That study reports that</w:t>
      </w:r>
      <w:r>
        <w:t xml:space="preserve"> </w:t>
      </w:r>
      <w:r>
        <w:t xml:space="preserve">“All disturbance and covariate rasters were aligned to a common 30 m grid in EPSG:3153, the</w:t>
      </w:r>
      <w:r>
        <w:t xml:space="preserve"> </w:t>
      </w:r>
      <w:r>
        <w:t xml:space="preserve">native resolution of the Landsat-derived dNBR and dNDMI products”</w:t>
      </w:r>
      <w:r>
        <w:t xml:space="preserve">, and that</w:t>
      </w:r>
      <w:r>
        <w:t xml:space="preserve"> </w:t>
      </w:r>
      <w:r>
        <w:t xml:space="preserve">“The plot anchor</w:t>
      </w:r>
      <w:r>
        <w:t xml:space="preserve"> </w:t>
      </w:r>
      <w:r>
        <w:t xml:space="preserve">was georeferenced with a 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extends beyond that boundary, because 480 ha does not contain the stand-density</w:t>
      </w:r>
      <w:r>
        <w:t xml:space="preserve"> </w:t>
      </w:r>
      <w:r>
        <w:t xml:space="preserve">contrast the pheromone mechanism requires. The extension is constrained rather than</w:t>
      </w:r>
      <w:r>
        <w:t xml:space="preserve"> </w:t>
      </w:r>
      <w:r>
        <w:t xml:space="preserve">arbitrary, in that the perimeter is the burn buffered 5 km and then cut to the elevation</w:t>
      </w:r>
      <w:r>
        <w:t xml:space="preserve"> </w:t>
      </w:r>
      <w:r>
        <w:t xml:space="preserve">band the parent study’s site occupies, so that the added ground is ecologically comparable.</w:t>
      </w:r>
      <w:r>
        <w:t xml:space="preserve"> </w:t>
      </w:r>
      <w:r>
        <w:t xml:space="preserve">Without that cut, a 1 km buffer already reaches the surface of Kootenay Lake at 534 m, which</w:t>
      </w:r>
      <w:r>
        <w:t xml:space="preserve"> </w:t>
      </w:r>
      <w:r>
        <w:t xml:space="preserve">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has its own north arrow and the same numerical scale, 1:150,000, which is correct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because unioning destroys the year-to-year variation this study</w:t>
      </w:r>
      <w:r>
        <w:t xml:space="preserve"> </w:t>
      </w:r>
      <w:r>
        <w:t xml:space="preserve">measures and because the union layer over the wider grid reached 73 per cent of the</w:t>
      </w:r>
      <w:r>
        <w:t xml:space="preserve"> </w:t>
      </w:r>
      <w:r>
        <w:t xml:space="preserve">landscape, a figure not credible for a beetle outbreak. The provincial aerial overview</w:t>
      </w:r>
      <w:r>
        <w:t xml:space="preserve"> </w:t>
      </w:r>
      <w:r>
        <w:t xml:space="preserve">survey is not used as a response and supplies no training label, and is retained only as a</w:t>
      </w:r>
      <w:r>
        <w:t xml:space="preserve"> </w:t>
      </w:r>
      <w:r>
        <w:t xml:space="preserve">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Year</w:t>
                  </w:r>
                </w:p>
              </w:tc>
              <w:tc>
                <w:tcPr/>
                <w:p>
                  <w:pPr>
                    <w:pStyle w:val="Compact"/>
                    <w:jc w:val="right"/>
                    <w:jc w:val="center"/>
                  </w:pPr>
                  <w:r>
                    <w:t xml:space="preserve">Cells</w:t>
                  </w:r>
                </w:p>
              </w:tc>
              <w:tc>
                <w:tcPr/>
                <w:p>
                  <w:pPr>
                    <w:pStyle w:val="Compact"/>
                    <w:jc w:val="right"/>
                    <w:jc w:val="center"/>
                  </w:pPr>
                  <w:r>
                    <w:t xml:space="preserve">Moderate-to-high (%)</w:t>
                  </w:r>
                </w:p>
              </w:tc>
            </w:tr>
            <w:tr>
              <w:tc>
                <w:tcPr/>
                <w:p>
                  <w:pPr>
                    <w:pStyle w:val="Compact"/>
                    <w:jc w:val="left"/>
                    <w:jc w:val="center"/>
                  </w:pPr>
                  <w:r>
                    <w:t xml:space="preserve">2006</w:t>
                  </w:r>
                </w:p>
              </w:tc>
              <w:tc>
                <w:tcPr/>
                <w:p>
                  <w:pPr>
                    <w:pStyle w:val="Compact"/>
                    <w:jc w:val="right"/>
                    <w:jc w:val="center"/>
                  </w:pPr>
                  <w:r>
                    <w:t xml:space="preserve">13,224</w:t>
                  </w:r>
                </w:p>
              </w:tc>
              <w:tc>
                <w:tcPr/>
                <w:p>
                  <w:pPr>
                    <w:pStyle w:val="Compact"/>
                    <w:jc w:val="right"/>
                    <w:jc w:val="center"/>
                  </w:pPr>
                  <w:r>
                    <w:t xml:space="preserve">4.9</w:t>
                  </w:r>
                </w:p>
              </w:tc>
            </w:tr>
            <w:tr>
              <w:tc>
                <w:tcPr/>
                <w:p>
                  <w:pPr>
                    <w:pStyle w:val="Compact"/>
                    <w:jc w:val="left"/>
                    <w:jc w:val="center"/>
                  </w:pPr>
                  <w:r>
                    <w:t xml:space="preserve">2007</w:t>
                  </w:r>
                </w:p>
              </w:tc>
              <w:tc>
                <w:tcPr/>
                <w:p>
                  <w:pPr>
                    <w:pStyle w:val="Compact"/>
                    <w:jc w:val="right"/>
                    <w:jc w:val="center"/>
                  </w:pPr>
                  <w:r>
                    <w:t xml:space="preserve">13,225</w:t>
                  </w:r>
                </w:p>
              </w:tc>
              <w:tc>
                <w:tcPr/>
                <w:p>
                  <w:pPr>
                    <w:pStyle w:val="Compact"/>
                    <w:jc w:val="right"/>
                    <w:jc w:val="center"/>
                  </w:pPr>
                  <w:r>
                    <w:t xml:space="preserve">6.0</w:t>
                  </w:r>
                </w:p>
              </w:tc>
            </w:tr>
            <w:tr>
              <w:tc>
                <w:tcPr/>
                <w:p>
                  <w:pPr>
                    <w:pStyle w:val="Compact"/>
                    <w:jc w:val="left"/>
                    <w:jc w:val="center"/>
                  </w:pPr>
                  <w:r>
                    <w:t xml:space="preserve">2008</w:t>
                  </w:r>
                </w:p>
              </w:tc>
              <w:tc>
                <w:tcPr/>
                <w:p>
                  <w:pPr>
                    <w:pStyle w:val="Compact"/>
                    <w:jc w:val="right"/>
                    <w:jc w:val="center"/>
                  </w:pPr>
                  <w:r>
                    <w:t xml:space="preserve">13,285</w:t>
                  </w:r>
                </w:p>
              </w:tc>
              <w:tc>
                <w:tcPr/>
                <w:p>
                  <w:pPr>
                    <w:pStyle w:val="Compact"/>
                    <w:jc w:val="right"/>
                    <w:jc w:val="center"/>
                  </w:pPr>
                  <w:r>
                    <w:t xml:space="preserve">19.2</w:t>
                  </w:r>
                </w:p>
              </w:tc>
            </w:tr>
            <w:tr>
              <w:tc>
                <w:tcPr/>
                <w:p>
                  <w:pPr>
                    <w:pStyle w:val="Compact"/>
                    <w:jc w:val="left"/>
                    <w:jc w:val="center"/>
                  </w:pPr>
                  <w:r>
                    <w:t xml:space="preserve">2009</w:t>
                  </w:r>
                </w:p>
              </w:tc>
              <w:tc>
                <w:tcPr/>
                <w:p>
                  <w:pPr>
                    <w:pStyle w:val="Compact"/>
                    <w:jc w:val="right"/>
                    <w:jc w:val="center"/>
                  </w:pPr>
                  <w:r>
                    <w:t xml:space="preserve">13,556</w:t>
                  </w:r>
                </w:p>
              </w:tc>
              <w:tc>
                <w:tcPr/>
                <w:p>
                  <w:pPr>
                    <w:pStyle w:val="Compact"/>
                    <w:jc w:val="right"/>
                    <w:jc w:val="center"/>
                  </w:pPr>
                  <w:r>
                    <w:t xml:space="preserve">12.4</w:t>
                  </w:r>
                </w:p>
              </w:tc>
            </w:tr>
            <w:tr>
              <w:tc>
                <w:tcPr/>
                <w:p>
                  <w:pPr>
                    <w:pStyle w:val="Compact"/>
                    <w:jc w:val="left"/>
                    <w:jc w:val="center"/>
                  </w:pPr>
                  <w:r>
                    <w:t xml:space="preserve">2010</w:t>
                  </w:r>
                </w:p>
              </w:tc>
              <w:tc>
                <w:tcPr/>
                <w:p>
                  <w:pPr>
                    <w:pStyle w:val="Compact"/>
                    <w:jc w:val="right"/>
                    <w:jc w:val="center"/>
                  </w:pPr>
                  <w:r>
                    <w:t xml:space="preserve">13,538</w:t>
                  </w:r>
                </w:p>
              </w:tc>
              <w:tc>
                <w:tcPr/>
                <w:p>
                  <w:pPr>
                    <w:pStyle w:val="Compact"/>
                    <w:jc w:val="right"/>
                    <w:jc w:val="center"/>
                  </w:pPr>
                  <w:r>
                    <w:t xml:space="preserve">16.5</w:t>
                  </w:r>
                </w:p>
              </w:tc>
            </w:tr>
            <w:tr>
              <w:tc>
                <w:tcPr/>
                <w:p>
                  <w:pPr>
                    <w:pStyle w:val="Compact"/>
                    <w:jc w:val="left"/>
                    <w:jc w:val="center"/>
                  </w:pPr>
                  <w:r>
                    <w:t xml:space="preserve">2011</w:t>
                  </w:r>
                </w:p>
              </w:tc>
              <w:tc>
                <w:tcPr/>
                <w:p>
                  <w:pPr>
                    <w:pStyle w:val="Compact"/>
                    <w:jc w:val="right"/>
                    <w:jc w:val="center"/>
                  </w:pPr>
                  <w:r>
                    <w:t xml:space="preserve">14,944</w:t>
                  </w:r>
                </w:p>
              </w:tc>
              <w:tc>
                <w:tcPr/>
                <w:p>
                  <w:pPr>
                    <w:pStyle w:val="Compact"/>
                    <w:jc w:val="right"/>
                    <w:jc w:val="center"/>
                  </w:pPr>
                  <w:r>
                    <w:t xml:space="preserve">13.5</w:t>
                  </w:r>
                </w:p>
              </w:tc>
            </w:tr>
            <w:tr>
              <w:tc>
                <w:tcPr/>
                <w:p>
                  <w:pPr>
                    <w:pStyle w:val="Compact"/>
                    <w:jc w:val="left"/>
                    <w:jc w:val="center"/>
                  </w:pPr>
                  <w:r>
                    <w:t xml:space="preserve">2013</w:t>
                  </w:r>
                </w:p>
              </w:tc>
              <w:tc>
                <w:tcPr/>
                <w:p>
                  <w:pPr>
                    <w:pStyle w:val="Compact"/>
                    <w:jc w:val="right"/>
                    <w:jc w:val="center"/>
                  </w:pPr>
                  <w:r>
                    <w:t xml:space="preserve">14,943</w:t>
                  </w:r>
                </w:p>
              </w:tc>
              <w:tc>
                <w:tcPr/>
                <w:p>
                  <w:pPr>
                    <w:pStyle w:val="Compact"/>
                    <w:jc w:val="right"/>
                    <w:jc w:val="center"/>
                  </w:pPr>
                  <w:r>
                    <w:t xml:space="preserve">14.4</w:t>
                  </w:r>
                </w:p>
              </w:tc>
            </w:tr>
            <w:tr>
              <w:tc>
                <w:tcPr/>
                <w:p>
                  <w:pPr>
                    <w:pStyle w:val="Compact"/>
                    <w:jc w:val="left"/>
                    <w:jc w:val="center"/>
                  </w:pPr>
                  <w:r>
                    <w:t xml:space="preserve">2014</w:t>
                  </w:r>
                </w:p>
              </w:tc>
              <w:tc>
                <w:tcPr/>
                <w:p>
                  <w:pPr>
                    <w:pStyle w:val="Compact"/>
                    <w:jc w:val="right"/>
                    <w:jc w:val="center"/>
                  </w:pPr>
                  <w:r>
                    <w:t xml:space="preserve">14,992</w:t>
                  </w:r>
                </w:p>
              </w:tc>
              <w:tc>
                <w:tcPr/>
                <w:p>
                  <w:pPr>
                    <w:pStyle w:val="Compact"/>
                    <w:jc w:val="right"/>
                    <w:jc w:val="center"/>
                  </w:pPr>
                  <w: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cover the mechanism and the stem-size threshold, namely total basal area, crown closure,</w:t>
      </w:r>
      <w:r>
        <w:t xml:space="preserve"> </w:t>
      </w:r>
      <w:r>
        <w:t xml:space="preserve">live stems per hectare, quadratic mean diameter over stems 12.5 cm and up, stand age, and</w:t>
      </w:r>
      <w:r>
        <w:t xml:space="preserve"> </w:t>
      </w:r>
      <w:r>
        <w:t xml:space="preserve">susceptible pine basal area, formed as total basal area times the pine share of cover.</w:t>
      </w:r>
    </w:p>
    <w:p>
      <w:pPr>
        <w:pStyle w:val="BodyText"/>
      </w:pPr>
      <w:r>
        <w:t xml:space="preserve">Every model is fitted on year-matched stand structure. Each cell-year takes the inventory</w:t>
      </w:r>
      <w:r>
        <w:t xml:space="preserve"> </w:t>
      </w:r>
      <w:r>
        <w:t xml:space="preserve">snapshot the province published for that year, depleted for harvest and projected for growth</w:t>
      </w:r>
      <w:r>
        <w:t xml:space="preserve"> </w:t>
      </w:r>
      <w:r>
        <w:t xml:space="preserve">to it, so the host terms vary in time as well as in space.</w:t>
      </w:r>
    </w:p>
    <w:p>
      <w:pPr>
        <w:pStyle w:val="BodyText"/>
      </w:pPr>
      <w:r>
        <w:t xml:space="preserve">One year is substituted. The 2007 delivery lists basal area and live stems as columns and fills neither, 0 and 3 per cent of polygons against 70 to 97 per cent in every other year, so the preceding year is carried forward rather than averaged. The inventory is itself a projection, so carrying forward reproduces a stand structure the province published, where averaging would invent one it did not.</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W w:type="pct" w:w="5000"/>
              <w:tblLayout w:type="fixed"/>
              <w:tblLook w:firstRow="1" w:lastRow="0" w:firstColumn="0" w:lastColumn="0" w:noHBand="0" w:noVBand="0" w:val="0020"/>
            </w:tblPr>
            <w:tblGrid>
              <w:gridCol w:w="2768"/>
              <w:gridCol w:w="615"/>
              <w:gridCol w:w="538"/>
              <w:gridCol w:w="538"/>
              <w:gridCol w:w="461"/>
              <w:gridCol w:w="538"/>
              <w:gridCol w:w="461"/>
              <w:gridCol w:w="615"/>
              <w:gridCol w:w="692"/>
              <w:gridCol w:w="692"/>
            </w:tblGrid>
            <w:tr>
              <w:trPr>
                <w:tblHeader w:val="on"/>
              </w:trPr>
              <w:tc>
                <w:tcPr/>
                <w:p>
                  <w:pPr>
                    <w:pStyle w:val="Compact"/>
                    <w:jc w:val="left"/>
                    <w:jc w:val="center"/>
                  </w:pPr>
                  <w:r>
                    <w:t xml:space="preserve">Attribute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SE</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Skewness</w:t>
                  </w:r>
                </w:p>
              </w:tc>
              <w:tc>
                <w:tcPr/>
                <w:p>
                  <w:pPr>
                    <w:pStyle w:val="Compact"/>
                    <w:jc w:val="right"/>
                    <w:jc w:val="center"/>
                  </w:pPr>
                  <w:r>
                    <w:t xml:space="preserve">Kurtosis</w:t>
                  </w:r>
                </w:p>
              </w:tc>
            </w:tr>
            <w:tr>
              <w:tc>
                <w:tcPr/>
                <w:p>
                  <w:pPr>
                    <w:pStyle w:val="Compact"/>
                    <w:jc w:val="left"/>
                    <w:jc w:val="center"/>
                  </w:pPr>
                  <w:r>
                    <w:t xml:space="preserve">Stand basal area (m2/ha)</w:t>
                  </w:r>
                </w:p>
              </w:tc>
              <w:tc>
                <w:tcPr/>
                <w:p>
                  <w:pPr>
                    <w:pStyle w:val="Compact"/>
                    <w:jc w:val="right"/>
                    <w:jc w:val="center"/>
                  </w:pPr>
                  <w:r>
                    <w:t xml:space="preserve">111,707</w:t>
                  </w:r>
                </w:p>
              </w:tc>
              <w:tc>
                <w:tcPr/>
                <w:p>
                  <w:pPr>
                    <w:pStyle w:val="Compact"/>
                    <w:jc w:val="right"/>
                    <w:jc w:val="center"/>
                  </w:pPr>
                  <w:r>
                    <w:t xml:space="preserve">35.56</w:t>
                  </w:r>
                </w:p>
              </w:tc>
              <w:tc>
                <w:tcPr/>
                <w:p>
                  <w:pPr>
                    <w:pStyle w:val="Compact"/>
                    <w:jc w:val="right"/>
                    <w:jc w:val="center"/>
                  </w:pPr>
                  <w:r>
                    <w:t xml:space="preserve">11.60</w:t>
                  </w:r>
                </w:p>
              </w:tc>
              <w:tc>
                <w:tcPr/>
                <w:p>
                  <w:pPr>
                    <w:pStyle w:val="Compact"/>
                    <w:jc w:val="right"/>
                    <w:jc w:val="center"/>
                  </w:pPr>
                  <w:r>
                    <w:t xml:space="preserve">0.035</w:t>
                  </w:r>
                </w:p>
              </w:tc>
              <w:tc>
                <w:tcPr/>
                <w:p>
                  <w:pPr>
                    <w:pStyle w:val="Compact"/>
                    <w:jc w:val="right"/>
                    <w:jc w:val="center"/>
                  </w:pPr>
                  <w:r>
                    <w:t xml:space="preserve">37.39</w:t>
                  </w:r>
                </w:p>
              </w:tc>
              <w:tc>
                <w:tcPr/>
                <w:p>
                  <w:pPr>
                    <w:pStyle w:val="Compact"/>
                    <w:jc w:val="right"/>
                    <w:jc w:val="center"/>
                  </w:pPr>
                  <w:r>
                    <w:t xml:space="preserve">0.98</w:t>
                  </w:r>
                </w:p>
              </w:tc>
              <w:tc>
                <w:tcPr/>
                <w:p>
                  <w:pPr>
                    <w:pStyle w:val="Compact"/>
                    <w:jc w:val="right"/>
                    <w:jc w:val="center"/>
                  </w:pPr>
                  <w:r>
                    <w:t xml:space="preserve">62.43</w:t>
                  </w:r>
                </w:p>
              </w:tc>
              <w:tc>
                <w:tcPr/>
                <w:p>
                  <w:pPr>
                    <w:pStyle w:val="Compact"/>
                    <w:jc w:val="right"/>
                    <w:jc w:val="center"/>
                  </w:pPr>
                  <w:r>
                    <w:t xml:space="preserve">-1.01</w:t>
                  </w:r>
                </w:p>
              </w:tc>
              <w:tc>
                <w:tcPr/>
                <w:p>
                  <w:pPr>
                    <w:pStyle w:val="Compact"/>
                    <w:jc w:val="right"/>
                    <w:jc w:val="center"/>
                  </w:pPr>
                  <w:r>
                    <w:t xml:space="preserve">+1.42</w:t>
                  </w:r>
                </w:p>
              </w:tc>
            </w:tr>
            <w:tr>
              <w:tc>
                <w:tcPr/>
                <w:p>
                  <w:pPr>
                    <w:pStyle w:val="Compact"/>
                    <w:jc w:val="left"/>
                    <w:jc w:val="center"/>
                  </w:pPr>
                  <w:r>
                    <w:t xml:space="preserve">Crown closure (%)</w:t>
                  </w:r>
                </w:p>
              </w:tc>
              <w:tc>
                <w:tcPr/>
                <w:p>
                  <w:pPr>
                    <w:pStyle w:val="Compact"/>
                    <w:jc w:val="right"/>
                    <w:jc w:val="center"/>
                  </w:pPr>
                  <w:r>
                    <w:t xml:space="preserve">111,707</w:t>
                  </w:r>
                </w:p>
              </w:tc>
              <w:tc>
                <w:tcPr/>
                <w:p>
                  <w:pPr>
                    <w:pStyle w:val="Compact"/>
                    <w:jc w:val="right"/>
                    <w:jc w:val="center"/>
                  </w:pPr>
                  <w:r>
                    <w:t xml:space="preserve">50.10</w:t>
                  </w:r>
                </w:p>
              </w:tc>
              <w:tc>
                <w:tcPr/>
                <w:p>
                  <w:pPr>
                    <w:pStyle w:val="Compact"/>
                    <w:jc w:val="right"/>
                    <w:jc w:val="center"/>
                  </w:pPr>
                  <w:r>
                    <w:t xml:space="preserve">13.54</w:t>
                  </w:r>
                </w:p>
              </w:tc>
              <w:tc>
                <w:tcPr/>
                <w:p>
                  <w:pPr>
                    <w:pStyle w:val="Compact"/>
                    <w:jc w:val="right"/>
                    <w:jc w:val="center"/>
                  </w:pPr>
                  <w:r>
                    <w:t xml:space="preserve">0.041</w:t>
                  </w:r>
                </w:p>
              </w:tc>
              <w:tc>
                <w:tcPr/>
                <w:p>
                  <w:pPr>
                    <w:pStyle w:val="Compact"/>
                    <w:jc w:val="right"/>
                    <w:jc w:val="center"/>
                  </w:pPr>
                  <w:r>
                    <w:t xml:space="preserve">50.00</w:t>
                  </w:r>
                </w:p>
              </w:tc>
              <w:tc>
                <w:tcPr/>
                <w:p>
                  <w:pPr>
                    <w:pStyle w:val="Compact"/>
                    <w:jc w:val="right"/>
                    <w:jc w:val="center"/>
                  </w:pPr>
                  <w:r>
                    <w:t xml:space="preserve">3.00</w:t>
                  </w:r>
                </w:p>
              </w:tc>
              <w:tc>
                <w:tcPr/>
                <w:p>
                  <w:pPr>
                    <w:pStyle w:val="Compact"/>
                    <w:jc w:val="right"/>
                    <w:jc w:val="center"/>
                  </w:pPr>
                  <w:r>
                    <w:t xml:space="preserve">70.00</w:t>
                  </w:r>
                </w:p>
              </w:tc>
              <w:tc>
                <w:tcPr/>
                <w:p>
                  <w:pPr>
                    <w:pStyle w:val="Compact"/>
                    <w:jc w:val="right"/>
                    <w:jc w:val="center"/>
                  </w:pPr>
                  <w:r>
                    <w:t xml:space="preserve">-1.74</w:t>
                  </w:r>
                </w:p>
              </w:tc>
              <w:tc>
                <w:tcPr/>
                <w:p>
                  <w:pPr>
                    <w:pStyle w:val="Compact"/>
                    <w:jc w:val="right"/>
                    <w:jc w:val="center"/>
                  </w:pPr>
                  <w:r>
                    <w:t xml:space="preserve">+3.37</w:t>
                  </w:r>
                </w:p>
              </w:tc>
            </w:tr>
            <w:tr>
              <w:tc>
                <w:tcPr/>
                <w:p>
                  <w:pPr>
                    <w:pStyle w:val="Compact"/>
                    <w:jc w:val="left"/>
                    <w:jc w:val="center"/>
                  </w:pPr>
                  <w:r>
                    <w:t xml:space="preserve">Live stems (n/ha)</w:t>
                  </w:r>
                </w:p>
              </w:tc>
              <w:tc>
                <w:tcPr/>
                <w:p>
                  <w:pPr>
                    <w:pStyle w:val="Compact"/>
                    <w:jc w:val="right"/>
                    <w:jc w:val="center"/>
                  </w:pPr>
                  <w:r>
                    <w:t xml:space="preserve">111,707</w:t>
                  </w:r>
                </w:p>
              </w:tc>
              <w:tc>
                <w:tcPr/>
                <w:p>
                  <w:pPr>
                    <w:pStyle w:val="Compact"/>
                    <w:jc w:val="right"/>
                    <w:jc w:val="center"/>
                  </w:pPr>
                  <w:r>
                    <w:t xml:space="preserve">772.75</w:t>
                  </w:r>
                </w:p>
              </w:tc>
              <w:tc>
                <w:tcPr/>
                <w:p>
                  <w:pPr>
                    <w:pStyle w:val="Compact"/>
                    <w:jc w:val="right"/>
                    <w:jc w:val="center"/>
                  </w:pPr>
                  <w:r>
                    <w:t xml:space="preserve">312.80</w:t>
                  </w:r>
                </w:p>
              </w:tc>
              <w:tc>
                <w:tcPr/>
                <w:p>
                  <w:pPr>
                    <w:pStyle w:val="Compact"/>
                    <w:jc w:val="right"/>
                    <w:jc w:val="center"/>
                  </w:pPr>
                  <w:r>
                    <w:t xml:space="preserve">0.936</w:t>
                  </w:r>
                </w:p>
              </w:tc>
              <w:tc>
                <w:tcPr/>
                <w:p>
                  <w:pPr>
                    <w:pStyle w:val="Compact"/>
                    <w:jc w:val="right"/>
                    <w:jc w:val="center"/>
                  </w:pPr>
                  <w:r>
                    <w:t xml:space="preserve">775.00</w:t>
                  </w:r>
                </w:p>
              </w:tc>
              <w:tc>
                <w:tcPr/>
                <w:p>
                  <w:pPr>
                    <w:pStyle w:val="Compact"/>
                    <w:jc w:val="right"/>
                    <w:jc w:val="center"/>
                  </w:pPr>
                  <w:r>
                    <w:t xml:space="preserve">23.00</w:t>
                  </w:r>
                </w:p>
              </w:tc>
              <w:tc>
                <w:tcPr/>
                <w:p>
                  <w:pPr>
                    <w:pStyle w:val="Compact"/>
                    <w:jc w:val="right"/>
                    <w:jc w:val="center"/>
                  </w:pPr>
                  <w:r>
                    <w:t xml:space="preserve">4600.00</w:t>
                  </w:r>
                </w:p>
              </w:tc>
              <w:tc>
                <w:tcPr/>
                <w:p>
                  <w:pPr>
                    <w:pStyle w:val="Compact"/>
                    <w:jc w:val="right"/>
                    <w:jc w:val="center"/>
                  </w:pPr>
                  <w:r>
                    <w:t xml:space="preserve">+1.70</w:t>
                  </w:r>
                </w:p>
              </w:tc>
              <w:tc>
                <w:tcPr/>
                <w:p>
                  <w:pPr>
                    <w:pStyle w:val="Compact"/>
                    <w:jc w:val="right"/>
                    <w:jc w:val="center"/>
                  </w:pPr>
                  <w:r>
                    <w:t xml:space="preserve">+19.51</w:t>
                  </w:r>
                </w:p>
              </w:tc>
            </w:tr>
            <w:tr>
              <w:tc>
                <w:tcPr/>
                <w:p>
                  <w:pPr>
                    <w:pStyle w:val="Compact"/>
                    <w:jc w:val="left"/>
                    <w:jc w:val="center"/>
                  </w:pPr>
                  <w:r>
                    <w:t xml:space="preserve">Quadratic mean diameter (cm)</w:t>
                  </w:r>
                </w:p>
              </w:tc>
              <w:tc>
                <w:tcPr/>
                <w:p>
                  <w:pPr>
                    <w:pStyle w:val="Compact"/>
                    <w:jc w:val="right"/>
                    <w:jc w:val="center"/>
                  </w:pPr>
                  <w:r>
                    <w:t xml:space="preserve">111,707</w:t>
                  </w:r>
                </w:p>
              </w:tc>
              <w:tc>
                <w:tcPr/>
                <w:p>
                  <w:pPr>
                    <w:pStyle w:val="Compact"/>
                    <w:jc w:val="right"/>
                    <w:jc w:val="center"/>
                  </w:pPr>
                  <w:r>
                    <w:t xml:space="preserve">27.38</w:t>
                  </w:r>
                </w:p>
              </w:tc>
              <w:tc>
                <w:tcPr/>
                <w:p>
                  <w:pPr>
                    <w:pStyle w:val="Compact"/>
                    <w:jc w:val="right"/>
                    <w:jc w:val="center"/>
                  </w:pPr>
                  <w:r>
                    <w:t xml:space="preserve">6.40</w:t>
                  </w:r>
                </w:p>
              </w:tc>
              <w:tc>
                <w:tcPr/>
                <w:p>
                  <w:pPr>
                    <w:pStyle w:val="Compact"/>
                    <w:jc w:val="right"/>
                    <w:jc w:val="center"/>
                  </w:pPr>
                  <w:r>
                    <w:t xml:space="preserve">0.019</w:t>
                  </w:r>
                </w:p>
              </w:tc>
              <w:tc>
                <w:tcPr/>
                <w:p>
                  <w:pPr>
                    <w:pStyle w:val="Compact"/>
                    <w:jc w:val="right"/>
                    <w:jc w:val="center"/>
                  </w:pPr>
                  <w:r>
                    <w:t xml:space="preserve">26.95</w:t>
                  </w:r>
                </w:p>
              </w:tc>
              <w:tc>
                <w:tcPr/>
                <w:p>
                  <w:pPr>
                    <w:pStyle w:val="Compact"/>
                    <w:jc w:val="right"/>
                    <w:jc w:val="center"/>
                  </w:pPr>
                  <w:r>
                    <w:t xml:space="preserve">13.55</w:t>
                  </w:r>
                </w:p>
              </w:tc>
              <w:tc>
                <w:tcPr/>
                <w:p>
                  <w:pPr>
                    <w:pStyle w:val="Compact"/>
                    <w:jc w:val="right"/>
                    <w:jc w:val="center"/>
                  </w:pPr>
                  <w:r>
                    <w:t xml:space="preserve">58.90</w:t>
                  </w:r>
                </w:p>
              </w:tc>
              <w:tc>
                <w:tcPr/>
                <w:p>
                  <w:pPr>
                    <w:pStyle w:val="Compact"/>
                    <w:jc w:val="right"/>
                    <w:jc w:val="center"/>
                  </w:pPr>
                  <w:r>
                    <w:t xml:space="preserve">+0.73</w:t>
                  </w:r>
                </w:p>
              </w:tc>
              <w:tc>
                <w:tcPr/>
                <w:p>
                  <w:pPr>
                    <w:pStyle w:val="Compact"/>
                    <w:jc w:val="right"/>
                    <w:jc w:val="center"/>
                  </w:pPr>
                  <w:r>
                    <w:t xml:space="preserve">+1.24</w:t>
                  </w:r>
                </w:p>
              </w:tc>
            </w:tr>
            <w:tr>
              <w:tc>
                <w:tcPr/>
                <w:p>
                  <w:pPr>
                    <w:pStyle w:val="Compact"/>
                    <w:jc w:val="left"/>
                    <w:jc w:val="center"/>
                  </w:pPr>
                  <w:r>
                    <w:t xml:space="preserve">Stand age (years)</w:t>
                  </w:r>
                </w:p>
              </w:tc>
              <w:tc>
                <w:tcPr/>
                <w:p>
                  <w:pPr>
                    <w:pStyle w:val="Compact"/>
                    <w:jc w:val="right"/>
                    <w:jc w:val="center"/>
                  </w:pPr>
                  <w:r>
                    <w:t xml:space="preserve">111,707</w:t>
                  </w:r>
                </w:p>
              </w:tc>
              <w:tc>
                <w:tcPr/>
                <w:p>
                  <w:pPr>
                    <w:pStyle w:val="Compact"/>
                    <w:jc w:val="right"/>
                    <w:jc w:val="center"/>
                  </w:pPr>
                  <w:r>
                    <w:t xml:space="preserve">115.46</w:t>
                  </w:r>
                </w:p>
              </w:tc>
              <w:tc>
                <w:tcPr/>
                <w:p>
                  <w:pPr>
                    <w:pStyle w:val="Compact"/>
                    <w:jc w:val="right"/>
                    <w:jc w:val="center"/>
                  </w:pPr>
                  <w:r>
                    <w:t xml:space="preserve">20.88</w:t>
                  </w:r>
                </w:p>
              </w:tc>
              <w:tc>
                <w:tcPr/>
                <w:p>
                  <w:pPr>
                    <w:pStyle w:val="Compact"/>
                    <w:jc w:val="right"/>
                    <w:jc w:val="center"/>
                  </w:pPr>
                  <w:r>
                    <w:t xml:space="preserve">0.062</w:t>
                  </w:r>
                </w:p>
              </w:tc>
              <w:tc>
                <w:tcPr/>
                <w:p>
                  <w:pPr>
                    <w:pStyle w:val="Compact"/>
                    <w:jc w:val="right"/>
                    <w:jc w:val="center"/>
                  </w:pPr>
                  <w:r>
                    <w:t xml:space="preserve">116.00</w:t>
                  </w:r>
                </w:p>
              </w:tc>
              <w:tc>
                <w:tcPr/>
                <w:p>
                  <w:pPr>
                    <w:pStyle w:val="Compact"/>
                    <w:jc w:val="right"/>
                    <w:jc w:val="center"/>
                  </w:pPr>
                  <w:r>
                    <w:t xml:space="preserve">22.00</w:t>
                  </w:r>
                </w:p>
              </w:tc>
              <w:tc>
                <w:tcPr/>
                <w:p>
                  <w:pPr>
                    <w:pStyle w:val="Compact"/>
                    <w:jc w:val="right"/>
                    <w:jc w:val="center"/>
                  </w:pPr>
                  <w:r>
                    <w:t xml:space="preserve">237.00</w:t>
                  </w:r>
                </w:p>
              </w:tc>
              <w:tc>
                <w:tcPr/>
                <w:p>
                  <w:pPr>
                    <w:pStyle w:val="Compact"/>
                    <w:jc w:val="right"/>
                    <w:jc w:val="center"/>
                  </w:pPr>
                  <w:r>
                    <w:t xml:space="preserve">-0.78</w:t>
                  </w:r>
                </w:p>
              </w:tc>
              <w:tc>
                <w:tcPr/>
                <w:p>
                  <w:pPr>
                    <w:pStyle w:val="Compact"/>
                    <w:jc w:val="right"/>
                    <w:jc w:val="center"/>
                  </w:pPr>
                  <w:r>
                    <w:t xml:space="preserve">+1.97</w:t>
                  </w:r>
                </w:p>
              </w:tc>
            </w:tr>
            <w:tr>
              <w:tc>
                <w:tcPr/>
                <w:p>
                  <w:pPr>
                    <w:pStyle w:val="Compact"/>
                    <w:jc w:val="left"/>
                    <w:jc w:val="center"/>
                  </w:pPr>
                  <w:r>
                    <w:t xml:space="preserve">Stand height (m)</w:t>
                  </w:r>
                </w:p>
              </w:tc>
              <w:tc>
                <w:tcPr/>
                <w:p>
                  <w:pPr>
                    <w:pStyle w:val="Compact"/>
                    <w:jc w:val="right"/>
                    <w:jc w:val="center"/>
                  </w:pPr>
                  <w:r>
                    <w:t xml:space="preserve">111,707</w:t>
                  </w:r>
                </w:p>
              </w:tc>
              <w:tc>
                <w:tcPr/>
                <w:p>
                  <w:pPr>
                    <w:pStyle w:val="Compact"/>
                    <w:jc w:val="right"/>
                    <w:jc w:val="center"/>
                  </w:pPr>
                  <w:r>
                    <w:t xml:space="preserve">26.97</w:t>
                  </w:r>
                </w:p>
              </w:tc>
              <w:tc>
                <w:tcPr/>
                <w:p>
                  <w:pPr>
                    <w:pStyle w:val="Compact"/>
                    <w:jc w:val="right"/>
                    <w:jc w:val="center"/>
                  </w:pPr>
                  <w:r>
                    <w:t xml:space="preserve">6.27</w:t>
                  </w:r>
                </w:p>
              </w:tc>
              <w:tc>
                <w:tcPr/>
                <w:p>
                  <w:pPr>
                    <w:pStyle w:val="Compact"/>
                    <w:jc w:val="right"/>
                    <w:jc w:val="center"/>
                  </w:pPr>
                  <w:r>
                    <w:t xml:space="preserve">0.019</w:t>
                  </w:r>
                </w:p>
              </w:tc>
              <w:tc>
                <w:tcPr/>
                <w:p>
                  <w:pPr>
                    <w:pStyle w:val="Compact"/>
                    <w:jc w:val="right"/>
                    <w:jc w:val="center"/>
                  </w:pPr>
                  <w:r>
                    <w:t xml:space="preserve">27.90</w:t>
                  </w:r>
                </w:p>
              </w:tc>
              <w:tc>
                <w:tcPr/>
                <w:p>
                  <w:pPr>
                    <w:pStyle w:val="Compact"/>
                    <w:jc w:val="right"/>
                    <w:jc w:val="center"/>
                  </w:pPr>
                  <w:r>
                    <w:t xml:space="preserve">7.00</w:t>
                  </w:r>
                </w:p>
              </w:tc>
              <w:tc>
                <w:tcPr/>
                <w:p>
                  <w:pPr>
                    <w:pStyle w:val="Compact"/>
                    <w:jc w:val="right"/>
                    <w:jc w:val="center"/>
                  </w:pPr>
                  <w:r>
                    <w:t xml:space="preserve">40.30</w:t>
                  </w:r>
                </w:p>
              </w:tc>
              <w:tc>
                <w:tcPr/>
                <w:p>
                  <w:pPr>
                    <w:pStyle w:val="Compact"/>
                    <w:jc w:val="right"/>
                    <w:jc w:val="center"/>
                  </w:pPr>
                  <w:r>
                    <w:t xml:space="preserve">-0.26</w:t>
                  </w:r>
                </w:p>
              </w:tc>
              <w:tc>
                <w:tcPr/>
                <w:p>
                  <w:pPr>
                    <w:pStyle w:val="Compact"/>
                    <w:jc w:val="right"/>
                    <w:jc w:val="center"/>
                  </w:pPr>
                  <w:r>
                    <w:t xml:space="preserve">+0.23</w:t>
                  </w:r>
                </w:p>
              </w:tc>
            </w:tr>
            <w:tr>
              <w:tc>
                <w:tcPr/>
                <w:p>
                  <w:pPr>
                    <w:pStyle w:val="Compact"/>
                    <w:jc w:val="left"/>
                    <w:jc w:val="center"/>
                  </w:pPr>
                  <w:r>
                    <w:t xml:space="preserve">Standing volume (m3/ha)</w:t>
                  </w:r>
                </w:p>
              </w:tc>
              <w:tc>
                <w:tcPr/>
                <w:p>
                  <w:pPr>
                    <w:pStyle w:val="Compact"/>
                    <w:jc w:val="right"/>
                    <w:jc w:val="center"/>
                  </w:pPr>
                  <w:r>
                    <w:t xml:space="preserve">111,707</w:t>
                  </w:r>
                </w:p>
              </w:tc>
              <w:tc>
                <w:tcPr/>
                <w:p>
                  <w:pPr>
                    <w:pStyle w:val="Compact"/>
                    <w:jc w:val="right"/>
                    <w:jc w:val="center"/>
                  </w:pPr>
                  <w:r>
                    <w:t xml:space="preserve">272.33</w:t>
                  </w:r>
                </w:p>
              </w:tc>
              <w:tc>
                <w:tcPr/>
                <w:p>
                  <w:pPr>
                    <w:pStyle w:val="Compact"/>
                    <w:jc w:val="right"/>
                    <w:jc w:val="center"/>
                  </w:pPr>
                  <w:r>
                    <w:t xml:space="preserve">131.38</w:t>
                  </w:r>
                </w:p>
              </w:tc>
              <w:tc>
                <w:tcPr/>
                <w:p>
                  <w:pPr>
                    <w:pStyle w:val="Compact"/>
                    <w:jc w:val="right"/>
                    <w:jc w:val="center"/>
                  </w:pPr>
                  <w:r>
                    <w:t xml:space="preserve">0.393</w:t>
                  </w:r>
                </w:p>
              </w:tc>
              <w:tc>
                <w:tcPr/>
                <w:p>
                  <w:pPr>
                    <w:pStyle w:val="Compact"/>
                    <w:jc w:val="right"/>
                    <w:jc w:val="center"/>
                  </w:pPr>
                  <w:r>
                    <w:t xml:space="preserve">281.47</w:t>
                  </w:r>
                </w:p>
              </w:tc>
              <w:tc>
                <w:tcPr/>
                <w:p>
                  <w:pPr>
                    <w:pStyle w:val="Compact"/>
                    <w:jc w:val="right"/>
                    <w:jc w:val="center"/>
                  </w:pPr>
                  <w:r>
                    <w:t xml:space="preserve">0.82</w:t>
                  </w:r>
                </w:p>
              </w:tc>
              <w:tc>
                <w:tcPr/>
                <w:p>
                  <w:pPr>
                    <w:pStyle w:val="Compact"/>
                    <w:jc w:val="right"/>
                    <w:jc w:val="center"/>
                  </w:pPr>
                  <w:r>
                    <w:t xml:space="preserve">586.61</w:t>
                  </w:r>
                </w:p>
              </w:tc>
              <w:tc>
                <w:tcPr/>
                <w:p>
                  <w:pPr>
                    <w:pStyle w:val="Compact"/>
                    <w:jc w:val="right"/>
                    <w:jc w:val="center"/>
                  </w:pPr>
                  <w:r>
                    <w:t xml:space="preserve">+0.01</w:t>
                  </w:r>
                </w:p>
              </w:tc>
              <w:tc>
                <w:tcPr/>
                <w:p>
                  <w:pPr>
                    <w:pStyle w:val="Compact"/>
                    <w:jc w:val="right"/>
                    <w:jc w:val="center"/>
                  </w:pPr>
                  <w:r>
                    <w:t xml:space="preserve">-0.35</w:t>
                  </w:r>
                </w:p>
              </w:tc>
            </w:tr>
            <w:tr>
              <w:tc>
                <w:tcPr/>
                <w:p>
                  <w:pPr>
                    <w:pStyle w:val="Compact"/>
                    <w:jc w:val="left"/>
                    <w:jc w:val="center"/>
                  </w:pPr>
                  <w:r>
                    <w:t xml:space="preserve">Lodgepole pine cover (%)</w:t>
                  </w:r>
                </w:p>
              </w:tc>
              <w:tc>
                <w:tcPr/>
                <w:p>
                  <w:pPr>
                    <w:pStyle w:val="Compact"/>
                    <w:jc w:val="right"/>
                    <w:jc w:val="center"/>
                  </w:pPr>
                  <w:r>
                    <w:t xml:space="preserve">111,707</w:t>
                  </w:r>
                </w:p>
              </w:tc>
              <w:tc>
                <w:tcPr/>
                <w:p>
                  <w:pPr>
                    <w:pStyle w:val="Compact"/>
                    <w:jc w:val="right"/>
                    <w:jc w:val="center"/>
                  </w:pPr>
                  <w:r>
                    <w:t xml:space="preserve">20.11</w:t>
                  </w:r>
                </w:p>
              </w:tc>
              <w:tc>
                <w:tcPr/>
                <w:p>
                  <w:pPr>
                    <w:pStyle w:val="Compact"/>
                    <w:jc w:val="right"/>
                    <w:jc w:val="center"/>
                  </w:pPr>
                  <w:r>
                    <w:t xml:space="preserve">23.93</w:t>
                  </w:r>
                </w:p>
              </w:tc>
              <w:tc>
                <w:tcPr/>
                <w:p>
                  <w:pPr>
                    <w:pStyle w:val="Compact"/>
                    <w:jc w:val="right"/>
                    <w:jc w:val="center"/>
                  </w:pPr>
                  <w:r>
                    <w:t xml:space="preserve">0.072</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+1.45</w:t>
                  </w:r>
                </w:p>
              </w:tc>
              <w:tc>
                <w:tcPr/>
                <w:p>
                  <w:pPr>
                    <w:pStyle w:val="Compact"/>
                    <w:jc w:val="right"/>
                    <w:jc w:val="center"/>
                  </w:pPr>
                  <w:r>
                    <w:t xml:space="preserve">+1.56</w:t>
                  </w:r>
                </w:p>
              </w:tc>
            </w:tr>
            <w:tr>
              <w:tc>
                <w:tcPr/>
                <w:p>
                  <w:pPr>
                    <w:pStyle w:val="Compact"/>
                    <w:jc w:val="left"/>
                    <w:jc w:val="center"/>
                  </w:pPr>
                  <w:r>
                    <w:t xml:space="preserve">Susceptible pine basal area (m2/ha)</w:t>
                  </w:r>
                </w:p>
              </w:tc>
              <w:tc>
                <w:tcPr/>
                <w:p>
                  <w:pPr>
                    <w:pStyle w:val="Compact"/>
                    <w:jc w:val="right"/>
                    <w:jc w:val="center"/>
                  </w:pPr>
                  <w:r>
                    <w:t xml:space="preserve">111,707</w:t>
                  </w:r>
                </w:p>
              </w:tc>
              <w:tc>
                <w:tcPr/>
                <w:p>
                  <w:pPr>
                    <w:pStyle w:val="Compact"/>
                    <w:jc w:val="right"/>
                    <w:jc w:val="center"/>
                  </w:pPr>
                  <w:r>
                    <w:t xml:space="preserve">7.07</w:t>
                  </w:r>
                </w:p>
              </w:tc>
              <w:tc>
                <w:tcPr/>
                <w:p>
                  <w:pPr>
                    <w:pStyle w:val="Compact"/>
                    <w:jc w:val="right"/>
                    <w:jc w:val="center"/>
                  </w:pPr>
                  <w:r>
                    <w:t xml:space="preserve">8.85</w:t>
                  </w:r>
                </w:p>
              </w:tc>
              <w:tc>
                <w:tcPr/>
                <w:p>
                  <w:pPr>
                    <w:pStyle w:val="Compact"/>
                    <w:jc w:val="right"/>
                    <w:jc w:val="center"/>
                  </w:pPr>
                  <w:r>
                    <w:t xml:space="preserve">0.026</w:t>
                  </w:r>
                </w:p>
              </w:tc>
              <w:tc>
                <w:tcPr/>
                <w:p>
                  <w:pPr>
                    <w:pStyle w:val="Compact"/>
                    <w:jc w:val="right"/>
                    <w:jc w:val="center"/>
                  </w:pPr>
                  <w:r>
                    <w:t xml:space="preserve">4.00</w:t>
                  </w:r>
                </w:p>
              </w:tc>
              <w:tc>
                <w:tcPr/>
                <w:p>
                  <w:pPr>
                    <w:pStyle w:val="Compact"/>
                    <w:jc w:val="right"/>
                    <w:jc w:val="center"/>
                  </w:pPr>
                  <w:r>
                    <w:t xml:space="preserve">0.00</w:t>
                  </w:r>
                </w:p>
              </w:tc>
              <w:tc>
                <w:tcPr/>
                <w:p>
                  <w:pPr>
                    <w:pStyle w:val="Compact"/>
                    <w:jc w:val="right"/>
                    <w:jc w:val="center"/>
                  </w:pPr>
                  <w:r>
                    <w:t xml:space="preserve">48.30</w:t>
                  </w:r>
                </w:p>
              </w:tc>
              <w:tc>
                <w:tcPr/>
                <w:p>
                  <w:pPr>
                    <w:pStyle w:val="Compact"/>
                    <w:jc w:val="right"/>
                    <w:jc w:val="center"/>
                  </w:pPr>
                  <w:r>
                    <w:t xml:space="preserve">+1.63</w:t>
                  </w:r>
                </w:p>
              </w:tc>
              <w:tc>
                <w:tcPr/>
                <w:p>
                  <w:pPr>
                    <w:pStyle w:val="Compact"/>
                    <w:jc w:val="right"/>
                    <w:jc w:val="center"/>
                  </w:pPr>
                  <w:r>
                    <w:t xml:space="preserve">+2.63</w:t>
                  </w:r>
                </w:p>
              </w:tc>
            </w:tr>
          </w:tbl>
          <w:bookmarkEnd w:id="32"/>
          <w:p/>
        </w:tc>
      </w:tr>
    </w:tbl>
    <w:p>
      <w:pPr>
        <w:pStyle w:val="BodyText"/>
      </w:pPr>
      <w:r>
        <w:t xml:space="preserve">The inventory is a projected operational product, not a census, and its polygons here have</w:t>
      </w:r>
      <w:r>
        <w:t xml:space="preserve"> </w:t>
      </w:r>
      <w:r>
        <w:t xml:space="preserve">reference years spanning several decades. A polygon interpreted from late-outbreak</w:t>
      </w:r>
      <w:r>
        <w:t xml:space="preserve"> </w:t>
      </w:r>
      <w:r>
        <w:t xml:space="preserve">photography describes a stand the beetle had already attacked, so that basal area and pine</w:t>
      </w:r>
      <w:r>
        <w:t xml:space="preserve"> </w:t>
      </w:r>
      <w:r>
        <w:t xml:space="preserve">cover are post-attack over part of the study window. No unattacked vintage exists, and the</w:t>
      </w:r>
      <w:r>
        <w:t xml:space="preserve"> </w:t>
      </w:r>
      <w:r>
        <w:t xml:space="preserve">limitation is therefore reported rather than corrected, and returned to in the Discussion.</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that a search radius</w:t>
      </w:r>
      <w:r>
        <w:t xml:space="preserve"> </w:t>
      </w:r>
      <w:r>
        <w:t xml:space="preserve">near the boundary still falls on measured ground.</w:t>
      </w:r>
    </w:p>
    <w:p>
      <w:pPr>
        <w:pStyle w:val="BodyText"/>
      </w:pPr>
      <w:r>
        <w:t xml:space="preserve">Radiation is computed twice because two mechanisms require different quantities.</w:t>
      </w:r>
      <w:r>
        <w:t xml:space="preserve"> </w:t>
      </w:r>
      <w:r>
        <w:t xml:space="preserve">Flight-window insolation is direct and diffuse radiation over 1 July to 15 August restricted</w:t>
      </w:r>
      <w:r>
        <w:t xml:space="preserve"> </w:t>
      </w:r>
      <w:r>
        <w:t xml:space="preserve">to 12:00 to 17:00, the hours identified as the flight peak</w:t>
      </w:r>
      <w:r>
        <w:t xml:space="preserve"> </w:t>
      </w:r>
      <w:r>
        <w:t xml:space="preserve">(Safranyik &amp; Carroll, 2006)</w:t>
      </w:r>
      <w:r>
        <w:t xml:space="preserve">, while</w:t>
      </w:r>
      <w:r>
        <w:t xml:space="preserve"> </w:t>
      </w:r>
      <w:r>
        <w:t xml:space="preserve">growing-season insolation is the whole-day total from 1 May to 30 September, which is the</w:t>
      </w:r>
      <w:r>
        <w:t xml:space="preserve"> </w:t>
      </w:r>
      <w:r>
        <w:t xml:space="preserve">shading quantity the first mechanism of</w:t>
      </w:r>
      <w:r>
        <w:t xml:space="preserve"> </w:t>
      </w:r>
      <w:r>
        <w:t xml:space="preserve">Krawchuk et al. (2020)</w:t>
      </w:r>
      <w:r>
        <w:t xml:space="preserve"> </w:t>
      </w:r>
      <w:r>
        <w:t xml:space="preserve">concerns. A single annual heat index</w:t>
      </w:r>
      <w:r>
        <w:t xml:space="preserve"> </w:t>
      </w:r>
      <w:r>
        <w:t xml:space="preserve">cannot separate the two.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should be drawn, in that the strongest aspect statements in</w:t>
      </w:r>
      <w:r>
        <w:t xml:space="preserve"> </w:t>
      </w:r>
      <w:r>
        <w:t xml:space="preserve">Safranyik &amp; Carroll (2006)</w:t>
      </w:r>
      <w:r>
        <w:t xml:space="preserve"> </w:t>
      </w:r>
      <w:r>
        <w:t xml:space="preserve">concern the aspect of the bole rather than of the slope. These are</w:t>
      </w:r>
      <w:r>
        <w:t xml:space="preserve"> </w:t>
      </w:r>
      <w:r>
        <w:t xml:space="preserve">within-tree effects that a 30 m raster cannot measure, and 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w:t>
      </w:r>
      <w:r>
        <w:t xml:space="preserve"> </w:t>
      </w:r>
      <w:r>
        <w:t xml:space="preserve">so wind is additionally computed as a field varying in space, using the MicroMet model of</w:t>
      </w:r>
      <w:r>
        <w:t xml:space="preserve"> </w:t>
      </w:r>
      <w:r>
        <w:t xml:space="preserve">Liston &amp; Elder (2006)</w:t>
      </w:r>
      <w:r>
        <w:t xml:space="preserve">. WindNinja, the tool ordinarily used for this purpose, ships no macOS binary,</w:t>
      </w:r>
      <w:r>
        <w:t xml:space="preserve"> </w:t>
      </w:r>
      <w:r>
        <w:t xml:space="preserve">whereas the wind component of MicroMet is seven equations rather than a program and was</w:t>
      </w:r>
      <w:r>
        <w:t xml:space="preserve"> </w:t>
      </w:r>
      <w:r>
        <w:t xml:space="preserve">implemented directly, with the source paper’s equation numbers recorded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w:t>
      </w:r>
      <w:r>
        <w:t xml:space="preserve"> </w:t>
      </w:r>
      <w:r>
        <w:t xml:space="preserve">of 16 direction bins and each hourly observation is multiplied by the surface for its own</w:t>
      </w:r>
      <w:r>
        <w:t xml:space="preserve"> </w:t>
      </w:r>
      <w:r>
        <w:t xml:space="preserve">bin, so that nothing is averaged before the terrain acts on it. Over all bins</w:t>
      </w:r>
      <w:r>
        <w:t xml:space="preserve"> </w:t>
      </w:r>
      <m:oMath>
        <m:sSub>
          <m:e>
            <m:r>
              <m:t>W</m:t>
            </m:r>
          </m:e>
          <m:sub>
            <m:r>
              <m:t>w</m:t>
            </m:r>
          </m:sub>
        </m:sSub>
      </m:oMath>
      <w:r>
        <w:t xml:space="preserve"> </w:t>
      </w:r>
      <w:r>
        <w:t xml:space="preserve">runs</w:t>
      </w:r>
      <w:r>
        <w:t xml:space="preserve"> </w:t>
      </w:r>
      <w:r>
        <w:t xml:space="preserve">0.60 to 1.38. Speed and direction are</w:t>
      </w:r>
      <w:r>
        <w:t xml:space="preserve"> </w:t>
      </w:r>
      <w:r>
        <w:t xml:space="preserve">combined as vector components, because averaging degrees across the 360 to 0 discontinuity</w:t>
      </w:r>
      <w:r>
        <w:t xml:space="preserve"> </w:t>
      </w:r>
      <w:r>
        <w:t xml:space="preserve">is not meaningful. The resulting field varies</w:t>
      </w:r>
      <w:r>
        <w:t xml:space="preserve"> </w:t>
      </w:r>
      <w:r>
        <w:t xml:space="preserve">1.9 to</w:t>
      </w:r>
      <w:r>
        <w:t xml:space="preserve"> </w:t>
      </w:r>
      <w:r>
        <w:t xml:space="preserve">2.8 km/h across the grid within a year and is not</w:t>
      </w:r>
      <w:r>
        <w:t xml:space="preserve"> </w:t>
      </w:r>
      <w:r>
        <w:t xml:space="preserve">a repackaged terrain index, correlating +0.148 with the</w:t>
      </w:r>
      <w:r>
        <w:t xml:space="preserve"> </w:t>
      </w:r>
      <w:r>
        <w:t xml:space="preserve">windward-leeward index and +0.123 with</w:t>
      </w:r>
      <w:r>
        <w:t xml:space="preserve"> </w:t>
      </w:r>
      <w:r>
        <w:t xml:space="preserve">flight-window 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 was</w:t>
      </w:r>
      <w:r>
        <w:t xml:space="preserve"> </w:t>
      </w:r>
      <w:r>
        <w:t xml:space="preserve">chosen from these data. The dates are the flight period</w:t>
      </w:r>
      <w:r>
        <w:t xml:space="preserve"> </w:t>
      </w:r>
      <w:r>
        <w:t xml:space="preserve">Safranyik &amp; Carroll (2006)</w:t>
      </w:r>
      <w:r>
        <w:t xml:space="preserve"> </w:t>
      </w:r>
      <w:r>
        <w:t xml:space="preserve">give for this</w:t>
      </w:r>
      <w:r>
        <w:t xml:space="preserve"> </w:t>
      </w:r>
      <w:r>
        <w:t xml:space="preserve">region, and the hours follow their</w:t>
      </w:r>
      <w:r>
        <w:t xml:space="preserve"> </w:t>
      </w:r>
      <w:r>
        <w:t xml:space="preserve">“peak flight is in the early to mid afternoon”</w:t>
      </w:r>
      <w:r>
        <w:t xml:space="preserve"> </w:t>
      </w:r>
      <w:r>
        <w:t xml:space="preserve">together</w:t>
      </w:r>
      <w:r>
        <w:t xml:space="preserve"> </w:t>
      </w:r>
      <w:r>
        <w:t xml:space="preserve">with</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The same figure shows the same daily pattern</w:t>
      </w:r>
      <w:r>
        <w:t xml:space="preserve"> </w:t>
      </w:r>
      <w:r>
        <w:t xml:space="preserve">in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w:t>
      </w:r>
    </w:p>
    <w:p>
      <w:pPr>
        <w:pStyle w:val="BodyText"/>
      </w:pPr>
      <w:r>
        <w:t xml:space="preserve">Station wind is Environment and Climate Change Canada hourly records, and it enters in</w:t>
      </w:r>
      <w:r>
        <w:t xml:space="preserve"> </w:t>
      </w:r>
      <w:r>
        <w:t xml:space="preserve">three places. It is the observation MicroMet modifies over the terrain, it supplies the</w:t>
      </w:r>
      <w:r>
        <w:t xml:space="preserve"> </w:t>
      </w:r>
      <w:r>
        <w:t xml:space="preserve">prevailing bearing the directional terrain indices are computed at, and it is the climate</w:t>
      </w:r>
      <w:r>
        <w:t xml:space="preserve"> </w:t>
      </w:r>
      <w:r>
        <w:t xml:space="preserve">against which the flight window is checked in</w:t>
      </w:r>
      <w:r>
        <w:t xml:space="preserve"> </w:t>
      </w:r>
      <w:hyperlink w:anchor="fig-flight-window">
        <w:r>
          <w:rPr>
            <w:rStyle w:val="Hyperlink"/>
          </w:rPr>
          <w:t xml:space="preserve">Figure 2</w:t>
        </w:r>
      </w:hyperlink>
      <w:r>
        <w:t xml:space="preserve">. The records are never</w:t>
      </w:r>
      <w:r>
        <w:t xml:space="preserve"> </w:t>
      </w:r>
      <w:r>
        <w:t xml:space="preserve">reduced before the terrain acts on them.</w:t>
      </w:r>
    </w:p>
    <w:p>
      <w:pPr>
        <w:pStyle w:val="BodyText"/>
      </w:pPr>
      <w:r>
        <w:t xml:space="preserve">Hourly readings give detail, not independent observations. Summarised over a whole season,</w:t>
      </w:r>
      <w:r>
        <w:t xml:space="preserve"> </w:t>
      </w:r>
      <w:r>
        <w:t xml:space="preserve">every hour of wind collapses into one number per metric, a coefficient rests on as many</w:t>
      </w:r>
      <w:r>
        <w:t xml:space="preserve"> </w:t>
      </w:r>
      <w:r>
        <w:t xml:space="preserve">values as there are seasons, and its standard error looks small without being believable.</w:t>
      </w:r>
      <w:r>
        <w:t xml:space="preserve"> </w:t>
      </w:r>
      <w:r>
        <w:t xml:space="preserve">Stand density varies cell to cell; a season’s wind does not. The response is therefore</w:t>
      </w:r>
      <w:r>
        <w:t xml:space="preserve"> </w:t>
      </w:r>
      <w:r>
        <w:t xml:space="preserve">measured over each sixteen-day epoch, so that wind varies within a season as well as</w:t>
      </w:r>
      <w:r>
        <w:t xml:space="preserve"> </w:t>
      </w:r>
      <w:r>
        <w:t xml:space="preserve">between seasons and the interaction the mechanism predicts is identified.</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Manuscript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for each pathway the</w:t>
      </w:r>
      <w:r>
        <w:t xml:space="preserve"> </w:t>
      </w:r>
      <w:r>
        <w:t xml:space="preserve">review names. The groups are stand density, host quality, terrain exposure to wind, terrain</w:t>
      </w:r>
      <w:r>
        <w:t xml:space="preserve"> </w:t>
      </w:r>
      <w:r>
        <w:t xml:space="preserve">shape, landscape 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fits Krawchuk’s first and third mechanisms together with landform context, that is host</w:t>
      </w:r>
      <w:r>
        <w:t xml:space="preserve"> </w:t>
      </w:r>
      <w:r>
        <w:t xml:space="preserve">size, 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three interactions objective 4 requires, stand density by terrain exposure, by</w:t>
      </w:r>
      <w:r>
        <w:t xml:space="preserve"> </w:t>
      </w:r>
      <w:r>
        <w:t xml:space="preserve">flight-window radiation, and by flight-window wind.</w:t>
      </w:r>
    </w:p>
    <w:bookmarkEnd w:id="48"/>
    <w:bookmarkEnd w:id="49"/>
    <w:bookmarkStart w:id="62"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W w:type="pct" w:w="5000"/>
              <w:tblLayout w:type="fixed"/>
              <w:tblLook w:firstRow="1" w:lastRow="0" w:firstColumn="0" w:lastColumn="0" w:noHBand="0" w:noVBand="0" w:val="0020"/>
            </w:tblPr>
            <w:tblGrid>
              <w:gridCol w:w="2666"/>
              <w:gridCol w:w="548"/>
              <w:gridCol w:w="470"/>
              <w:gridCol w:w="470"/>
              <w:gridCol w:w="705"/>
              <w:gridCol w:w="470"/>
              <w:gridCol w:w="470"/>
              <w:gridCol w:w="705"/>
              <w:gridCol w:w="470"/>
              <w:gridCol w:w="940"/>
            </w:tblGrid>
            <w:tr>
              <w:trPr>
                <w:tblHeader w:val="on"/>
              </w:trPr>
              <w:tc>
                <w:tcPr/>
                <w:p>
                  <w:pPr>
                    <w:pStyle w:val="Compact"/>
                    <w:jc w:val="left"/>
                    <w:jc w:val="center"/>
                  </w:pPr>
                  <w:r>
                    <w:t xml:space="preserve">Model</w:t>
                  </w:r>
                </w:p>
              </w:tc>
              <w:tc>
                <w:tcPr/>
                <w:p>
                  <w:pPr>
                    <w:pStyle w:val="Compact"/>
                    <w:jc w:val="right"/>
                    <w:jc w:val="center"/>
                  </w:pPr>
                  <w:r>
                    <w:t xml:space="preserve">AIC</w:t>
                  </w:r>
                </w:p>
              </w:tc>
              <w:tc>
                <w:tcPr/>
                <w:p>
                  <w:pPr>
                    <w:pStyle w:val="Compact"/>
                    <w:jc w:val="right"/>
                    <w:jc w:val="center"/>
                  </w:pPr>
                  <w:r>
                    <w:t xml:space="preserve">ΔAIC</w:t>
                  </w:r>
                </w:p>
              </w:tc>
              <w:tc>
                <w:tcPr/>
                <w:p>
                  <w:pPr>
                    <w:pStyle w:val="Compact"/>
                    <w:jc w:val="right"/>
                    <w:jc w:val="center"/>
                  </w:pPr>
                  <w:r>
                    <w:t xml:space="preserve">RMSE</w:t>
                  </w:r>
                </w:p>
              </w:tc>
              <w:tc>
                <w:tcPr/>
                <w:p>
                  <w:pPr>
                    <w:pStyle w:val="Compact"/>
                    <w:jc w:val="right"/>
                    <w:jc w:val="center"/>
                  </w:pPr>
                  <w:r>
                    <w:t xml:space="preserve">RMSE (%)</w:t>
                  </w:r>
                </w:p>
              </w:tc>
              <w:tc>
                <w:tcPr/>
                <w:p>
                  <w:pPr>
                    <w:pStyle w:val="Compact"/>
                    <w:jc w:val="right"/>
                    <w:jc w:val="center"/>
                  </w:pPr>
                  <w:r>
                    <w:t xml:space="preserve">MAE</w:t>
                  </w:r>
                </w:p>
              </w:tc>
              <w:tc>
                <w:tcPr/>
                <w:p>
                  <w:pPr>
                    <w:pStyle w:val="Compact"/>
                    <w:jc w:val="right"/>
                    <w:jc w:val="center"/>
                  </w:pPr>
                  <w:r>
                    <w:t xml:space="preserve">Brier</w:t>
                  </w:r>
                </w:p>
              </w:tc>
              <w:tc>
                <w:tcPr/>
                <w:p>
                  <w:pPr>
                    <w:pStyle w:val="Compact"/>
                    <w:jc w:val="right"/>
                    <w:jc w:val="center"/>
                  </w:pPr>
                  <w:r>
                    <w:t xml:space="preserve">Log loss</w:t>
                  </w:r>
                </w:p>
              </w:tc>
              <w:tc>
                <w:tcPr/>
                <w:p>
                  <w:pPr>
                    <w:pStyle w:val="Compact"/>
                    <w:jc w:val="right"/>
                    <w:jc w:val="center"/>
                  </w:pPr>
                  <w:r>
                    <w:t xml:space="preserve">AUC</w:t>
                  </w:r>
                </w:p>
              </w:tc>
              <w:tc>
                <w:tcPr/>
                <w:p>
                  <w:pPr>
                    <w:pStyle w:val="Compact"/>
                    <w:jc w:val="left"/>
                    <w:jc w:val="center"/>
                  </w:pPr>
                  <w:r>
                    <w:t xml:space="preserve">Brier skill</w:t>
                  </w:r>
                </w:p>
              </w:tc>
            </w:tr>
            <w:tr>
              <w:tc>
                <w:tcPr/>
                <w:p>
                  <w:pPr>
                    <w:pStyle w:val="Compact"/>
                    <w:jc w:val="left"/>
                    <w:jc w:val="center"/>
                  </w:pPr>
                  <w:r>
                    <w:t xml:space="preserve">M0 host size + shading + landform</w:t>
                  </w:r>
                </w:p>
              </w:tc>
              <w:tc>
                <w:tcPr/>
                <w:p>
                  <w:pPr>
                    <w:pStyle w:val="Compact"/>
                    <w:jc w:val="right"/>
                    <w:jc w:val="center"/>
                  </w:pPr>
                  <w:r>
                    <w:t xml:space="preserve">46,964</w:t>
                  </w:r>
                </w:p>
              </w:tc>
              <w:tc>
                <w:tcPr/>
                <w:p>
                  <w:pPr>
                    <w:pStyle w:val="Compact"/>
                    <w:jc w:val="right"/>
                    <w:jc w:val="center"/>
                  </w:pPr>
                  <w:r>
                    <w:t xml:space="preserve">1,734</w:t>
                  </w:r>
                </w:p>
              </w:tc>
              <w:tc>
                <w:tcPr/>
                <w:p>
                  <w:pPr>
                    <w:pStyle w:val="Compact"/>
                    <w:jc w:val="right"/>
                    <w:jc w:val="center"/>
                  </w:pPr>
                  <w:r>
                    <w:t xml:space="preserve">0.407</w:t>
                  </w:r>
                </w:p>
              </w:tc>
              <w:tc>
                <w:tcPr/>
                <w:p>
                  <w:pPr>
                    <w:pStyle w:val="Compact"/>
                    <w:jc w:val="right"/>
                    <w:jc w:val="center"/>
                  </w:pPr>
                  <w:r>
                    <w:t xml:space="preserve">131.5</w:t>
                  </w:r>
                </w:p>
              </w:tc>
              <w:tc>
                <w:tcPr/>
                <w:p>
                  <w:pPr>
                    <w:pStyle w:val="Compact"/>
                    <w:jc w:val="right"/>
                    <w:jc w:val="center"/>
                  </w:pPr>
                  <w:r>
                    <w:t xml:space="preserve">0.333</w:t>
                  </w:r>
                </w:p>
              </w:tc>
              <w:tc>
                <w:tcPr/>
                <w:p>
                  <w:pPr>
                    <w:pStyle w:val="Compact"/>
                    <w:jc w:val="right"/>
                    <w:jc w:val="center"/>
                  </w:pPr>
                  <w:r>
                    <w:t xml:space="preserve">0.166</w:t>
                  </w:r>
                </w:p>
              </w:tc>
              <w:tc>
                <w:tcPr/>
                <w:p>
                  <w:pPr>
                    <w:pStyle w:val="Compact"/>
                    <w:jc w:val="right"/>
                    <w:jc w:val="center"/>
                  </w:pPr>
                  <w:r>
                    <w:t xml:space="preserve">0.506</w:t>
                  </w:r>
                </w:p>
              </w:tc>
              <w:tc>
                <w:tcPr/>
                <w:p>
                  <w:pPr>
                    <w:pStyle w:val="Compact"/>
                    <w:jc w:val="right"/>
                    <w:jc w:val="center"/>
                  </w:pPr>
                  <w:r>
                    <w:t xml:space="preserve">0.776</w:t>
                  </w:r>
                </w:p>
              </w:tc>
              <w:tc>
                <w:tcPr/>
                <w:p>
                  <w:pPr>
                    <w:pStyle w:val="Compact"/>
                    <w:jc w:val="left"/>
                    <w:jc w:val="center"/>
                  </w:pPr>
                  <w:r>
                    <w:t xml:space="preserve">0.224</w:t>
                  </w:r>
                </w:p>
              </w:tc>
            </w:tr>
            <w:tr>
              <w:tc>
                <w:tcPr/>
                <w:p>
                  <w:pPr>
                    <w:pStyle w:val="Compact"/>
                    <w:jc w:val="left"/>
                    <w:jc w:val="center"/>
                  </w:pPr>
                  <w:r>
                    <w:t xml:space="preserve">M1 + stand density</w:t>
                  </w:r>
                </w:p>
              </w:tc>
              <w:tc>
                <w:tcPr/>
                <w:p>
                  <w:pPr>
                    <w:pStyle w:val="Compact"/>
                    <w:jc w:val="right"/>
                    <w:jc w:val="center"/>
                  </w:pPr>
                  <w:r>
                    <w:t xml:space="preserve">46,507</w:t>
                  </w:r>
                </w:p>
              </w:tc>
              <w:tc>
                <w:tcPr/>
                <w:p>
                  <w:pPr>
                    <w:pStyle w:val="Compact"/>
                    <w:jc w:val="right"/>
                    <w:jc w:val="center"/>
                  </w:pPr>
                  <w:r>
                    <w:t xml:space="preserve">1,277</w:t>
                  </w:r>
                </w:p>
              </w:tc>
              <w:tc>
                <w:tcPr/>
                <w:p>
                  <w:pPr>
                    <w:pStyle w:val="Compact"/>
                    <w:jc w:val="right"/>
                    <w:jc w:val="center"/>
                  </w:pPr>
                  <w:r>
                    <w:t xml:space="preserve">0.405</w:t>
                  </w:r>
                </w:p>
              </w:tc>
              <w:tc>
                <w:tcPr/>
                <w:p>
                  <w:pPr>
                    <w:pStyle w:val="Compact"/>
                    <w:jc w:val="right"/>
                    <w:jc w:val="center"/>
                  </w:pPr>
                  <w:r>
                    <w:t xml:space="preserve">130.6</w:t>
                  </w:r>
                </w:p>
              </w:tc>
              <w:tc>
                <w:tcPr/>
                <w:p>
                  <w:pPr>
                    <w:pStyle w:val="Compact"/>
                    <w:jc w:val="right"/>
                    <w:jc w:val="center"/>
                  </w:pPr>
                  <w:r>
                    <w:t xml:space="preserve">0.329</w:t>
                  </w:r>
                </w:p>
              </w:tc>
              <w:tc>
                <w:tcPr/>
                <w:p>
                  <w:pPr>
                    <w:pStyle w:val="Compact"/>
                    <w:jc w:val="right"/>
                    <w:jc w:val="center"/>
                  </w:pPr>
                  <w:r>
                    <w:t xml:space="preserve">0.164</w:t>
                  </w:r>
                </w:p>
              </w:tc>
              <w:tc>
                <w:tcPr/>
                <w:p>
                  <w:pPr>
                    <w:pStyle w:val="Compact"/>
                    <w:jc w:val="right"/>
                    <w:jc w:val="center"/>
                  </w:pPr>
                  <w:r>
                    <w:t xml:space="preserve">0.501</w:t>
                  </w:r>
                </w:p>
              </w:tc>
              <w:tc>
                <w:tcPr/>
                <w:p>
                  <w:pPr>
                    <w:pStyle w:val="Compact"/>
                    <w:jc w:val="right"/>
                    <w:jc w:val="center"/>
                  </w:pPr>
                  <w:r>
                    <w:t xml:space="preserve">0.783</w:t>
                  </w:r>
                </w:p>
              </w:tc>
              <w:tc>
                <w:tcPr/>
                <w:p>
                  <w:pPr>
                    <w:pStyle w:val="Compact"/>
                    <w:jc w:val="left"/>
                    <w:jc w:val="center"/>
                  </w:pPr>
                  <w:r>
                    <w:t xml:space="preserve">0.234</w:t>
                  </w:r>
                </w:p>
              </w:tc>
            </w:tr>
            <w:tr>
              <w:tc>
                <w:tcPr/>
                <w:p>
                  <w:pPr>
                    <w:pStyle w:val="Compact"/>
                    <w:jc w:val="left"/>
                    <w:jc w:val="center"/>
                  </w:pPr>
                  <w:r>
                    <w:t xml:space="preserve">M2 + terrain and flight radiation</w:t>
                  </w:r>
                </w:p>
              </w:tc>
              <w:tc>
                <w:tcPr/>
                <w:p>
                  <w:pPr>
                    <w:pStyle w:val="Compact"/>
                    <w:jc w:val="right"/>
                    <w:jc w:val="center"/>
                  </w:pPr>
                  <w:r>
                    <w:t xml:space="preserve">45,764</w:t>
                  </w:r>
                </w:p>
              </w:tc>
              <w:tc>
                <w:tcPr/>
                <w:p>
                  <w:pPr>
                    <w:pStyle w:val="Compact"/>
                    <w:jc w:val="right"/>
                    <w:jc w:val="center"/>
                  </w:pPr>
                  <w:r>
                    <w:t xml:space="preserve">534</w:t>
                  </w:r>
                </w:p>
              </w:tc>
              <w:tc>
                <w:tcPr/>
                <w:p>
                  <w:pPr>
                    <w:pStyle w:val="Compact"/>
                    <w:jc w:val="right"/>
                    <w:jc w:val="center"/>
                  </w:pPr>
                  <w:r>
                    <w:t xml:space="preserve">0.401</w:t>
                  </w:r>
                </w:p>
              </w:tc>
              <w:tc>
                <w:tcPr/>
                <w:p>
                  <w:pPr>
                    <w:pStyle w:val="Compact"/>
                    <w:jc w:val="right"/>
                    <w:jc w:val="center"/>
                  </w:pPr>
                  <w:r>
                    <w:t xml:space="preserve">129.5</w:t>
                  </w:r>
                </w:p>
              </w:tc>
              <w:tc>
                <w:tcPr/>
                <w:p>
                  <w:pPr>
                    <w:pStyle w:val="Compact"/>
                    <w:jc w:val="right"/>
                    <w:jc w:val="center"/>
                  </w:pPr>
                  <w:r>
                    <w:t xml:space="preserve">0.323</w:t>
                  </w:r>
                </w:p>
              </w:tc>
              <w:tc>
                <w:tcPr/>
                <w:p>
                  <w:pPr>
                    <w:pStyle w:val="Compact"/>
                    <w:jc w:val="right"/>
                    <w:jc w:val="center"/>
                  </w:pPr>
                  <w:r>
                    <w:t xml:space="preserve">0.161</w:t>
                  </w:r>
                </w:p>
              </w:tc>
              <w:tc>
                <w:tcPr/>
                <w:p>
                  <w:pPr>
                    <w:pStyle w:val="Compact"/>
                    <w:jc w:val="right"/>
                    <w:jc w:val="center"/>
                  </w:pPr>
                  <w:r>
                    <w:t xml:space="preserve">0.493</w:t>
                  </w:r>
                </w:p>
              </w:tc>
              <w:tc>
                <w:tcPr/>
                <w:p>
                  <w:pPr>
                    <w:pStyle w:val="Compact"/>
                    <w:jc w:val="right"/>
                    <w:jc w:val="center"/>
                  </w:pPr>
                  <w:r>
                    <w:t xml:space="preserve">0.792</w:t>
                  </w:r>
                </w:p>
              </w:tc>
              <w:tc>
                <w:tcPr/>
                <w:p>
                  <w:pPr>
                    <w:pStyle w:val="Compact"/>
                    <w:jc w:val="left"/>
                    <w:jc w:val="center"/>
                  </w:pPr>
                  <w:r>
                    <w:t xml:space="preserve">0.247</w:t>
                  </w:r>
                </w:p>
              </w:tc>
            </w:tr>
            <w:tr>
              <w:tc>
                <w:tcPr/>
                <w:p>
                  <w:pPr>
                    <w:pStyle w:val="Compact"/>
                    <w:jc w:val="left"/>
                    <w:jc w:val="center"/>
                  </w:pPr>
                  <w:r>
                    <w:t xml:space="preserve">M3 + interactions</w:t>
                  </w:r>
                </w:p>
              </w:tc>
              <w:tc>
                <w:tcPr/>
                <w:p>
                  <w:pPr>
                    <w:pStyle w:val="Compact"/>
                    <w:jc w:val="right"/>
                    <w:jc w:val="center"/>
                  </w:pPr>
                  <w:r>
                    <w:t xml:space="preserve">45,230</w:t>
                  </w:r>
                </w:p>
              </w:tc>
              <w:tc>
                <w:tcPr/>
                <w:p>
                  <w:pPr>
                    <w:pStyle w:val="Compact"/>
                    <w:jc w:val="right"/>
                    <w:jc w:val="center"/>
                  </w:pPr>
                  <w:r>
                    <w:t xml:space="preserve">0</w:t>
                  </w:r>
                </w:p>
              </w:tc>
              <w:tc>
                <w:tcPr/>
                <w:p>
                  <w:pPr>
                    <w:pStyle w:val="Compact"/>
                    <w:jc w:val="right"/>
                    <w:jc w:val="center"/>
                  </w:pPr>
                  <w:r>
                    <w:t xml:space="preserve">0.399</w:t>
                  </w:r>
                </w:p>
              </w:tc>
              <w:tc>
                <w:tcPr/>
                <w:p>
                  <w:pPr>
                    <w:pStyle w:val="Compact"/>
                    <w:jc w:val="right"/>
                    <w:jc w:val="center"/>
                  </w:pPr>
                  <w:r>
                    <w:t xml:space="preserve">128.7</w:t>
                  </w:r>
                </w:p>
              </w:tc>
              <w:tc>
                <w:tcPr/>
                <w:p>
                  <w:pPr>
                    <w:pStyle w:val="Compact"/>
                    <w:jc w:val="right"/>
                    <w:jc w:val="center"/>
                  </w:pPr>
                  <w:r>
                    <w:t xml:space="preserve">0.319</w:t>
                  </w:r>
                </w:p>
              </w:tc>
              <w:tc>
                <w:tcPr/>
                <w:p>
                  <w:pPr>
                    <w:pStyle w:val="Compact"/>
                    <w:jc w:val="right"/>
                    <w:jc w:val="center"/>
                  </w:pPr>
                  <w:r>
                    <w:t xml:space="preserve">0.159</w:t>
                  </w:r>
                </w:p>
              </w:tc>
              <w:tc>
                <w:tcPr/>
                <w:p>
                  <w:pPr>
                    <w:pStyle w:val="Compact"/>
                    <w:jc w:val="right"/>
                    <w:jc w:val="center"/>
                  </w:pPr>
                  <w:r>
                    <w:t xml:space="preserve">0.487</w:t>
                  </w:r>
                </w:p>
              </w:tc>
              <w:tc>
                <w:tcPr/>
                <w:p>
                  <w:pPr>
                    <w:pStyle w:val="Compact"/>
                    <w:jc w:val="right"/>
                    <w:jc w:val="center"/>
                  </w:pPr>
                  <w:r>
                    <w:t xml:space="preserve">0.800</w:t>
                  </w:r>
                </w:p>
              </w:tc>
              <w:tc>
                <w:tcPr/>
                <w:p>
                  <w:pPr>
                    <w:pStyle w:val="Compact"/>
                    <w:jc w:val="left"/>
                    <w:jc w:val="center"/>
                  </w:pPr>
                  <w: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W w:type="pct" w:w="5000"/>
              <w:tblLayout w:type="fixed"/>
              <w:tblLook w:firstRow="1" w:lastRow="0" w:firstColumn="0" w:lastColumn="0" w:noHBand="0" w:noVBand="0" w:val="0020"/>
            </w:tblPr>
            <w:tblGrid>
              <w:gridCol w:w="5076"/>
              <w:gridCol w:w="710"/>
              <w:gridCol w:w="609"/>
              <w:gridCol w:w="710"/>
              <w:gridCol w:w="812"/>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Susceptible pine basal area (m2/ha)</w:t>
                  </w:r>
                </w:p>
              </w:tc>
              <w:tc>
                <w:tcPr/>
                <w:p>
                  <w:pPr>
                    <w:pStyle w:val="Compact"/>
                    <w:jc w:val="right"/>
                    <w:jc w:val="center"/>
                  </w:pPr>
                  <w:r>
                    <w:t xml:space="preserve">+0.536</w:t>
                  </w:r>
                </w:p>
              </w:tc>
              <w:tc>
                <w:tcPr/>
                <w:p>
                  <w:pPr>
                    <w:pStyle w:val="Compact"/>
                    <w:jc w:val="right"/>
                    <w:jc w:val="center"/>
                  </w:pPr>
                  <w:r>
                    <w:t xml:space="preserve">0.015</w:t>
                  </w:r>
                </w:p>
              </w:tc>
              <w:tc>
                <w:tcPr/>
                <w:p>
                  <w:pPr>
                    <w:pStyle w:val="Compact"/>
                    <w:jc w:val="right"/>
                    <w:jc w:val="center"/>
                  </w:pPr>
                  <w:r>
                    <w:t xml:space="preserve">35.25</w:t>
                  </w:r>
                </w:p>
              </w:tc>
              <w:tc>
                <w:tcPr/>
                <w:p>
                  <w:pPr>
                    <w:pStyle w:val="Compact"/>
                    <w:jc w:val="right"/>
                    <w:jc w:val="center"/>
                  </w:pPr>
                  <w:r>
                    <w:t xml:space="preserve">&lt; 0.001</w:t>
                  </w:r>
                </w:p>
              </w:tc>
            </w:tr>
            <w:tr>
              <w:tc>
                <w:tcPr/>
                <w:p>
                  <w:pPr>
                    <w:pStyle w:val="Compact"/>
                    <w:jc w:val="left"/>
                    <w:jc w:val="center"/>
                  </w:pPr>
                  <w:r>
                    <w:t xml:space="preserve">Stand basal area (m2/ha)</w:t>
                  </w:r>
                </w:p>
              </w:tc>
              <w:tc>
                <w:tcPr/>
                <w:p>
                  <w:pPr>
                    <w:pStyle w:val="Compact"/>
                    <w:jc w:val="right"/>
                    <w:jc w:val="center"/>
                  </w:pPr>
                  <w:r>
                    <w:t xml:space="preserve">+0.504</w:t>
                  </w:r>
                </w:p>
              </w:tc>
              <w:tc>
                <w:tcPr/>
                <w:p>
                  <w:pPr>
                    <w:pStyle w:val="Compact"/>
                    <w:jc w:val="right"/>
                    <w:jc w:val="center"/>
                  </w:pPr>
                  <w:r>
                    <w:t xml:space="preserve">0.027</w:t>
                  </w:r>
                </w:p>
              </w:tc>
              <w:tc>
                <w:tcPr/>
                <w:p>
                  <w:pPr>
                    <w:pStyle w:val="Compact"/>
                    <w:jc w:val="right"/>
                    <w:jc w:val="center"/>
                  </w:pPr>
                  <w:r>
                    <w:t xml:space="preserve">18.59</w:t>
                  </w:r>
                </w:p>
              </w:tc>
              <w:tc>
                <w:tcPr/>
                <w:p>
                  <w:pPr>
                    <w:pStyle w:val="Compact"/>
                    <w:jc w:val="right"/>
                    <w:jc w:val="center"/>
                  </w:pPr>
                  <w:r>
                    <w:t xml:space="preserve">&lt; 0.001</w:t>
                  </w:r>
                </w:p>
              </w:tc>
            </w:tr>
            <w:tr>
              <w:tc>
                <w:tcPr/>
                <w:p>
                  <w:pPr>
                    <w:pStyle w:val="Compact"/>
                    <w:jc w:val="left"/>
                    <w:jc w:val="center"/>
                  </w:pPr>
                  <w:r>
                    <w:t xml:space="preserve">Flight-window direct radiation (kWh/m2)</w:t>
                  </w:r>
                </w:p>
              </w:tc>
              <w:tc>
                <w:tcPr/>
                <w:p>
                  <w:pPr>
                    <w:pStyle w:val="Compact"/>
                    <w:jc w:val="right"/>
                    <w:jc w:val="center"/>
                  </w:pPr>
                  <w:r>
                    <w:t xml:space="preserve">+0.497</w:t>
                  </w:r>
                </w:p>
              </w:tc>
              <w:tc>
                <w:tcPr/>
                <w:p>
                  <w:pPr>
                    <w:pStyle w:val="Compact"/>
                    <w:jc w:val="right"/>
                    <w:jc w:val="center"/>
                  </w:pPr>
                  <w:r>
                    <w:t xml:space="preserve">0.030</w:t>
                  </w:r>
                </w:p>
              </w:tc>
              <w:tc>
                <w:tcPr/>
                <w:p>
                  <w:pPr>
                    <w:pStyle w:val="Compact"/>
                    <w:jc w:val="right"/>
                    <w:jc w:val="center"/>
                  </w:pPr>
                  <w:r>
                    <w:t xml:space="preserve">16.49</w:t>
                  </w:r>
                </w:p>
              </w:tc>
              <w:tc>
                <w:tcPr/>
                <w:p>
                  <w:pPr>
                    <w:pStyle w:val="Compact"/>
                    <w:jc w:val="right"/>
                    <w:jc w:val="center"/>
                  </w:pPr>
                  <w:r>
                    <w:t xml:space="preserve">&lt; 0.001</w:t>
                  </w:r>
                </w:p>
              </w:tc>
            </w:tr>
            <w:tr>
              <w:tc>
                <w:tcPr/>
                <w:p>
                  <w:pPr>
                    <w:pStyle w:val="Compact"/>
                    <w:jc w:val="left"/>
                    <w:jc w:val="center"/>
                  </w:pPr>
                  <w:r>
                    <w:t xml:space="preserve">Windward-leeward index</w:t>
                  </w:r>
                </w:p>
              </w:tc>
              <w:tc>
                <w:tcPr/>
                <w:p>
                  <w:pPr>
                    <w:pStyle w:val="Compact"/>
                    <w:jc w:val="right"/>
                    <w:jc w:val="center"/>
                  </w:pPr>
                  <w:r>
                    <w:t xml:space="preserve">+0.394</w:t>
                  </w:r>
                </w:p>
              </w:tc>
              <w:tc>
                <w:tcPr/>
                <w:p>
                  <w:pPr>
                    <w:pStyle w:val="Compact"/>
                    <w:jc w:val="right"/>
                    <w:jc w:val="center"/>
                  </w:pPr>
                  <w:r>
                    <w:t xml:space="preserve">0.030</w:t>
                  </w:r>
                </w:p>
              </w:tc>
              <w:tc>
                <w:tcPr/>
                <w:p>
                  <w:pPr>
                    <w:pStyle w:val="Compact"/>
                    <w:jc w:val="right"/>
                    <w:jc w:val="center"/>
                  </w:pPr>
                  <w:r>
                    <w:t xml:space="preserve">13.31</w:t>
                  </w:r>
                </w:p>
              </w:tc>
              <w:tc>
                <w:tcPr/>
                <w:p>
                  <w:pPr>
                    <w:pStyle w:val="Compact"/>
                    <w:jc w:val="right"/>
                    <w:jc w:val="center"/>
                  </w:pPr>
                  <w:r>
                    <w:t xml:space="preserve">&lt; 0.001</w:t>
                  </w:r>
                </w:p>
              </w:tc>
            </w:tr>
            <w:tr>
              <w:tc>
                <w:tcPr/>
                <w:p>
                  <w:pPr>
                    <w:pStyle w:val="Compact"/>
                    <w:jc w:val="left"/>
                    <w:jc w:val="center"/>
                  </w:pPr>
                  <w:r>
                    <w:t xml:space="preserve">Quadratic mean diameter (cm)</w:t>
                  </w:r>
                </w:p>
              </w:tc>
              <w:tc>
                <w:tcPr/>
                <w:p>
                  <w:pPr>
                    <w:pStyle w:val="Compact"/>
                    <w:jc w:val="right"/>
                    <w:jc w:val="center"/>
                  </w:pPr>
                  <w:r>
                    <w:t xml:space="preserve">-0.362</w:t>
                  </w:r>
                </w:p>
              </w:tc>
              <w:tc>
                <w:tcPr/>
                <w:p>
                  <w:pPr>
                    <w:pStyle w:val="Compact"/>
                    <w:jc w:val="right"/>
                    <w:jc w:val="center"/>
                  </w:pPr>
                  <w:r>
                    <w:t xml:space="preserve">0.025</w:t>
                  </w:r>
                </w:p>
              </w:tc>
              <w:tc>
                <w:tcPr/>
                <w:p>
                  <w:pPr>
                    <w:pStyle w:val="Compact"/>
                    <w:jc w:val="right"/>
                    <w:jc w:val="center"/>
                  </w:pPr>
                  <w:r>
                    <w:t xml:space="preserve">-14.47</w:t>
                  </w:r>
                </w:p>
              </w:tc>
              <w:tc>
                <w:tcPr/>
                <w:p>
                  <w:pPr>
                    <w:pStyle w:val="Compact"/>
                    <w:jc w:val="right"/>
                    <w:jc w:val="center"/>
                  </w:pPr>
                  <w:r>
                    <w:t xml:space="preserve">&lt; 0.001</w:t>
                  </w:r>
                </w:p>
              </w:tc>
            </w:tr>
            <w:tr>
              <w:tc>
                <w:tcPr/>
                <w:p>
                  <w:pPr>
                    <w:pStyle w:val="Compact"/>
                    <w:jc w:val="left"/>
                    <w:jc w:val="center"/>
                  </w:pPr>
                  <w:r>
                    <w:t xml:space="preserve">Elevation (m)</w:t>
                  </w:r>
                </w:p>
              </w:tc>
              <w:tc>
                <w:tcPr/>
                <w:p>
                  <w:pPr>
                    <w:pStyle w:val="Compact"/>
                    <w:jc w:val="right"/>
                    <w:jc w:val="center"/>
                  </w:pPr>
                  <w:r>
                    <w:t xml:space="preserve">+0.337</w:t>
                  </w:r>
                </w:p>
              </w:tc>
              <w:tc>
                <w:tcPr/>
                <w:p>
                  <w:pPr>
                    <w:pStyle w:val="Compact"/>
                    <w:jc w:val="right"/>
                    <w:jc w:val="center"/>
                  </w:pPr>
                  <w:r>
                    <w:t xml:space="preserve">0.018</w:t>
                  </w:r>
                </w:p>
              </w:tc>
              <w:tc>
                <w:tcPr/>
                <w:p>
                  <w:pPr>
                    <w:pStyle w:val="Compact"/>
                    <w:jc w:val="right"/>
                    <w:jc w:val="center"/>
                  </w:pPr>
                  <w:r>
                    <w:t xml:space="preserve">18.44</w:t>
                  </w:r>
                </w:p>
              </w:tc>
              <w:tc>
                <w:tcPr/>
                <w:p>
                  <w:pPr>
                    <w:pStyle w:val="Compact"/>
                    <w:jc w:val="right"/>
                    <w:jc w:val="center"/>
                  </w:pPr>
                  <w:r>
                    <w:t xml:space="preserve">&lt; 0.001</w:t>
                  </w:r>
                </w:p>
              </w:tc>
            </w:tr>
            <w:tr>
              <w:tc>
                <w:tcPr/>
                <w:p>
                  <w:pPr>
                    <w:pStyle w:val="Compact"/>
                    <w:jc w:val="left"/>
                    <w:jc w:val="center"/>
                  </w:pPr>
                  <w:r>
                    <w:t xml:space="preserve">Northness</w:t>
                  </w:r>
                </w:p>
              </w:tc>
              <w:tc>
                <w:tcPr/>
                <w:p>
                  <w:pPr>
                    <w:pStyle w:val="Compact"/>
                    <w:jc w:val="right"/>
                    <w:jc w:val="center"/>
                  </w:pPr>
                  <w:r>
                    <w:t xml:space="preserve">+0.305</w:t>
                  </w:r>
                </w:p>
              </w:tc>
              <w:tc>
                <w:tcPr/>
                <w:p>
                  <w:pPr>
                    <w:pStyle w:val="Compact"/>
                    <w:jc w:val="right"/>
                    <w:jc w:val="center"/>
                  </w:pPr>
                  <w:r>
                    <w:t xml:space="preserve">0.015</w:t>
                  </w:r>
                </w:p>
              </w:tc>
              <w:tc>
                <w:tcPr/>
                <w:p>
                  <w:pPr>
                    <w:pStyle w:val="Compact"/>
                    <w:jc w:val="right"/>
                    <w:jc w:val="center"/>
                  </w:pPr>
                  <w:r>
                    <w:t xml:space="preserve">19.79</w:t>
                  </w:r>
                </w:p>
              </w:tc>
              <w:tc>
                <w:tcPr/>
                <w:p>
                  <w:pPr>
                    <w:pStyle w:val="Compact"/>
                    <w:jc w:val="right"/>
                    <w:jc w:val="center"/>
                  </w:pPr>
                  <w:r>
                    <w:t xml:space="preserve">&lt; 0.001</w:t>
                  </w:r>
                </w:p>
              </w:tc>
            </w:tr>
            <w:tr>
              <w:tc>
                <w:tcPr/>
                <w:p>
                  <w:pPr>
                    <w:pStyle w:val="Compact"/>
                    <w:jc w:val="left"/>
                    <w:jc w:val="center"/>
                  </w:pPr>
                  <w:r>
                    <w:t xml:space="preserve">Stand age (years)</w:t>
                  </w:r>
                </w:p>
              </w:tc>
              <w:tc>
                <w:tcPr/>
                <w:p>
                  <w:pPr>
                    <w:pStyle w:val="Compact"/>
                    <w:jc w:val="right"/>
                    <w:jc w:val="center"/>
                  </w:pPr>
                  <w:r>
                    <w:t xml:space="preserve">+0.260</w:t>
                  </w:r>
                </w:p>
              </w:tc>
              <w:tc>
                <w:tcPr/>
                <w:p>
                  <w:pPr>
                    <w:pStyle w:val="Compact"/>
                    <w:jc w:val="right"/>
                    <w:jc w:val="center"/>
                  </w:pPr>
                  <w:r>
                    <w:t xml:space="preserve">0.017</w:t>
                  </w:r>
                </w:p>
              </w:tc>
              <w:tc>
                <w:tcPr/>
                <w:p>
                  <w:pPr>
                    <w:pStyle w:val="Compact"/>
                    <w:jc w:val="right"/>
                    <w:jc w:val="center"/>
                  </w:pPr>
                  <w:r>
                    <w:t xml:space="preserve">14.98</w:t>
                  </w:r>
                </w:p>
              </w:tc>
              <w:tc>
                <w:tcPr/>
                <w:p>
                  <w:pPr>
                    <w:pStyle w:val="Compact"/>
                    <w:jc w:val="right"/>
                    <w:jc w:val="center"/>
                  </w:pPr>
                  <w:r>
                    <w:t xml:space="preserve">&lt; 0.001</w:t>
                  </w:r>
                </w:p>
              </w:tc>
            </w:tr>
            <w:tr>
              <w:tc>
                <w:tcPr/>
                <w:p>
                  <w:pPr>
                    <w:pStyle w:val="Compact"/>
                    <w:jc w:val="left"/>
                    <w:jc w:val="center"/>
                  </w:pPr>
                  <w:r>
                    <w:t xml:space="preserve">Flight-window calm hours (share below 5 km/h)</w:t>
                  </w:r>
                </w:p>
              </w:tc>
              <w:tc>
                <w:tcPr/>
                <w:p>
                  <w:pPr>
                    <w:pStyle w:val="Compact"/>
                    <w:jc w:val="right"/>
                    <w:jc w:val="center"/>
                  </w:pPr>
                  <w:r>
                    <w:t xml:space="preserve">-0.131</w:t>
                  </w:r>
                </w:p>
              </w:tc>
              <w:tc>
                <w:tcPr/>
                <w:p>
                  <w:pPr>
                    <w:pStyle w:val="Compact"/>
                    <w:jc w:val="right"/>
                    <w:jc w:val="center"/>
                  </w:pPr>
                  <w:r>
                    <w:t xml:space="preserve">0.019</w:t>
                  </w:r>
                </w:p>
              </w:tc>
              <w:tc>
                <w:tcPr/>
                <w:p>
                  <w:pPr>
                    <w:pStyle w:val="Compact"/>
                    <w:jc w:val="right"/>
                    <w:jc w:val="center"/>
                  </w:pPr>
                  <w:r>
                    <w:t xml:space="preserve">-6.81</w:t>
                  </w:r>
                </w:p>
              </w:tc>
              <w:tc>
                <w:tcPr/>
                <w:p>
                  <w:pPr>
                    <w:pStyle w:val="Compact"/>
                    <w:jc w:val="right"/>
                    <w:jc w:val="center"/>
                  </w:pPr>
                  <w:r>
                    <w:t xml:space="preserve">&lt; 0.001</w:t>
                  </w:r>
                </w:p>
              </w:tc>
            </w:tr>
            <w:tr>
              <w:tc>
                <w:tcPr/>
                <w:p>
                  <w:pPr>
                    <w:pStyle w:val="Compact"/>
                    <w:jc w:val="left"/>
                    <w:jc w:val="center"/>
                  </w:pPr>
                  <w:r>
                    <w:t xml:space="preserve">Topographic wetness index</w:t>
                  </w:r>
                </w:p>
              </w:tc>
              <w:tc>
                <w:tcPr/>
                <w:p>
                  <w:pPr>
                    <w:pStyle w:val="Compact"/>
                    <w:jc w:val="right"/>
                    <w:jc w:val="center"/>
                  </w:pPr>
                  <w:r>
                    <w:t xml:space="preserve">+0.130</w:t>
                  </w:r>
                </w:p>
              </w:tc>
              <w:tc>
                <w:tcPr/>
                <w:p>
                  <w:pPr>
                    <w:pStyle w:val="Compact"/>
                    <w:jc w:val="right"/>
                    <w:jc w:val="center"/>
                  </w:pPr>
                  <w:r>
                    <w:t xml:space="preserve">0.020</w:t>
                  </w:r>
                </w:p>
              </w:tc>
              <w:tc>
                <w:tcPr/>
                <w:p>
                  <w:pPr>
                    <w:pStyle w:val="Compact"/>
                    <w:jc w:val="right"/>
                    <w:jc w:val="center"/>
                  </w:pPr>
                  <w:r>
                    <w:t xml:space="preserve">6.53</w:t>
                  </w:r>
                </w:p>
              </w:tc>
              <w:tc>
                <w:tcPr/>
                <w:p>
                  <w:pPr>
                    <w:pStyle w:val="Compact"/>
                    <w:jc w:val="right"/>
                    <w:jc w:val="center"/>
                  </w:pPr>
                  <w:r>
                    <w:t xml:space="preserve">&lt; 0.001</w:t>
                  </w:r>
                </w:p>
              </w:tc>
            </w:tr>
            <w:tr>
              <w:tc>
                <w:tcPr/>
                <w:p>
                  <w:pPr>
                    <w:pStyle w:val="Compact"/>
                    <w:jc w:val="left"/>
                    <w:jc w:val="center"/>
                  </w:pPr>
                  <w:r>
                    <w:t xml:space="preserve">Crown closure (%)</w:t>
                  </w:r>
                </w:p>
              </w:tc>
              <w:tc>
                <w:tcPr/>
                <w:p>
                  <w:pPr>
                    <w:pStyle w:val="Compact"/>
                    <w:jc w:val="right"/>
                    <w:jc w:val="center"/>
                  </w:pPr>
                  <w:r>
                    <w:t xml:space="preserve">-0.125</w:t>
                  </w:r>
                </w:p>
              </w:tc>
              <w:tc>
                <w:tcPr/>
                <w:p>
                  <w:pPr>
                    <w:pStyle w:val="Compact"/>
                    <w:jc w:val="right"/>
                    <w:jc w:val="center"/>
                  </w:pPr>
                  <w:r>
                    <w:t xml:space="preserve">0.022</w:t>
                  </w:r>
                </w:p>
              </w:tc>
              <w:tc>
                <w:tcPr/>
                <w:p>
                  <w:pPr>
                    <w:pStyle w:val="Compact"/>
                    <w:jc w:val="right"/>
                    <w:jc w:val="center"/>
                  </w:pPr>
                  <w:r>
                    <w:t xml:space="preserve">-5.80</w:t>
                  </w:r>
                </w:p>
              </w:tc>
              <w:tc>
                <w:tcPr/>
                <w:p>
                  <w:pPr>
                    <w:pStyle w:val="Compact"/>
                    <w:jc w:val="right"/>
                    <w:jc w:val="center"/>
                  </w:pPr>
                  <w:r>
                    <w:t xml:space="preserve">&lt; 0.001</w:t>
                  </w:r>
                </w:p>
              </w:tc>
            </w:tr>
            <w:tr>
              <w:tc>
                <w:tcPr/>
                <w:p>
                  <w:pPr>
                    <w:pStyle w:val="Compact"/>
                    <w:jc w:val="left"/>
                    <w:jc w:val="center"/>
                  </w:pPr>
                  <w:r>
                    <w:t xml:space="preserve">July mean wind (km/h)</w:t>
                  </w:r>
                </w:p>
              </w:tc>
              <w:tc>
                <w:tcPr/>
                <w:p>
                  <w:pPr>
                    <w:pStyle w:val="Compact"/>
                    <w:jc w:val="right"/>
                    <w:jc w:val="center"/>
                  </w:pPr>
                  <w:r>
                    <w:t xml:space="preserve">+0.119</w:t>
                  </w:r>
                </w:p>
              </w:tc>
              <w:tc>
                <w:tcPr/>
                <w:p>
                  <w:pPr>
                    <w:pStyle w:val="Compact"/>
                    <w:jc w:val="right"/>
                    <w:jc w:val="center"/>
                  </w:pPr>
                  <w:r>
                    <w:t xml:space="preserve">0.016</w:t>
                  </w:r>
                </w:p>
              </w:tc>
              <w:tc>
                <w:tcPr/>
                <w:p>
                  <w:pPr>
                    <w:pStyle w:val="Compact"/>
                    <w:jc w:val="right"/>
                    <w:jc w:val="center"/>
                  </w:pPr>
                  <w:r>
                    <w:t xml:space="preserve">7.43</w:t>
                  </w:r>
                </w:p>
              </w:tc>
              <w:tc>
                <w:tcPr/>
                <w:p>
                  <w:pPr>
                    <w:pStyle w:val="Compact"/>
                    <w:jc w:val="right"/>
                    <w:jc w:val="center"/>
                  </w:pPr>
                  <w:r>
                    <w:t xml:space="preserve">&lt; 0.001</w:t>
                  </w:r>
                </w:p>
              </w:tc>
            </w:tr>
            <w:tr>
              <w:tc>
                <w:tcPr/>
                <w:p>
                  <w:pPr>
                    <w:pStyle w:val="Compact"/>
                    <w:jc w:val="left"/>
                    <w:jc w:val="center"/>
                  </w:pPr>
                  <w:r>
                    <w:t xml:space="preserve">Valley depth (m)</w:t>
                  </w:r>
                </w:p>
              </w:tc>
              <w:tc>
                <w:tcPr/>
                <w:p>
                  <w:pPr>
                    <w:pStyle w:val="Compact"/>
                    <w:jc w:val="right"/>
                    <w:jc w:val="center"/>
                  </w:pPr>
                  <w:r>
                    <w:t xml:space="preserve">-0.104</w:t>
                  </w:r>
                </w:p>
              </w:tc>
              <w:tc>
                <w:tcPr/>
                <w:p>
                  <w:pPr>
                    <w:pStyle w:val="Compact"/>
                    <w:jc w:val="right"/>
                    <w:jc w:val="center"/>
                  </w:pPr>
                  <w:r>
                    <w:t xml:space="preserve">0.022</w:t>
                  </w:r>
                </w:p>
              </w:tc>
              <w:tc>
                <w:tcPr/>
                <w:p>
                  <w:pPr>
                    <w:pStyle w:val="Compact"/>
                    <w:jc w:val="right"/>
                    <w:jc w:val="center"/>
                  </w:pPr>
                  <w:r>
                    <w:t xml:space="preserve">-4.66</w:t>
                  </w:r>
                </w:p>
              </w:tc>
              <w:tc>
                <w:tcPr/>
                <w:p>
                  <w:pPr>
                    <w:pStyle w:val="Compact"/>
                    <w:jc w:val="right"/>
                    <w:jc w:val="center"/>
                  </w:pPr>
                  <w:r>
                    <w:t xml:space="preserve">&lt; 0.001</w:t>
                  </w:r>
                </w:p>
              </w:tc>
            </w:tr>
            <w:tr>
              <w:tc>
                <w:tcPr/>
                <w:p>
                  <w:pPr>
                    <w:pStyle w:val="Compact"/>
                    <w:jc w:val="left"/>
                    <w:jc w:val="center"/>
                  </w:pPr>
                  <w:r>
                    <w:t xml:space="preserve">Stand basal area x Flight-window direct radiation</w:t>
                  </w:r>
                </w:p>
              </w:tc>
              <w:tc>
                <w:tcPr/>
                <w:p>
                  <w:pPr>
                    <w:pStyle w:val="Compact"/>
                    <w:jc w:val="right"/>
                    <w:jc w:val="center"/>
                  </w:pPr>
                  <w:r>
                    <w:t xml:space="preserve">+0.103</w:t>
                  </w:r>
                </w:p>
              </w:tc>
              <w:tc>
                <w:tcPr/>
                <w:p>
                  <w:pPr>
                    <w:pStyle w:val="Compact"/>
                    <w:jc w:val="right"/>
                    <w:jc w:val="center"/>
                  </w:pPr>
                  <w:r>
                    <w:t xml:space="preserve">0.021</w:t>
                  </w:r>
                </w:p>
              </w:tc>
              <w:tc>
                <w:tcPr/>
                <w:p>
                  <w:pPr>
                    <w:pStyle w:val="Compact"/>
                    <w:jc w:val="right"/>
                    <w:jc w:val="center"/>
                  </w:pPr>
                  <w:r>
                    <w:t xml:space="preserve">4.90</w:t>
                  </w:r>
                </w:p>
              </w:tc>
              <w:tc>
                <w:tcPr/>
                <w:p>
                  <w:pPr>
                    <w:pStyle w:val="Compact"/>
                    <w:jc w:val="right"/>
                    <w:jc w:val="center"/>
                  </w:pPr>
                  <w:r>
                    <w:t xml:space="preserve">&lt; 0.001</w:t>
                  </w:r>
                </w:p>
              </w:tc>
            </w:tr>
            <w:tr>
              <w:tc>
                <w:tcPr/>
                <w:p>
                  <w:pPr>
                    <w:pStyle w:val="Compact"/>
                    <w:jc w:val="left"/>
                    <w:jc w:val="center"/>
                  </w:pPr>
                  <w:r>
                    <w:t xml:space="preserve">Topographic position index</w:t>
                  </w:r>
                </w:p>
              </w:tc>
              <w:tc>
                <w:tcPr/>
                <w:p>
                  <w:pPr>
                    <w:pStyle w:val="Compact"/>
                    <w:jc w:val="right"/>
                    <w:jc w:val="center"/>
                  </w:pPr>
                  <w:r>
                    <w:t xml:space="preserve">+0.094</w:t>
                  </w:r>
                </w:p>
              </w:tc>
              <w:tc>
                <w:tcPr/>
                <w:p>
                  <w:pPr>
                    <w:pStyle w:val="Compact"/>
                    <w:jc w:val="right"/>
                    <w:jc w:val="center"/>
                  </w:pPr>
                  <w:r>
                    <w:t xml:space="preserve">0.024</w:t>
                  </w:r>
                </w:p>
              </w:tc>
              <w:tc>
                <w:tcPr/>
                <w:p>
                  <w:pPr>
                    <w:pStyle w:val="Compact"/>
                    <w:jc w:val="right"/>
                    <w:jc w:val="center"/>
                  </w:pPr>
                  <w:r>
                    <w:t xml:space="preserve">3.92</w:t>
                  </w:r>
                </w:p>
              </w:tc>
              <w:tc>
                <w:tcPr/>
                <w:p>
                  <w:pPr>
                    <w:pStyle w:val="Compact"/>
                    <w:jc w:val="right"/>
                    <w:jc w:val="center"/>
                  </w:pPr>
                  <w:r>
                    <w:t xml:space="preserve">&lt; 0.001</w:t>
                  </w:r>
                </w:p>
              </w:tc>
            </w:tr>
            <w:tr>
              <w:tc>
                <w:tcPr/>
                <w:p>
                  <w:pPr>
                    <w:pStyle w:val="Compact"/>
                    <w:jc w:val="left"/>
                    <w:jc w:val="center"/>
                  </w:pPr>
                  <w:r>
                    <w:t xml:space="preserve">Stand basal area x Flight-window calm hours</w:t>
                  </w:r>
                </w:p>
              </w:tc>
              <w:tc>
                <w:tcPr/>
                <w:p>
                  <w:pPr>
                    <w:pStyle w:val="Compact"/>
                    <w:jc w:val="right"/>
                    <w:jc w:val="center"/>
                  </w:pPr>
                  <w:r>
                    <w:t xml:space="preserve">+0.085</w:t>
                  </w:r>
                </w:p>
              </w:tc>
              <w:tc>
                <w:tcPr/>
                <w:p>
                  <w:pPr>
                    <w:pStyle w:val="Compact"/>
                    <w:jc w:val="right"/>
                    <w:jc w:val="center"/>
                  </w:pPr>
                  <w:r>
                    <w:t xml:space="preserve">0.016</w:t>
                  </w:r>
                </w:p>
              </w:tc>
              <w:tc>
                <w:tcPr/>
                <w:p>
                  <w:pPr>
                    <w:pStyle w:val="Compact"/>
                    <w:jc w:val="right"/>
                    <w:jc w:val="center"/>
                  </w:pPr>
                  <w:r>
                    <w:t xml:space="preserve">5.36</w:t>
                  </w:r>
                </w:p>
              </w:tc>
              <w:tc>
                <w:tcPr/>
                <w:p>
                  <w:pPr>
                    <w:pStyle w:val="Compact"/>
                    <w:jc w:val="right"/>
                    <w:jc w:val="center"/>
                  </w:pPr>
                  <w:r>
                    <w:t xml:space="preserve">&lt; 0.001</w:t>
                  </w:r>
                </w:p>
              </w:tc>
            </w:tr>
            <w:tr>
              <w:tc>
                <w:tcPr/>
                <w:p>
                  <w:pPr>
                    <w:pStyle w:val="Compact"/>
                    <w:jc w:val="left"/>
                    <w:jc w:val="center"/>
                  </w:pPr>
                  <w:r>
                    <w:t xml:space="preserve">Mid-slope position</w:t>
                  </w:r>
                </w:p>
              </w:tc>
              <w:tc>
                <w:tcPr/>
                <w:p>
                  <w:pPr>
                    <w:pStyle w:val="Compact"/>
                    <w:jc w:val="right"/>
                    <w:jc w:val="center"/>
                  </w:pPr>
                  <w:r>
                    <w:t xml:space="preserve">+0.068</w:t>
                  </w:r>
                </w:p>
              </w:tc>
              <w:tc>
                <w:tcPr/>
                <w:p>
                  <w:pPr>
                    <w:pStyle w:val="Compact"/>
                    <w:jc w:val="right"/>
                    <w:jc w:val="center"/>
                  </w:pPr>
                  <w:r>
                    <w:t xml:space="preserve">0.014</w:t>
                  </w:r>
                </w:p>
              </w:tc>
              <w:tc>
                <w:tcPr/>
                <w:p>
                  <w:pPr>
                    <w:pStyle w:val="Compact"/>
                    <w:jc w:val="right"/>
                    <w:jc w:val="center"/>
                  </w:pPr>
                  <w:r>
                    <w:t xml:space="preserve">4.99</w:t>
                  </w:r>
                </w:p>
              </w:tc>
              <w:tc>
                <w:tcPr/>
                <w:p>
                  <w:pPr>
                    <w:pStyle w:val="Compact"/>
                    <w:jc w:val="right"/>
                    <w:jc w:val="center"/>
                  </w:pPr>
                  <w:r>
                    <w:t xml:space="preserve">&lt; 0.001</w:t>
                  </w:r>
                </w:p>
              </w:tc>
            </w:tr>
            <w:tr>
              <w:tc>
                <w:tcPr/>
                <w:p>
                  <w:pPr>
                    <w:pStyle w:val="Compact"/>
                    <w:jc w:val="left"/>
                    <w:jc w:val="center"/>
                  </w:pPr>
                  <w:r>
                    <w:t xml:space="preserve">June mean wind (km/h)</w:t>
                  </w:r>
                </w:p>
              </w:tc>
              <w:tc>
                <w:tcPr/>
                <w:p>
                  <w:pPr>
                    <w:pStyle w:val="Compact"/>
                    <w:jc w:val="right"/>
                    <w:jc w:val="center"/>
                  </w:pPr>
                  <w:r>
                    <w:t xml:space="preserve">+0.055</w:t>
                  </w:r>
                </w:p>
              </w:tc>
              <w:tc>
                <w:tcPr/>
                <w:p>
                  <w:pPr>
                    <w:pStyle w:val="Compact"/>
                    <w:jc w:val="right"/>
                    <w:jc w:val="center"/>
                  </w:pPr>
                  <w:r>
                    <w:t xml:space="preserve">0.015</w:t>
                  </w:r>
                </w:p>
              </w:tc>
              <w:tc>
                <w:tcPr/>
                <w:p>
                  <w:pPr>
                    <w:pStyle w:val="Compact"/>
                    <w:jc w:val="right"/>
                    <w:jc w:val="center"/>
                  </w:pPr>
                  <w:r>
                    <w:t xml:space="preserve">3.76</w:t>
                  </w:r>
                </w:p>
              </w:tc>
              <w:tc>
                <w:tcPr/>
                <w:p>
                  <w:pPr>
                    <w:pStyle w:val="Compact"/>
                    <w:jc w:val="right"/>
                    <w:jc w:val="center"/>
                  </w:pPr>
                  <w:r>
                    <w:t xml:space="preserve">&lt; 0.001</w:t>
                  </w:r>
                </w:p>
              </w:tc>
            </w:tr>
            <w:tr>
              <w:tc>
                <w:tcPr/>
                <w:p>
                  <w:pPr>
                    <w:pStyle w:val="Compact"/>
                    <w:jc w:val="left"/>
                    <w:jc w:val="center"/>
                  </w:pPr>
                  <w:r>
                    <w:t xml:space="preserve">Vector ruggedness measure</w:t>
                  </w:r>
                </w:p>
              </w:tc>
              <w:tc>
                <w:tcPr/>
                <w:p>
                  <w:pPr>
                    <w:pStyle w:val="Compact"/>
                    <w:jc w:val="right"/>
                    <w:jc w:val="center"/>
                  </w:pPr>
                  <w:r>
                    <w:t xml:space="preserve">-0.052</w:t>
                  </w:r>
                </w:p>
              </w:tc>
              <w:tc>
                <w:tcPr/>
                <w:p>
                  <w:pPr>
                    <w:pStyle w:val="Compact"/>
                    <w:jc w:val="right"/>
                    <w:jc w:val="center"/>
                  </w:pPr>
                  <w:r>
                    <w:t xml:space="preserve">0.021</w:t>
                  </w:r>
                </w:p>
              </w:tc>
              <w:tc>
                <w:tcPr/>
                <w:p>
                  <w:pPr>
                    <w:pStyle w:val="Compact"/>
                    <w:jc w:val="right"/>
                    <w:jc w:val="center"/>
                  </w:pPr>
                  <w:r>
                    <w:t xml:space="preserve">-2.49</w:t>
                  </w:r>
                </w:p>
              </w:tc>
              <w:tc>
                <w:tcPr/>
                <w:p>
                  <w:pPr>
                    <w:pStyle w:val="Compact"/>
                    <w:jc w:val="right"/>
                    <w:jc w:val="center"/>
                  </w:pPr>
                  <w:r>
                    <w:t xml:space="preserve">0.013</w:t>
                  </w:r>
                </w:p>
              </w:tc>
            </w:tr>
            <w:tr>
              <w:tc>
                <w:tcPr/>
                <w:p>
                  <w:pPr>
                    <w:pStyle w:val="Compact"/>
                    <w:jc w:val="left"/>
                    <w:jc w:val="center"/>
                  </w:pPr>
                  <w:r>
                    <w:t xml:space="preserve">Live stems (n/ha)</w:t>
                  </w:r>
                </w:p>
              </w:tc>
              <w:tc>
                <w:tcPr/>
                <w:p>
                  <w:pPr>
                    <w:pStyle w:val="Compact"/>
                    <w:jc w:val="right"/>
                    <w:jc w:val="center"/>
                  </w:pPr>
                  <w:r>
                    <w:t xml:space="preserve">+0.051</w:t>
                  </w:r>
                </w:p>
              </w:tc>
              <w:tc>
                <w:tcPr/>
                <w:p>
                  <w:pPr>
                    <w:pStyle w:val="Compact"/>
                    <w:jc w:val="right"/>
                    <w:jc w:val="center"/>
                  </w:pPr>
                  <w:r>
                    <w:t xml:space="preserve">0.017</w:t>
                  </w:r>
                </w:p>
              </w:tc>
              <w:tc>
                <w:tcPr/>
                <w:p>
                  <w:pPr>
                    <w:pStyle w:val="Compact"/>
                    <w:jc w:val="right"/>
                    <w:jc w:val="center"/>
                  </w:pPr>
                  <w:r>
                    <w:t xml:space="preserve">3.01</w:t>
                  </w:r>
                </w:p>
              </w:tc>
              <w:tc>
                <w:tcPr/>
                <w:p>
                  <w:pPr>
                    <w:pStyle w:val="Compact"/>
                    <w:jc w:val="right"/>
                    <w:jc w:val="center"/>
                  </w:pPr>
                  <w:r>
                    <w:t xml:space="preserve">0.003</w:t>
                  </w:r>
                </w:p>
              </w:tc>
            </w:tr>
            <w:tr>
              <w:tc>
                <w:tcPr/>
                <w:p>
                  <w:pPr>
                    <w:pStyle w:val="Compact"/>
                    <w:jc w:val="left"/>
                    <w:jc w:val="center"/>
                  </w:pPr>
                  <w:r>
                    <w:t xml:space="preserve">Profile curvature</w:t>
                  </w:r>
                </w:p>
              </w:tc>
              <w:tc>
                <w:tcPr/>
                <w:p>
                  <w:pPr>
                    <w:pStyle w:val="Compact"/>
                    <w:jc w:val="right"/>
                    <w:jc w:val="center"/>
                  </w:pPr>
                  <w:r>
                    <w:t xml:space="preserve">-0.042</w:t>
                  </w:r>
                </w:p>
              </w:tc>
              <w:tc>
                <w:tcPr/>
                <w:p>
                  <w:pPr>
                    <w:pStyle w:val="Compact"/>
                    <w:jc w:val="right"/>
                    <w:jc w:val="center"/>
                  </w:pPr>
                  <w:r>
                    <w:t xml:space="preserve">0.013</w:t>
                  </w:r>
                </w:p>
              </w:tc>
              <w:tc>
                <w:tcPr/>
                <w:p>
                  <w:pPr>
                    <w:pStyle w:val="Compact"/>
                    <w:jc w:val="right"/>
                    <w:jc w:val="center"/>
                  </w:pPr>
                  <w:r>
                    <w:t xml:space="preserve">-3.26</w:t>
                  </w:r>
                </w:p>
              </w:tc>
              <w:tc>
                <w:tcPr/>
                <w:p>
                  <w:pPr>
                    <w:pStyle w:val="Compact"/>
                    <w:jc w:val="right"/>
                    <w:jc w:val="center"/>
                  </w:pPr>
                  <w:r>
                    <w:t xml:space="preserve">0.001</w:t>
                  </w:r>
                </w:p>
              </w:tc>
            </w:tr>
            <w:tr>
              <w:tc>
                <w:tcPr/>
                <w:p>
                  <w:pPr>
                    <w:pStyle w:val="Compact"/>
                    <w:jc w:val="left"/>
                    <w:jc w:val="center"/>
                  </w:pPr>
                  <w:r>
                    <w:t xml:space="preserve">Stand basal area x Windward-leeward index</w:t>
                  </w:r>
                </w:p>
              </w:tc>
              <w:tc>
                <w:tcPr/>
                <w:p>
                  <w:pPr>
                    <w:pStyle w:val="Compact"/>
                    <w:jc w:val="right"/>
                    <w:jc w:val="center"/>
                  </w:pPr>
                  <w:r>
                    <w:t xml:space="preserve">-0.040</w:t>
                  </w:r>
                </w:p>
              </w:tc>
              <w:tc>
                <w:tcPr/>
                <w:p>
                  <w:pPr>
                    <w:pStyle w:val="Compact"/>
                    <w:jc w:val="right"/>
                    <w:jc w:val="center"/>
                  </w:pPr>
                  <w:r>
                    <w:t xml:space="preserve">0.024</w:t>
                  </w:r>
                </w:p>
              </w:tc>
              <w:tc>
                <w:tcPr/>
                <w:p>
                  <w:pPr>
                    <w:pStyle w:val="Compact"/>
                    <w:jc w:val="right"/>
                    <w:jc w:val="center"/>
                  </w:pPr>
                  <w:r>
                    <w:t xml:space="preserve">-1.65</w:t>
                  </w:r>
                </w:p>
              </w:tc>
              <w:tc>
                <w:tcPr/>
                <w:p>
                  <w:pPr>
                    <w:pStyle w:val="Compact"/>
                    <w:jc w:val="right"/>
                    <w:jc w:val="center"/>
                  </w:pPr>
                  <w:r>
                    <w:t xml:space="preserve">0.098</w:t>
                  </w:r>
                </w:p>
              </w:tc>
            </w:tr>
            <w:tr>
              <w:tc>
                <w:tcPr/>
                <w:p>
                  <w:pPr>
                    <w:pStyle w:val="Compact"/>
                    <w:jc w:val="left"/>
                    <w:jc w:val="center"/>
                  </w:pPr>
                  <w:r>
                    <w:t xml:space="preserve">Convergence index</w:t>
                  </w:r>
                </w:p>
              </w:tc>
              <w:tc>
                <w:tcPr/>
                <w:p>
                  <w:pPr>
                    <w:pStyle w:val="Compact"/>
                    <w:jc w:val="right"/>
                    <w:jc w:val="center"/>
                  </w:pPr>
                  <w:r>
                    <w:t xml:space="preserve">-0.025</w:t>
                  </w:r>
                </w:p>
              </w:tc>
              <w:tc>
                <w:tcPr/>
                <w:p>
                  <w:pPr>
                    <w:pStyle w:val="Compact"/>
                    <w:jc w:val="right"/>
                    <w:jc w:val="center"/>
                  </w:pPr>
                  <w:r>
                    <w:t xml:space="preserve">0.014</w:t>
                  </w:r>
                </w:p>
              </w:tc>
              <w:tc>
                <w:tcPr/>
                <w:p>
                  <w:pPr>
                    <w:pStyle w:val="Compact"/>
                    <w:jc w:val="right"/>
                    <w:jc w:val="center"/>
                  </w:pPr>
                  <w:r>
                    <w:t xml:space="preserve">-1.73</w:t>
                  </w:r>
                </w:p>
              </w:tc>
              <w:tc>
                <w:tcPr/>
                <w:p>
                  <w:pPr>
                    <w:pStyle w:val="Compact"/>
                    <w:jc w:val="right"/>
                    <w:jc w:val="center"/>
                  </w:pPr>
                  <w:r>
                    <w:t xml:space="preserve">0.083</w:t>
                  </w:r>
                </w:p>
              </w:tc>
            </w:tr>
            <w:tr>
              <w:tc>
                <w:tcPr/>
                <w:p>
                  <w:pPr>
                    <w:pStyle w:val="Compact"/>
                    <w:jc w:val="left"/>
                    <w:jc w:val="center"/>
                  </w:pPr>
                  <w:r>
                    <w:t xml:space="preserve">Terrain ruggedness index</w:t>
                  </w:r>
                </w:p>
              </w:tc>
              <w:tc>
                <w:tcPr/>
                <w:p>
                  <w:pPr>
                    <w:pStyle w:val="Compact"/>
                    <w:jc w:val="right"/>
                    <w:jc w:val="center"/>
                  </w:pPr>
                  <w:r>
                    <w:t xml:space="preserve">-0.005</w:t>
                  </w:r>
                </w:p>
              </w:tc>
              <w:tc>
                <w:tcPr/>
                <w:p>
                  <w:pPr>
                    <w:pStyle w:val="Compact"/>
                    <w:jc w:val="right"/>
                    <w:jc w:val="center"/>
                  </w:pPr>
                  <w:r>
                    <w:t xml:space="preserve">0.025</w:t>
                  </w:r>
                </w:p>
              </w:tc>
              <w:tc>
                <w:tcPr/>
                <w:p>
                  <w:pPr>
                    <w:pStyle w:val="Compact"/>
                    <w:jc w:val="right"/>
                    <w:jc w:val="center"/>
                  </w:pPr>
                  <w:r>
                    <w:t xml:space="preserve">-0.19</w:t>
                  </w:r>
                </w:p>
              </w:tc>
              <w:tc>
                <w:tcPr/>
                <w:p>
                  <w:pPr>
                    <w:pStyle w:val="Compact"/>
                    <w:jc w:val="right"/>
                    <w:jc w:val="center"/>
                  </w:pPr>
                  <w:r>
                    <w:t xml:space="preserve">0.848</w:t>
                  </w:r>
                </w:p>
              </w:tc>
            </w:tr>
          </w:tbl>
          <w:bookmarkEnd w:id="51"/>
          <w:p/>
        </w:tc>
      </w:tr>
    </w:tbl>
    <w:p>
      <w:pPr>
        <w:pStyle w:val="BodyText"/>
      </w:pPr>
      <w:r>
        <w:t xml:space="preserve">Each pathway improved the fit. AIC fell 457 when stand density</w:t>
      </w:r>
      <w:r>
        <w:t xml:space="preserve"> </w:t>
      </w:r>
      <w:r>
        <w:t xml:space="preserve">entered, a further 743 with terrain and flight-window radiation,</w:t>
      </w:r>
      <w:r>
        <w:t xml:space="preserve"> </w:t>
      </w:r>
      <w:r>
        <w:t xml:space="preserve">and a further 534 with the interactions (</w:t>
      </w:r>
      <w:hyperlink w:anchor="tbl-aic">
        <w:r>
          <w:rPr>
            <w:rStyle w:val="Hyperlink"/>
          </w:rPr>
          <w:t xml:space="preserve">Table 5</w:t>
        </w:r>
      </w:hyperlink>
      <w:r>
        <w:t xml:space="preserve">).</w:t>
      </w:r>
    </w:p>
    <w:p>
      <w:pPr>
        <w:pStyle w:val="BodyText"/>
      </w:pPr>
      <w:r>
        <w:t xml:space="preserve">Stand basal area was the strongest density term, entering at +0.504 log-odds</w:t>
      </w:r>
      <w:r>
        <w:t xml:space="preserve"> </w:t>
      </w:r>
      <w:r>
        <w:t xml:space="preserve">per standard deviation, an odds ratio of 1.656, so that a stand one standard</w:t>
      </w:r>
      <w:r>
        <w:t xml:space="preserve"> </w:t>
      </w:r>
      <w:r>
        <w:t xml:space="preserve">deviation above the mean in basal area had 65.6 per cent higher odds of</w:t>
      </w:r>
      <w:r>
        <w:t xml:space="preserve"> </w:t>
      </w:r>
      <w:r>
        <w:t xml:space="preserve">moderate-to-high disturbance (p &lt; 0.001). Live stems per hectare took the same</w:t>
      </w:r>
      <w:r>
        <w:t xml:space="preserve"> </w:t>
      </w:r>
      <w:r>
        <w:t xml:space="preserve">sign at +0.051 (p &lt; 0.01) and crown closure</w:t>
      </w:r>
      <w:r>
        <w:t xml:space="preserve"> </w:t>
      </w:r>
      <w:r>
        <w:t xml:space="preserve">the opposite at -0.125 (p &lt; 0.001).</w:t>
      </w:r>
    </w:p>
    <w:p>
      <w:pPr>
        <w:pStyle w:val="BodyText"/>
      </w:pPr>
      <w:r>
        <w:t xml:space="preserve">Basal area and live stems both rose with attack, the direction a plume-holding canopy</w:t>
      </w:r>
      <w:r>
        <w:t xml:space="preserve"> </w:t>
      </w:r>
      <w:r>
        <w:t xml:space="preserve">implies, while crown closure fell. Crown closure is also the one measure the inventory caps,</w:t>
      </w:r>
      <w:r>
        <w:t xml:space="preserve"> </w:t>
      </w:r>
      <w:r>
        <w:t xml:space="preserve">recorded to a ceiling of 60 per cent, so that its coefficient describes a truncated variable</w:t>
      </w:r>
      <w:r>
        <w:t xml:space="preserve"> </w:t>
      </w:r>
      <w:r>
        <w:t xml:space="preserve">and should not be read as the others are.</w:t>
      </w:r>
    </w:p>
    <w:p>
      <w:pPr>
        <w:pStyle w:val="BodyText"/>
      </w:pPr>
      <w:r>
        <w:t xml:space="preserve">Radiation entered the model once, as direct radiation during the flight window at</w:t>
      </w:r>
      <w:r>
        <w:t xml:space="preserve"> </w:t>
      </w:r>
      <w:r>
        <w:t xml:space="preserve">+0.497, which represents the thermal limit on flying. Growing-season</w:t>
      </w:r>
      <w:r>
        <w:t xml:space="preserve"> </w:t>
      </w:r>
      <w:r>
        <w:t xml:space="preserve">radiation did not survive selection, so northness stands in for the shading pathway, the two</w:t>
      </w:r>
      <w:r>
        <w:t xml:space="preserve"> </w:t>
      </w:r>
      <w:r>
        <w:t xml:space="preserve">correlating -0.824. Northness was +0.305,</w:t>
      </w:r>
      <w:r>
        <w:t xml:space="preserve"> </w:t>
      </w:r>
      <w:r>
        <w:t xml:space="preserve">so that shaded, north-facing ground carried more attack rather than less, against the</w:t>
      </w:r>
      <w:r>
        <w:t xml:space="preserve"> </w:t>
      </w:r>
      <w:r>
        <w:t xml:space="preserve">prediction.</w:t>
      </w:r>
    </w:p>
    <w:p>
      <w:pPr>
        <w:pStyle w:val="BodyText"/>
      </w:pPr>
      <w:r>
        <w:t xml:space="preserve">Terrain predicted attack independently of both stand structure and radiation. The</w:t>
      </w:r>
      <w:r>
        <w:t xml:space="preserve"> </w:t>
      </w:r>
      <w:r>
        <w:t xml:space="preserve">windward-leeward index was +0.394 and elevation +0.337, while</w:t>
      </w:r>
      <w:r>
        <w:t xml:space="preserve"> </w:t>
      </w:r>
      <w:r>
        <w:t xml:space="preserve">ruggedness was -0.005 and not distinguishable from zero (p = 0.848), with the</w:t>
      </w:r>
      <w:r>
        <w:t xml:space="preserve"> </w:t>
      </w:r>
      <w:r>
        <w:t xml:space="preserve">vector ruggedness measure agreeing in sign at -0.052. Ruggedness took the opposite</w:t>
      </w:r>
      <w:r>
        <w:t xml:space="preserve"> </w:t>
      </w:r>
      <w:r>
        <w:t xml:space="preserve">sign to that reported by</w:t>
      </w:r>
      <w:r>
        <w:t xml:space="preserve"> </w:t>
      </w:r>
      <w:r>
        <w:t xml:space="preserve">Murphy et al. (2026)</w:t>
      </w:r>
      <w:r>
        <w:t xml:space="preserve">, whose response was seedling establishment rather than</w:t>
      </w:r>
      <w:r>
        <w:t xml:space="preserve"> </w:t>
      </w:r>
      <w:r>
        <w:t xml:space="preserve">attack.</w:t>
      </w:r>
    </w:p>
    <w:p>
      <w:pPr>
        <w:pStyle w:val="BodyText"/>
      </w:pPr>
      <w:r>
        <w:t xml:space="preserve">Fitted without flight-window radiation, stand density interacted with terrain exposure at</w:t>
      </w:r>
      <w:r>
        <w:t xml:space="preserve"> </w:t>
      </w:r>
      <w:r>
        <w:t xml:space="preserve">-0.068, which would ordinarily be read as a wind effect of the wrong sign. With</w:t>
      </w:r>
      <w:r>
        <w:t xml:space="preserve"> </w:t>
      </w:r>
      <w:r>
        <w:t xml:space="preserve">radiation in the model that interaction was -0.040 (p = 0.098), and density</w:t>
      </w:r>
      <w:r>
        <w:t xml:space="preserve"> </w:t>
      </w:r>
      <w:r>
        <w:t xml:space="preserve">interacted with radiation at +0.103. On a range whose</w:t>
      </w:r>
      <w:r>
        <w:t xml:space="preserve"> </w:t>
      </w:r>
      <w:r>
        <w:t xml:space="preserve">prevailing bearing is 258 degrees the windward slopes face west, and</w:t>
      </w:r>
      <w:r>
        <w:t xml:space="preserve"> </w:t>
      </w:r>
      <w:r>
        <w:t xml:space="preserve">these are also the slopes taking afternoon sun, so that part of the apparent exposure effect</w:t>
      </w:r>
      <w:r>
        <w:t xml:space="preserve"> </w:t>
      </w:r>
      <w:r>
        <w:t xml:space="preserve">was radiation. Only part, however, because the interaction remained positive and far from</w:t>
      </w:r>
      <w:r>
        <w:t xml:space="preserve"> </w:t>
      </w:r>
      <w:r>
        <w:t xml:space="preserve">zero, which is the wrong sign for pheromone 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Manuscript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6" w:name="density-and-wind"/>
    <w:p>
      <w:pPr>
        <w:pStyle w:val="Heading2"/>
      </w:pPr>
      <w:r>
        <w:t xml:space="preserve">4.1 Density and wind</w:t>
      </w:r>
    </w:p>
    <w:p>
      <w:pPr>
        <w:pStyle w:val="FirstParagraph"/>
      </w:pPr>
      <w:r>
        <w:t xml:space="preserve">Stand density interacts negatively with terrain-resolved wind, which is the form the</w:t>
      </w:r>
      <w:r>
        <w:t xml:space="preserve"> </w:t>
      </w:r>
      <w:r>
        <w:t xml:space="preserve">pheromone mechanism predicts. Attack falls where a thin stand and strong wind coincide, the</w:t>
      </w:r>
      <w:r>
        <w:t xml:space="preserve"> </w:t>
      </w:r>
      <w:r>
        <w:t xml:space="preserve">interaction -0.049 for stem density (p &lt; 0.001) and -0.017 for</w:t>
      </w:r>
      <w:r>
        <w:t xml:space="preserve"> </w:t>
      </w:r>
      <w:r>
        <w:t xml:space="preserve">standing volume (p &lt; 0.05). Expressed as odds, each standard deviation of the epoch</w:t>
      </w:r>
      <w:r>
        <w:t xml:space="preserve"> </w:t>
      </w:r>
      <w:r>
        <w:t xml:space="preserve">wind regime multiplied the contribution of stem density by 0.952, a reduction of</w:t>
      </w:r>
      <w:r>
        <w:t xml:space="preserve"> </w:t>
      </w:r>
      <w:r>
        <w:t xml:space="preserve">4.8 per cent. Both interactions survive entering the previous epoch of the</w:t>
      </w:r>
      <w:r>
        <w:t xml:space="preserve"> </w:t>
      </w:r>
      <w:r>
        <w:t xml:space="preserve">same season, so neither is the outbreak’s own spread appearing as a wind coefficient.</w:t>
      </w:r>
    </w:p>
    <w:p>
      <w:pPr>
        <w:pStyle w:val="BodyText"/>
      </w:pPr>
      <w:r>
        <w:t xml:space="preserve">Wind alone conferred no protection, its main effect being +0.022, which is</w:t>
      </w:r>
      <w:r>
        <w:t xml:space="preserve"> </w:t>
      </w:r>
      <w:r>
        <w:t xml:space="preserve">marginally more attack rather than less, and the density terms were positive, so that a thin</w:t>
      </w:r>
      <w:r>
        <w:t xml:space="preserve"> </w:t>
      </w:r>
      <w:r>
        <w:t xml:space="preserve">stand in still air showed no reduction either. The mechanism was present only as the</w:t>
      </w:r>
      <w:r>
        <w:t xml:space="preserve"> </w:t>
      </w:r>
      <w:r>
        <w:t xml:space="preserve">conjunction of the two.</w:t>
      </w:r>
    </w:p>
    <w:bookmarkEnd w:id="56"/>
    <w:bookmarkStart w:id="57" w:name="sec-autologistic"/>
    <w:p>
      <w:pPr>
        <w:pStyle w:val="Heading2"/>
      </w:pPr>
      <w:r>
        <w:t xml:space="preserve">4.2 Previous-year pressure</w:t>
      </w:r>
    </w:p>
    <w:p>
      <w:pPr>
        <w:pStyle w:val="FirstParagraph"/>
      </w:pPr>
      <w:r>
        <w:t xml:space="preserve">Attack recurred where it had already occurred, by a margin large enough to change how every</w:t>
      </w:r>
      <w:r>
        <w:t xml:space="preserve"> </w:t>
      </w:r>
      <w:r>
        <w:t xml:space="preserve">other coefficient reads. A cell attacked in one year was between</w:t>
      </w:r>
      <w:r>
        <w:t xml:space="preserve"> </w:t>
      </w:r>
      <w:r>
        <w:t xml:space="preserve">16</w:t>
      </w:r>
      <w:r>
        <w:t xml:space="preserve"> </w:t>
      </w:r>
      <w:r>
        <w:t xml:space="preserve">and</w:t>
      </w:r>
      <w:r>
        <w:t xml:space="preserve"> </w:t>
      </w:r>
      <w:r>
        <w:t xml:space="preserve">139</w:t>
      </w:r>
      <w:r>
        <w:t xml:space="preserve"> </w:t>
      </w:r>
      <w:r>
        <w:t xml:space="preserve">times more likely to be attacked in the next. Entering persistence and 90 m neighbourhood</w:t>
      </w:r>
      <w:r>
        <w:t xml:space="preserve"> </w:t>
      </w:r>
      <w:r>
        <w:t xml:space="preserve">spread separately, following the autologistic design used for this province, gave</w:t>
      </w:r>
      <w:r>
        <w:t xml:space="preserve"> </w:t>
      </w:r>
      <w:r>
        <w:t xml:space="preserve">+0.901 and</w:t>
      </w:r>
      <w:r>
        <w:t xml:space="preserve"> </w:t>
      </w:r>
      <w:r>
        <w:t xml:space="preserve">+1.001, raising discrimination from 0.801 to</w:t>
      </w:r>
      <w:r>
        <w:t xml:space="preserve"> </w:t>
      </w:r>
      <w:r>
        <w:t xml:space="preserve">0.900.</w:t>
      </w:r>
    </w:p>
    <w:p>
      <w:pPr>
        <w:pStyle w:val="BodyText"/>
      </w:pPr>
      <w:r>
        <w:t xml:space="preserve">The informative result is which environmental terms survived that term. Ruggedness retained</w:t>
      </w:r>
      <w:r>
        <w:t xml:space="preserve"> </w:t>
      </w:r>
      <w:r>
        <w:t xml:space="preserve">1.23 of its value, and it describes a condition a cell has whether or not the</w:t>
      </w:r>
      <w:r>
        <w:t xml:space="preserve"> </w:t>
      </w:r>
      <w:r>
        <w:t xml:space="preserve">beetle was ever present. The landform terms were less stable, valley depth retaining</w:t>
      </w:r>
      <w:r>
        <w:t xml:space="preserve"> </w:t>
      </w:r>
      <w:r>
        <w:t xml:space="preserve">0.18 while mid-slope position moved to 1.35,</w:t>
      </w:r>
      <w:r>
        <w:t xml:space="preserve"> </w:t>
      </w:r>
      <w:r>
        <w:t xml:space="preserve">growing rather than shrinking. Part of what the landform terms measured was therefore where</w:t>
      </w:r>
      <w:r>
        <w:t xml:space="preserve"> </w:t>
      </w:r>
      <w:r>
        <w:t xml:space="preserve">the outbreak had already been, which is the same failure the terrain-wind index showed</w:t>
      </w:r>
      <w:r>
        <w:t xml:space="preserve"> </w:t>
      </w:r>
      <w:r>
        <w:t xml:space="preserve">against radiation.</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QMD class (cm)</w:t>
                  </w:r>
                </w:p>
              </w:tc>
              <w:tc>
                <w:tcPr/>
                <w:p>
                  <w:pPr>
                    <w:pStyle w:val="Compact"/>
                    <w:jc w:val="right"/>
                    <w:jc w:val="center"/>
                  </w:pPr>
                  <w:r>
                    <w:t xml:space="preserve">n</w:t>
                  </w:r>
                </w:p>
              </w:tc>
              <w:tc>
                <w:tcPr/>
                <w:p>
                  <w:pPr>
                    <w:pStyle w:val="Compact"/>
                    <w:jc w:val="right"/>
                    <w:jc w:val="center"/>
                  </w:pPr>
                  <w:r>
                    <w:t xml:space="preserve">Attacked</w:t>
                  </w:r>
                </w:p>
              </w:tc>
              <w:tc>
                <w:tcPr/>
                <w:p>
                  <w:pPr>
                    <w:pStyle w:val="Compact"/>
                    <w:jc w:val="right"/>
                    <w:jc w:val="center"/>
                  </w:pPr>
                  <w:r>
                    <w:t xml:space="preserve">Attacked (%)</w:t>
                  </w:r>
                </w:p>
              </w:tc>
              <w:tc>
                <w:tcPr/>
                <w:p>
                  <w:pPr>
                    <w:pStyle w:val="Compact"/>
                    <w:jc w:val="right"/>
                    <w:jc w:val="center"/>
                  </w:pPr>
                  <w:r>
                    <w:t xml:space="preserve">95% CI (%)</w:t>
                  </w:r>
                </w:p>
              </w:tc>
            </w:tr>
            <w:tr>
              <w:tc>
                <w:tcPr/>
                <w:p>
                  <w:pPr>
                    <w:pStyle w:val="Compact"/>
                    <w:jc w:val="left"/>
                    <w:jc w:val="center"/>
                  </w:pPr>
                  <w:r>
                    <w:t xml:space="preserve">&lt;15</w:t>
                  </w:r>
                </w:p>
              </w:tc>
              <w:tc>
                <w:tcPr/>
                <w:p>
                  <w:pPr>
                    <w:pStyle w:val="Compact"/>
                    <w:jc w:val="right"/>
                    <w:jc w:val="center"/>
                  </w:pPr>
                  <w:r>
                    <w:t xml:space="preserve">436</w:t>
                  </w:r>
                </w:p>
              </w:tc>
              <w:tc>
                <w:tcPr/>
                <w:p>
                  <w:pPr>
                    <w:pStyle w:val="Compact"/>
                    <w:jc w:val="right"/>
                    <w:jc w:val="center"/>
                  </w:pPr>
                  <w:r>
                    <w:t xml:space="preserve">113</w:t>
                  </w:r>
                </w:p>
              </w:tc>
              <w:tc>
                <w:tcPr/>
                <w:p>
                  <w:pPr>
                    <w:pStyle w:val="Compact"/>
                    <w:jc w:val="right"/>
                    <w:jc w:val="center"/>
                  </w:pPr>
                  <w:r>
                    <w:t xml:space="preserve">25.9</w:t>
                  </w:r>
                </w:p>
              </w:tc>
              <w:tc>
                <w:tcPr/>
                <w:p>
                  <w:pPr>
                    <w:pStyle w:val="Compact"/>
                    <w:jc w:val="right"/>
                    <w:jc w:val="center"/>
                  </w:pPr>
                  <w:r>
                    <w:t xml:space="preserve">22.0-30.2</w:t>
                  </w:r>
                </w:p>
              </w:tc>
            </w:tr>
            <w:tr>
              <w:tc>
                <w:tcPr/>
                <w:p>
                  <w:pPr>
                    <w:pStyle w:val="Compact"/>
                    <w:jc w:val="left"/>
                    <w:jc w:val="center"/>
                  </w:pPr>
                  <w:r>
                    <w:t xml:space="preserve">15-20</w:t>
                  </w:r>
                </w:p>
              </w:tc>
              <w:tc>
                <w:tcPr/>
                <w:p>
                  <w:pPr>
                    <w:pStyle w:val="Compact"/>
                    <w:jc w:val="right"/>
                    <w:jc w:val="center"/>
                  </w:pPr>
                  <w:r>
                    <w:t xml:space="preserve">4,325</w:t>
                  </w:r>
                </w:p>
              </w:tc>
              <w:tc>
                <w:tcPr/>
                <w:p>
                  <w:pPr>
                    <w:pStyle w:val="Compact"/>
                    <w:jc w:val="right"/>
                    <w:jc w:val="center"/>
                  </w:pPr>
                  <w:r>
                    <w:t xml:space="preserve">1,057</w:t>
                  </w:r>
                </w:p>
              </w:tc>
              <w:tc>
                <w:tcPr/>
                <w:p>
                  <w:pPr>
                    <w:pStyle w:val="Compact"/>
                    <w:jc w:val="right"/>
                    <w:jc w:val="center"/>
                  </w:pPr>
                  <w:r>
                    <w:t xml:space="preserve">24.4</w:t>
                  </w:r>
                </w:p>
              </w:tc>
              <w:tc>
                <w:tcPr/>
                <w:p>
                  <w:pPr>
                    <w:pStyle w:val="Compact"/>
                    <w:jc w:val="right"/>
                    <w:jc w:val="center"/>
                  </w:pPr>
                  <w:r>
                    <w:t xml:space="preserve">23.2-25.7</w:t>
                  </w:r>
                </w:p>
              </w:tc>
            </w:tr>
            <w:tr>
              <w:tc>
                <w:tcPr/>
                <w:p>
                  <w:pPr>
                    <w:pStyle w:val="Compact"/>
                    <w:jc w:val="left"/>
                    <w:jc w:val="center"/>
                  </w:pPr>
                  <w:r>
                    <w:t xml:space="preserve">20-25</w:t>
                  </w:r>
                </w:p>
              </w:tc>
              <w:tc>
                <w:tcPr/>
                <w:p>
                  <w:pPr>
                    <w:pStyle w:val="Compact"/>
                    <w:jc w:val="right"/>
                    <w:jc w:val="center"/>
                  </w:pPr>
                  <w:r>
                    <w:t xml:space="preserve">9,934</w:t>
                  </w:r>
                </w:p>
              </w:tc>
              <w:tc>
                <w:tcPr/>
                <w:p>
                  <w:pPr>
                    <w:pStyle w:val="Compact"/>
                    <w:jc w:val="right"/>
                    <w:jc w:val="center"/>
                  </w:pPr>
                  <w:r>
                    <w:t xml:space="preserve">2,627</w:t>
                  </w:r>
                </w:p>
              </w:tc>
              <w:tc>
                <w:tcPr/>
                <w:p>
                  <w:pPr>
                    <w:pStyle w:val="Compact"/>
                    <w:jc w:val="right"/>
                    <w:jc w:val="center"/>
                  </w:pPr>
                  <w:r>
                    <w:t xml:space="preserve">26.4</w:t>
                  </w:r>
                </w:p>
              </w:tc>
              <w:tc>
                <w:tcPr/>
                <w:p>
                  <w:pPr>
                    <w:pStyle w:val="Compact"/>
                    <w:jc w:val="right"/>
                    <w:jc w:val="center"/>
                  </w:pPr>
                  <w:r>
                    <w:t xml:space="preserve">25.6-27.3</w:t>
                  </w:r>
                </w:p>
              </w:tc>
            </w:tr>
            <w:tr>
              <w:tc>
                <w:tcPr/>
                <w:p>
                  <w:pPr>
                    <w:pStyle w:val="Compact"/>
                    <w:jc w:val="left"/>
                    <w:jc w:val="center"/>
                  </w:pPr>
                  <w:r>
                    <w:t xml:space="preserve">25-30</w:t>
                  </w:r>
                </w:p>
              </w:tc>
              <w:tc>
                <w:tcPr/>
                <w:p>
                  <w:pPr>
                    <w:pStyle w:val="Compact"/>
                    <w:jc w:val="right"/>
                    <w:jc w:val="center"/>
                  </w:pPr>
                  <w:r>
                    <w:t xml:space="preserve">19,090</w:t>
                  </w:r>
                </w:p>
              </w:tc>
              <w:tc>
                <w:tcPr/>
                <w:p>
                  <w:pPr>
                    <w:pStyle w:val="Compact"/>
                    <w:jc w:val="right"/>
                    <w:jc w:val="center"/>
                  </w:pPr>
                  <w:r>
                    <w:t xml:space="preserve">7,576</w:t>
                  </w:r>
                </w:p>
              </w:tc>
              <w:tc>
                <w:tcPr/>
                <w:p>
                  <w:pPr>
                    <w:pStyle w:val="Compact"/>
                    <w:jc w:val="right"/>
                    <w:jc w:val="center"/>
                  </w:pPr>
                  <w:r>
                    <w:t xml:space="preserve">39.7</w:t>
                  </w:r>
                </w:p>
              </w:tc>
              <w:tc>
                <w:tcPr/>
                <w:p>
                  <w:pPr>
                    <w:pStyle w:val="Compact"/>
                    <w:jc w:val="right"/>
                    <w:jc w:val="center"/>
                  </w:pPr>
                  <w:r>
                    <w:t xml:space="preserve">39.0-40.4</w:t>
                  </w:r>
                </w:p>
              </w:tc>
            </w:tr>
            <w:tr>
              <w:tc>
                <w:tcPr/>
                <w:p>
                  <w:pPr>
                    <w:pStyle w:val="Compact"/>
                    <w:jc w:val="left"/>
                    <w:jc w:val="center"/>
                  </w:pPr>
                  <w:r>
                    <w:t xml:space="preserve">30-40</w:t>
                  </w:r>
                </w:p>
              </w:tc>
              <w:tc>
                <w:tcPr/>
                <w:p>
                  <w:pPr>
                    <w:pStyle w:val="Compact"/>
                    <w:jc w:val="right"/>
                    <w:jc w:val="center"/>
                  </w:pPr>
                  <w:r>
                    <w:t xml:space="preserve">10,903</w:t>
                  </w:r>
                </w:p>
              </w:tc>
              <w:tc>
                <w:tcPr/>
                <w:p>
                  <w:pPr>
                    <w:pStyle w:val="Compact"/>
                    <w:jc w:val="right"/>
                    <w:jc w:val="center"/>
                  </w:pPr>
                  <w:r>
                    <w:t xml:space="preserve">2,724</w:t>
                  </w:r>
                </w:p>
              </w:tc>
              <w:tc>
                <w:tcPr/>
                <w:p>
                  <w:pPr>
                    <w:pStyle w:val="Compact"/>
                    <w:jc w:val="right"/>
                    <w:jc w:val="center"/>
                  </w:pPr>
                  <w:r>
                    <w:t xml:space="preserve">25.0</w:t>
                  </w:r>
                </w:p>
              </w:tc>
              <w:tc>
                <w:tcPr/>
                <w:p>
                  <w:pPr>
                    <w:pStyle w:val="Compact"/>
                    <w:jc w:val="right"/>
                    <w:jc w:val="center"/>
                  </w:pPr>
                  <w:r>
                    <w:t xml:space="preserve">24.2-25.8</w:t>
                  </w:r>
                </w:p>
              </w:tc>
            </w:tr>
            <w:tr>
              <w:tc>
                <w:tcPr/>
                <w:p>
                  <w:pPr>
                    <w:pStyle w:val="Compact"/>
                    <w:jc w:val="left"/>
                    <w:jc w:val="center"/>
                  </w:pPr>
                  <w:r>
                    <w:t xml:space="preserve">&gt;40</w:t>
                  </w:r>
                </w:p>
              </w:tc>
              <w:tc>
                <w:tcPr/>
                <w:p>
                  <w:pPr>
                    <w:pStyle w:val="Compact"/>
                    <w:jc w:val="right"/>
                    <w:jc w:val="center"/>
                  </w:pPr>
                  <w:r>
                    <w:t xml:space="preserve">1,671</w:t>
                  </w:r>
                </w:p>
              </w:tc>
              <w:tc>
                <w:tcPr/>
                <w:p>
                  <w:pPr>
                    <w:pStyle w:val="Compact"/>
                    <w:jc w:val="right"/>
                    <w:jc w:val="center"/>
                  </w:pPr>
                  <w:r>
                    <w:t xml:space="preserve">262</w:t>
                  </w:r>
                </w:p>
              </w:tc>
              <w:tc>
                <w:tcPr/>
                <w:p>
                  <w:pPr>
                    <w:pStyle w:val="Compact"/>
                    <w:jc w:val="right"/>
                    <w:jc w:val="center"/>
                  </w:pPr>
                  <w:r>
                    <w:t xml:space="preserve">15.7</w:t>
                  </w:r>
                </w:p>
              </w:tc>
              <w:tc>
                <w:tcPr/>
                <w:p>
                  <w:pPr>
                    <w:pStyle w:val="Compact"/>
                    <w:jc w:val="right"/>
                    <w:jc w:val="center"/>
                  </w:pPr>
                  <w:r>
                    <w:t xml:space="preserve">14.0-17.5</w:t>
                  </w:r>
                </w:p>
              </w:tc>
            </w:tr>
          </w:tbl>
          <w:bookmarkEnd w:id="58"/>
          <w:p/>
        </w:tc>
      </w:tr>
    </w:tbl>
    <w:p>
      <w:pPr>
        <w:pStyle w:val="BodyText"/>
      </w:pPr>
      <w:r>
        <w:t xml:space="preserve">Coding host as diameter altered the picture that cover alone gives. Attack peaked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was -0.362 per standard deviation</w:t>
      </w:r>
      <w:r>
        <w:t xml:space="preserve"> </w:t>
      </w:r>
      <w:r>
        <w:t xml:space="preserve">(z = -14.47), negative because the relationship is not monotone, since a</w:t>
      </w:r>
      <w:r>
        <w:t xml:space="preserve"> </w:t>
      </w:r>
      <w:r>
        <w:t xml:space="preserve">linear term fitted through a humped response returns the slope of its falling limb, which is</w:t>
      </w:r>
      <w:r>
        <w:t xml:space="preserve"> </w:t>
      </w:r>
      <w:r>
        <w:t xml:space="preserve">the larger part of the range. The class table rather than the coefficient is therefore the</w:t>
      </w:r>
      <w:r>
        <w:t xml:space="preserve"> </w:t>
      </w:r>
      <w:r>
        <w:t xml:space="preserve">result here, and the interpretation holds, because a stand’s cover says nothing about</w:t>
      </w:r>
      <w:r>
        <w:t xml:space="preserve"> </w:t>
      </w:r>
      <w:r>
        <w:t xml:space="preserve">whether its stems can produce brood.</w:t>
      </w:r>
    </w:p>
    <w:p>
      <w:pPr>
        <w:pStyle w:val="BodyText"/>
      </w:pPr>
      <w:r>
        <w:t xml:space="preserve">The pattern was not an artefact of the class boundaries, in that across all six classes</w:t>
      </w:r>
      <w:r>
        <w:t xml:space="preserve"> </w:t>
      </w:r>
      <w:r>
        <w:t xml:space="preserve">attack depended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carries little evidential weight, holding</w:t>
      </w:r>
      <w:r>
        <w:t xml:space="preserve"> </w:t>
      </w:r>
      <w:r>
        <w:t xml:space="preserve">436 cells against</w:t>
      </w:r>
      <w:r>
        <w:t xml:space="preserve"> </w:t>
      </w:r>
      <w:r>
        <w:t xml:space="preserve">19,090 in the modal class, and a stand below 15 cm</w:t>
      </w:r>
      <w:r>
        <w:t xml:space="preserve"> </w:t>
      </w:r>
      <w:r>
        <w:t xml:space="preserve">quadratic mean diameter in an inventory whose vintage postdates the outbreak is more likely</w:t>
      </w:r>
      <w:r>
        <w:t xml:space="preserve"> </w:t>
      </w:r>
      <w:r>
        <w:t xml:space="preserve">a stand from which the beetle had already removed the large stems than a stand attacked at</w:t>
      </w:r>
      <w:r>
        <w:t xml:space="preserve"> </w:t>
      </w:r>
      <w:r>
        <w:t xml:space="preserve">that size.</w:t>
      </w:r>
    </w:p>
    <w:bookmarkEnd w:id="59"/>
    <w:bookmarkStart w:id="61" w:name="sec-window"/>
    <w:p>
      <w:pPr>
        <w:pStyle w:val="Heading2"/>
      </w:pPr>
      <w:r>
        <w:t xml:space="preserve">4.4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and that choice follows from how the insect</w:t>
      </w:r>
      <w:r>
        <w:t xml:space="preserve"> </w:t>
      </w:r>
      <w:r>
        <w:t xml:space="preserve">disperses.</w:t>
      </w:r>
      <w:r>
        <w:t xml:space="preserve"> </w:t>
      </w:r>
      <w:r>
        <w:t xml:space="preserve">Jackson, Straussfogel, Lindgren, Mitchell, &amp; Murphy (2008)</w:t>
      </w:r>
      <w:r>
        <w:t xml:space="preserve"> </w:t>
      </w:r>
      <w:r>
        <w:t xml:space="preserve">tracked mountain pine beetle on weather radar and confirmed the</w:t>
      </w:r>
      <w:r>
        <w:t xml:space="preserve"> </w:t>
      </w:r>
      <w:r>
        <w:t xml:space="preserve">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 to 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w:t>
      </w:r>
      <w:r>
        <w:t xml:space="preserve"> </w:t>
      </w:r>
      <w:r>
        <w:t xml:space="preserve">per hectare.</w:t>
      </w:r>
      <w:r>
        <w:t xml:space="preserve"> </w:t>
      </w:r>
      <w:r>
        <w:t xml:space="preserve">Ainslie &amp; Jackson (2010)</w:t>
      </w:r>
      <w:r>
        <w:t xml:space="preserve"> </w:t>
      </w:r>
      <w:r>
        <w:t xml:space="preserve">subsequently reproduced that above-canopy dispersion with an</w:t>
      </w:r>
      <w:r>
        <w:t xml:space="preserve"> </w:t>
      </w:r>
      <w:r>
        <w:t xml:space="preserve">atmospheric model. An insect carried in the boundary layer at those heights and over those</w:t>
      </w:r>
      <w:r>
        <w:t xml:space="preserve"> </w:t>
      </w:r>
      <w:r>
        <w:t xml:space="preserve">distances is exposed to the atmospheric regime of the period rather than to the wind</w:t>
      </w:r>
      <w:r>
        <w:t xml:space="preserve"> </w:t>
      </w:r>
      <w:r>
        <w:t xml:space="preserve">measured within a stand between noon and five, and the variable is named accordingly.</w:t>
      </w:r>
    </w:p>
    <w:p>
      <w:pPr>
        <w:pStyle w:val="BodyText"/>
      </w:pPr>
      <w:hyperlink w:anchor="tbl-window">
        <w:r>
          <w:rPr>
            <w:rStyle w:val="Hyperlink"/>
          </w:rPr>
          <w:t xml:space="preserve">Table 8</w:t>
        </w:r>
      </w:hyperlink>
      <w:r>
        <w:t xml:space="preserve"> </w:t>
      </w:r>
      <w:r>
        <w:t xml:space="preserve">refits the 16-day model under four definitions of the window. These are every</w:t>
      </w:r>
      <w:r>
        <w:t xml:space="preserve"> </w:t>
      </w:r>
      <w:r>
        <w:t xml:space="preserve">hour, the 12:00 to 17:00 hours the flight peak occupies, the 11:00 to 18:00 hours that clear</w:t>
      </w:r>
      <w:r>
        <w:t xml:space="preserve"> </w:t>
      </w:r>
      <w:r>
        <w:t xml:space="preserve">the thermal gate on this landscape more than half the time, and only those hours whose</w:t>
      </w:r>
      <w:r>
        <w:t xml:space="preserve"> </w:t>
      </w:r>
      <w:r>
        <w:t xml:space="preserve">observed temperature fell inside the 19 to 41 degrees C gate itself. The stem-density</w:t>
      </w:r>
      <w:r>
        <w:t xml:space="preserve"> </w:t>
      </w:r>
      <w:r>
        <w:t xml:space="preserve">interaction was negative and distinguishable from zero under all four definitions, so the</w:t>
      </w:r>
      <w:r>
        <w:t xml:space="preserve"> </w:t>
      </w:r>
      <w:r>
        <w:t xml:space="preserve">mechanism does not depend on the choice, although it was largest over the full regime and</w:t>
      </w:r>
      <w:r>
        <w:t xml:space="preserve"> </w:t>
      </w:r>
      <w:r>
        <w:t xml:space="preserve">the standing-volume interaction was the term sensitive to that choice.</w:t>
      </w:r>
    </w:p>
    <w:tbl>
      <w:tblPr>
        <w:tblStyle w:val="Table"/>
        <w:tblW w:type="pct" w:w="5000"/>
        <w:tblLayout w:type="fixed"/>
        <w:tblLook w:firstRow="0" w:lastRow="0" w:firstColumn="0" w:lastColumn="0" w:noHBand="0" w:noVBand="0" w:val="0000"/>
      </w:tblPr>
      <w:tblGrid>
        <w:gridCol w:w="7920"/>
      </w:tblGrid>
      <w:tr>
        <w:tc>
          <w:tcPr/>
          <w:bookmarkStart w:id="60" w:name="tbl-window"/>
          <w:p>
            <w:pPr>
              <w:jc w:val="center"/>
            </w:pPr>
            <w:pPr>
              <w:jc w:val="start"/>
              <w:spacing w:before="200"/>
              <w:pStyle w:val="ImageCaption"/>
            </w:pPr>
            <w:r>
              <w:t xml:space="preserve">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W w:type="pct" w:w="5000"/>
              <w:tblLayout w:type="fixed"/>
              <w:tblLook w:firstRow="1" w:lastRow="0" w:firstColumn="0" w:lastColumn="0" w:noHBand="0" w:noVBand="0" w:val="0020"/>
            </w:tblPr>
            <w:tblGrid>
              <w:gridCol w:w="2306"/>
              <w:gridCol w:w="922"/>
              <w:gridCol w:w="922"/>
              <w:gridCol w:w="999"/>
              <w:gridCol w:w="615"/>
              <w:gridCol w:w="1076"/>
              <w:gridCol w:w="615"/>
              <w:gridCol w:w="461"/>
            </w:tblGrid>
            <w:tr>
              <w:trPr>
                <w:tblHeader w:val="on"/>
              </w:trPr>
              <w:tc>
                <w:tcPr/>
                <w:p>
                  <w:pPr>
                    <w:pStyle w:val="Compact"/>
                    <w:jc w:val="left"/>
                    <w:jc w:val="center"/>
                  </w:pPr>
                  <w:r>
                    <w:t xml:space="preserve">Definition</w:t>
                  </w:r>
                </w:p>
              </w:tc>
              <w:tc>
                <w:tcPr/>
                <w:p>
                  <w:pPr>
                    <w:pStyle w:val="Compact"/>
                    <w:jc w:val="right"/>
                    <w:jc w:val="center"/>
                  </w:pPr>
                  <w:r>
                    <w:t xml:space="preserve">Cell-epochs</w:t>
                  </w:r>
                </w:p>
              </w:tc>
              <w:tc>
                <w:tcPr/>
                <w:p>
                  <w:pPr>
                    <w:pStyle w:val="Compact"/>
                    <w:jc w:val="right"/>
                    <w:jc w:val="center"/>
                  </w:pPr>
                  <w:r>
                    <w:t xml:space="preserve">Wind (km/h)</w:t>
                  </w:r>
                </w:p>
              </w:tc>
              <w:tc>
                <w:tcPr/>
                <w:p>
                  <w:pPr>
                    <w:pStyle w:val="Compact"/>
                    <w:jc w:val="right"/>
                    <w:jc w:val="center"/>
                  </w:pPr>
                  <w:r>
                    <w:t xml:space="preserve">Stems x wind</w:t>
                  </w:r>
                </w:p>
              </w:tc>
              <w:tc>
                <w:tcPr/>
                <w:p>
                  <w:pPr>
                    <w:pStyle w:val="Compact"/>
                    <w:jc w:val="right"/>
                    <w:jc w:val="center"/>
                  </w:pPr>
                  <w:r>
                    <w:t xml:space="preserve">p</w:t>
                  </w:r>
                </w:p>
              </w:tc>
              <w:tc>
                <w:tcPr/>
                <w:p>
                  <w:pPr>
                    <w:pStyle w:val="Compact"/>
                    <w:jc w:val="right"/>
                    <w:jc w:val="center"/>
                  </w:pPr>
                  <w:r>
                    <w:t xml:space="preserve">Volume x wind</w:t>
                  </w:r>
                </w:p>
              </w:tc>
              <w:tc>
                <w:tcPr/>
                <w:p>
                  <w:pPr>
                    <w:pStyle w:val="Compact"/>
                    <w:jc w:val="right"/>
                    <w:jc w:val="center"/>
                  </w:pPr>
                  <w:r>
                    <w:t xml:space="preserve">p</w:t>
                  </w:r>
                </w:p>
              </w:tc>
              <w:tc>
                <w:tcPr/>
                <w:p>
                  <w:pPr>
                    <w:pStyle w:val="Compact"/>
                    <w:jc w:val="right"/>
                    <w:jc w:val="center"/>
                  </w:pPr>
                  <w:r>
                    <w:t xml:space="preserve">AUC</w:t>
                  </w:r>
                </w:p>
              </w:tc>
            </w:tr>
            <w:tr>
              <w:tc>
                <w:tcPr/>
                <w:p>
                  <w:pPr>
                    <w:pStyle w:val="Compact"/>
                    <w:jc w:val="left"/>
                    <w:jc w:val="center"/>
                  </w:pPr>
                  <w:r>
                    <w:t xml:space="preserve">Epoch wind regime (all hours)</w:t>
                  </w:r>
                </w:p>
              </w:tc>
              <w:tc>
                <w:tcPr/>
                <w:p>
                  <w:pPr>
                    <w:pStyle w:val="Compact"/>
                    <w:jc w:val="right"/>
                    <w:jc w:val="center"/>
                  </w:pPr>
                  <w:r>
                    <w:t xml:space="preserve">71,127</w:t>
                  </w:r>
                </w:p>
              </w:tc>
              <w:tc>
                <w:tcPr/>
                <w:p>
                  <w:pPr>
                    <w:pStyle w:val="Compact"/>
                    <w:jc w:val="right"/>
                    <w:jc w:val="center"/>
                  </w:pPr>
                  <w:r>
                    <w:t xml:space="preserve">5.04</w:t>
                  </w:r>
                </w:p>
              </w:tc>
              <w:tc>
                <w:tcPr/>
                <w:p>
                  <w:pPr>
                    <w:pStyle w:val="Compact"/>
                    <w:jc w:val="right"/>
                    <w:jc w:val="center"/>
                  </w:pPr>
                  <w:r>
                    <w:t xml:space="preserve">-0.0941</w:t>
                  </w:r>
                </w:p>
              </w:tc>
              <w:tc>
                <w:tcPr/>
                <w:p>
                  <w:pPr>
                    <w:pStyle w:val="Compact"/>
                    <w:jc w:val="right"/>
                    <w:jc w:val="center"/>
                  </w:pPr>
                  <w:r>
                    <w:t xml:space="preserve">&lt; 0.001</w:t>
                  </w:r>
                </w:p>
              </w:tc>
              <w:tc>
                <w:tcPr/>
                <w:p>
                  <w:pPr>
                    <w:pStyle w:val="Compact"/>
                    <w:jc w:val="right"/>
                    <w:jc w:val="center"/>
                  </w:pPr>
                  <w:r>
                    <w:t xml:space="preserve">-0.0410</w:t>
                  </w:r>
                </w:p>
              </w:tc>
              <w:tc>
                <w:tcPr/>
                <w:p>
                  <w:pPr>
                    <w:pStyle w:val="Compact"/>
                    <w:jc w:val="right"/>
                    <w:jc w:val="center"/>
                  </w:pPr>
                  <w:r>
                    <w:t xml:space="preserve">&lt; 0.001</w:t>
                  </w:r>
                </w:p>
              </w:tc>
              <w:tc>
                <w:tcPr/>
                <w:p>
                  <w:pPr>
                    <w:pStyle w:val="Compact"/>
                    <w:jc w:val="right"/>
                    <w:jc w:val="center"/>
                  </w:pPr>
                  <w:r>
                    <w:t xml:space="preserve">0.668</w:t>
                  </w:r>
                </w:p>
              </w:tc>
            </w:tr>
            <w:tr>
              <w:tc>
                <w:tcPr/>
                <w:p>
                  <w:pPr>
                    <w:pStyle w:val="Compact"/>
                    <w:jc w:val="left"/>
                    <w:jc w:val="center"/>
                  </w:pPr>
                  <w:r>
                    <w:t xml:space="preserve">12:00-17:00</w:t>
                  </w:r>
                </w:p>
              </w:tc>
              <w:tc>
                <w:tcPr/>
                <w:p>
                  <w:pPr>
                    <w:pStyle w:val="Compact"/>
                    <w:jc w:val="right"/>
                    <w:jc w:val="center"/>
                  </w:pPr>
                  <w:r>
                    <w:t xml:space="preserve">71,127</w:t>
                  </w:r>
                </w:p>
              </w:tc>
              <w:tc>
                <w:tcPr/>
                <w:p>
                  <w:pPr>
                    <w:pStyle w:val="Compact"/>
                    <w:jc w:val="right"/>
                    <w:jc w:val="center"/>
                  </w:pPr>
                  <w:r>
                    <w:t xml:space="preserve">6.45</w:t>
                  </w:r>
                </w:p>
              </w:tc>
              <w:tc>
                <w:tcPr/>
                <w:p>
                  <w:pPr>
                    <w:pStyle w:val="Compact"/>
                    <w:jc w:val="right"/>
                    <w:jc w:val="center"/>
                  </w:pPr>
                  <w:r>
                    <w:t xml:space="preserve">-0.0565</w:t>
                  </w:r>
                </w:p>
              </w:tc>
              <w:tc>
                <w:tcPr/>
                <w:p>
                  <w:pPr>
                    <w:pStyle w:val="Compact"/>
                    <w:jc w:val="right"/>
                    <w:jc w:val="center"/>
                  </w:pPr>
                  <w:r>
                    <w:t xml:space="preserve">&lt; 0.001</w:t>
                  </w:r>
                </w:p>
              </w:tc>
              <w:tc>
                <w:tcPr/>
                <w:p>
                  <w:pPr>
                    <w:pStyle w:val="Compact"/>
                    <w:jc w:val="right"/>
                    <w:jc w:val="center"/>
                  </w:pPr>
                  <w:r>
                    <w:t xml:space="preserve">-0.0082</w:t>
                  </w:r>
                </w:p>
              </w:tc>
              <w:tc>
                <w:tcPr/>
                <w:p>
                  <w:pPr>
                    <w:pStyle w:val="Compact"/>
                    <w:jc w:val="right"/>
                    <w:jc w:val="center"/>
                  </w:pPr>
                  <w:r>
                    <w:t xml:space="preserve">0.325</w:t>
                  </w:r>
                </w:p>
              </w:tc>
              <w:tc>
                <w:tcPr/>
                <w:p>
                  <w:pPr>
                    <w:pStyle w:val="Compact"/>
                    <w:jc w:val="right"/>
                    <w:jc w:val="center"/>
                  </w:pPr>
                  <w:r>
                    <w:t xml:space="preserve">0.667</w:t>
                  </w:r>
                </w:p>
              </w:tc>
            </w:tr>
            <w:tr>
              <w:tc>
                <w:tcPr/>
                <w:p>
                  <w:pPr>
                    <w:pStyle w:val="Compact"/>
                    <w:jc w:val="left"/>
                    <w:jc w:val="center"/>
                  </w:pPr>
                  <w:r>
                    <w:t xml:space="preserve">11:00-18:00</w:t>
                  </w:r>
                </w:p>
              </w:tc>
              <w:tc>
                <w:tcPr/>
                <w:p>
                  <w:pPr>
                    <w:pStyle w:val="Compact"/>
                    <w:jc w:val="right"/>
                    <w:jc w:val="center"/>
                  </w:pPr>
                  <w:r>
                    <w:t xml:space="preserve">71,127</w:t>
                  </w:r>
                </w:p>
              </w:tc>
              <w:tc>
                <w:tcPr/>
                <w:p>
                  <w:pPr>
                    <w:pStyle w:val="Compact"/>
                    <w:jc w:val="right"/>
                    <w:jc w:val="center"/>
                  </w:pPr>
                  <w:r>
                    <w:t xml:space="preserve">6.32</w:t>
                  </w:r>
                </w:p>
              </w:tc>
              <w:tc>
                <w:tcPr/>
                <w:p>
                  <w:pPr>
                    <w:pStyle w:val="Compact"/>
                    <w:jc w:val="right"/>
                    <w:jc w:val="center"/>
                  </w:pPr>
                  <w:r>
                    <w:t xml:space="preserve">-0.0623</w:t>
                  </w:r>
                </w:p>
              </w:tc>
              <w:tc>
                <w:tcPr/>
                <w:p>
                  <w:pPr>
                    <w:pStyle w:val="Compact"/>
                    <w:jc w:val="right"/>
                    <w:jc w:val="center"/>
                  </w:pPr>
                  <w:r>
                    <w:t xml:space="preserve">&lt; 0.001</w:t>
                  </w:r>
                </w:p>
              </w:tc>
              <w:tc>
                <w:tcPr/>
                <w:p>
                  <w:pPr>
                    <w:pStyle w:val="Compact"/>
                    <w:jc w:val="right"/>
                    <w:jc w:val="center"/>
                  </w:pPr>
                  <w:r>
                    <w:t xml:space="preserve">-0.0161</w:t>
                  </w:r>
                </w:p>
              </w:tc>
              <w:tc>
                <w:tcPr/>
                <w:p>
                  <w:pPr>
                    <w:pStyle w:val="Compact"/>
                    <w:jc w:val="right"/>
                    <w:jc w:val="center"/>
                  </w:pPr>
                  <w:r>
                    <w:t xml:space="preserve">0.054</w:t>
                  </w:r>
                </w:p>
              </w:tc>
              <w:tc>
                <w:tcPr/>
                <w:p>
                  <w:pPr>
                    <w:pStyle w:val="Compact"/>
                    <w:jc w:val="right"/>
                    <w:jc w:val="center"/>
                  </w:pPr>
                  <w:r>
                    <w:t xml:space="preserve">0.667</w:t>
                  </w:r>
                </w:p>
              </w:tc>
            </w:tr>
            <w:tr>
              <w:tc>
                <w:tcPr/>
                <w:p>
                  <w:pPr>
                    <w:pStyle w:val="Compact"/>
                    <w:jc w:val="left"/>
                    <w:jc w:val="center"/>
                  </w:pPr>
                  <w:r>
                    <w:t xml:space="preserve">Inside the 19-41 C gate</w:t>
                  </w:r>
                </w:p>
              </w:tc>
              <w:tc>
                <w:tcPr/>
                <w:p>
                  <w:pPr>
                    <w:pStyle w:val="Compact"/>
                    <w:jc w:val="right"/>
                    <w:jc w:val="center"/>
                  </w:pPr>
                  <w:r>
                    <w:t xml:space="preserve">69,711</w:t>
                  </w:r>
                </w:p>
              </w:tc>
              <w:tc>
                <w:tcPr/>
                <w:p>
                  <w:pPr>
                    <w:pStyle w:val="Compact"/>
                    <w:jc w:val="right"/>
                    <w:jc w:val="center"/>
                  </w:pPr>
                  <w:r>
                    <w:t xml:space="preserve">5.67</w:t>
                  </w:r>
                </w:p>
              </w:tc>
              <w:tc>
                <w:tcPr/>
                <w:p>
                  <w:pPr>
                    <w:pStyle w:val="Compact"/>
                    <w:jc w:val="right"/>
                    <w:jc w:val="center"/>
                  </w:pPr>
                  <w:r>
                    <w:t xml:space="preserve">-0.0596</w:t>
                  </w:r>
                </w:p>
              </w:tc>
              <w:tc>
                <w:tcPr/>
                <w:p>
                  <w:pPr>
                    <w:pStyle w:val="Compact"/>
                    <w:jc w:val="right"/>
                    <w:jc w:val="center"/>
                  </w:pPr>
                  <w:r>
                    <w:t xml:space="preserve">&lt; 0.001</w:t>
                  </w:r>
                </w:p>
              </w:tc>
              <w:tc>
                <w:tcPr/>
                <w:p>
                  <w:pPr>
                    <w:pStyle w:val="Compact"/>
                    <w:jc w:val="right"/>
                    <w:jc w:val="center"/>
                  </w:pPr>
                  <w:r>
                    <w:t xml:space="preserve">-0.0325</w:t>
                  </w:r>
                </w:p>
              </w:tc>
              <w:tc>
                <w:tcPr/>
                <w:p>
                  <w:pPr>
                    <w:pStyle w:val="Compact"/>
                    <w:jc w:val="right"/>
                    <w:jc w:val="center"/>
                  </w:pPr>
                  <w:r>
                    <w:t xml:space="preserve">&lt; 0.001</w:t>
                  </w:r>
                </w:p>
              </w:tc>
              <w:tc>
                <w:tcPr/>
                <w:p>
                  <w:pPr>
                    <w:pStyle w:val="Compact"/>
                    <w:jc w:val="right"/>
                    <w:jc w:val="center"/>
                  </w:pPr>
                  <w:r>
                    <w:t xml:space="preserve">0.666</w:t>
                  </w:r>
                </w:p>
              </w:tc>
            </w:tr>
          </w:tbl>
          <w:bookmarkEnd w:id="60"/>
          <w:p/>
        </w:tc>
      </w:tr>
    </w:tbl>
    <w:bookmarkEnd w:id="61"/>
    <w:bookmarkEnd w:id="62"/>
    <w:bookmarkStart w:id="68" w:name="discussion"/>
    <w:p>
      <w:pPr>
        <w:pStyle w:val="Heading1"/>
      </w:pPr>
      <w:r>
        <w:t xml:space="preserve">5. Discussion</w:t>
      </w:r>
    </w:p>
    <w:bookmarkStart w:id="63" w:name="radiation-not-wind"/>
    <w:p>
      <w:pPr>
        <w:pStyle w:val="Heading2"/>
      </w:pPr>
      <w:r>
        <w:t xml:space="preserve">5.1 Radiation, not wind</w:t>
      </w:r>
    </w:p>
    <w:p>
      <w:pPr>
        <w:pStyle w:val="FirstParagraph"/>
      </w:pPr>
      <w:r>
        <w:t xml:space="preserve">The clearest result of this study is methodological, in that it changes what a terrain</w:t>
      </w:r>
      <w:r>
        <w:t xml:space="preserve"> </w:t>
      </w:r>
      <w:r>
        <w:t xml:space="preserve">variable in this literature can legitimately be read as. Fitted with a terrain-wind index</w:t>
      </w:r>
      <w:r>
        <w:t xml:space="preserve"> </w:t>
      </w:r>
      <w:r>
        <w:t xml:space="preserve">and no radiation term, stand density interacted with terrain exposure at -0.068, for</w:t>
      </w:r>
      <w:r>
        <w:t xml:space="preserve"> </w:t>
      </w:r>
      <w:r>
        <w:t xml:space="preserve">which the natural reading is a wind effect. With flight-window radiation added, that</w:t>
      </w:r>
      <w:r>
        <w:t xml:space="preserve"> </w:t>
      </w:r>
      <w:r>
        <w:t xml:space="preserve">interaction became -0.040, p = 0.098, while density by radiation appeared at</w:t>
      </w:r>
      <w:r>
        <w:t xml:space="preserve"> </w:t>
      </w:r>
      <w:r>
        <w:t xml:space="preserve">+0.103. About two fifths of the apparent exposure effect was</w:t>
      </w:r>
      <w:r>
        <w:t xml:space="preserve"> </w:t>
      </w:r>
      <w:r>
        <w:t xml:space="preserve">therefore radiation, though not all of it, and what survived retained the sign the mechanism</w:t>
      </w:r>
      <w:r>
        <w:t xml:space="preserve"> </w:t>
      </w:r>
      <w:r>
        <w:t xml:space="preserve">forbids.</w:t>
      </w:r>
    </w:p>
    <w:p>
      <w:pPr>
        <w:pStyle w:val="BodyText"/>
      </w:pPr>
      <w:r>
        <w:t xml:space="preserve">This is unlikely to be peculiar to the present dataset. A windward-leeward index and an</w:t>
      </w:r>
      <w:r>
        <w:t xml:space="preserve"> </w:t>
      </w:r>
      <w:r>
        <w:t xml:space="preserve">afternoon radiation surface are both functions of slope and aspect, and on a range whose</w:t>
      </w:r>
      <w:r>
        <w:t xml:space="preserve"> </w:t>
      </w:r>
      <w:r>
        <w:t xml:space="preserve">prevailing flight-window bearing is 258 degrees the windward slopes</w:t>
      </w:r>
      <w:r>
        <w:t xml:space="preserve"> </w:t>
      </w:r>
      <w:r>
        <w:t xml:space="preserve">are the west-facing ones, which are also the slopes taking afternoon sun during the flight</w:t>
      </w:r>
      <w:r>
        <w:t xml:space="preserve"> </w:t>
      </w:r>
      <w:r>
        <w:t xml:space="preserve">peak. Any study entering a terrain-derived wind index without a radiation term on the same</w:t>
      </w:r>
      <w:r>
        <w:t xml:space="preserve"> </w:t>
      </w:r>
      <w:r>
        <w:t xml:space="preserve">clock will therefore attribute radiation to wind.</w:t>
      </w:r>
    </w:p>
    <w:bookmarkEnd w:id="63"/>
    <w:bookmarkStart w:id="64" w:name="what-survives"/>
    <w:p>
      <w:pPr>
        <w:pStyle w:val="Heading2"/>
      </w:pPr>
      <w:r>
        <w:t xml:space="preserve">5.2 What survives</w:t>
      </w:r>
    </w:p>
    <w:p>
      <w:pPr>
        <w:pStyle w:val="FirstParagraph"/>
      </w:pPr>
      <w:r>
        <w:t xml:space="preserve">This study tested the three mechanisms</w:t>
      </w:r>
      <w:r>
        <w:t xml:space="preserve"> </w:t>
      </w:r>
      <w:r>
        <w:t xml:space="preserve">Krawchuk et al. (2020)</w:t>
      </w:r>
      <w:r>
        <w:t xml:space="preserve"> </w:t>
      </w:r>
      <w:r>
        <w:t xml:space="preserve">propose for refugia from mountain pine</w:t>
      </w:r>
      <w:r>
        <w:t xml:space="preserve"> </w:t>
      </w:r>
      <w:r>
        <w:t xml:space="preserve">beetle, using a response measured at the sixteen-day cadence the sensor and the insect</w:t>
      </w:r>
      <w:r>
        <w:t xml:space="preserve"> </w:t>
      </w:r>
      <w:r>
        <w:t xml:space="preserve">share, and support was partial. H2, low host density admitting the wind that disperses the</w:t>
      </w:r>
      <w:r>
        <w:t xml:space="preserve"> </w:t>
      </w:r>
      <w:r>
        <w:t xml:space="preserve">aggregation pheromone, was supported in the conditional form the mechanism specifies rather</w:t>
      </w:r>
      <w:r>
        <w:t xml:space="preserve"> </w:t>
      </w:r>
      <w:r>
        <w:t xml:space="preserve">than as a main effect. H3, a scarcity of large-diameter hosts, was supported as a threshold</w:t>
      </w:r>
      <w:r>
        <w:t xml:space="preserve"> </w:t>
      </w:r>
      <w:r>
        <w:t xml:space="preserve">rather than as a gradient. H1, topographic shading, was not supported, and the term</w:t>
      </w:r>
      <w:r>
        <w:t xml:space="preserve"> </w:t>
      </w:r>
      <w:r>
        <w:t xml:space="preserve">rejecting it is the least secure in the study.</w:t>
      </w:r>
    </w:p>
    <w:p>
      <w:pPr>
        <w:pStyle w:val="BodyText"/>
      </w:pPr>
      <w:r>
        <w:t xml:space="preserve">Host density was supported in the conditional form the mechanism specifies rather than as a</w:t>
      </w:r>
      <w:r>
        <w:t xml:space="preserve"> </w:t>
      </w:r>
      <w:r>
        <w:t xml:space="preserve">bare main effect. Stand basal area predicted disturbance at +0.504, its</w:t>
      </w:r>
      <w:r>
        <w:t xml:space="preserve"> </w:t>
      </w:r>
      <w:r>
        <w:t xml:space="preserve">interaction with wind was -0.017, and that of stem density -0.049. The</w:t>
      </w:r>
      <w:r>
        <w:t xml:space="preserve"> </w:t>
      </w:r>
      <w:r>
        <w:t xml:space="preserve">claim was never that dense stands are attacked more, but that a dense canopy holds a plume</w:t>
      </w:r>
      <w:r>
        <w:t xml:space="preserve"> </w:t>
      </w:r>
      <w:r>
        <w:t xml:space="preserve">together and that the advantage this confers on the beetle should diminish as wind speed</w:t>
      </w:r>
      <w:r>
        <w:t xml:space="preserve"> </w:t>
      </w:r>
      <w:r>
        <w:t xml:space="preserve">rises, and both halves of that prediction are present.</w:t>
      </w:r>
    </w:p>
    <w:p>
      <w:pPr>
        <w:pStyle w:val="BodyText"/>
      </w:pPr>
      <w:r>
        <w:t xml:space="preserve">Large-diameter host was supported as a threshold rather than as a gradient, attack peaking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falling away on both sides.</w:t>
      </w:r>
    </w:p>
    <w:p>
      <w:pPr>
        <w:pStyle w:val="BodyText"/>
      </w:pPr>
      <w:r>
        <w:t xml:space="preserve">Topographic shading was not supported, and it fails on a surrogate rather than on the</w:t>
      </w:r>
      <w:r>
        <w:t xml:space="preserve"> </w:t>
      </w:r>
      <w:r>
        <w:t xml:space="preserve">quantity the mechanism names. Growing-season radiation did not survive variable selection,</w:t>
      </w:r>
      <w:r>
        <w:t xml:space="preserve"> </w:t>
      </w:r>
      <w:r>
        <w:t xml:space="preserve">so northness stands in for the pathway, the two correlating</w:t>
      </w:r>
      <w:r>
        <w:t xml:space="preserve"> </w:t>
      </w:r>
      <w:r>
        <w:t xml:space="preserve">-0.824. Northness was +0.305, so that</w:t>
      </w:r>
      <w:r>
        <w:t xml:space="preserve"> </w:t>
      </w:r>
      <w:r>
        <w:t xml:space="preserve">shaded ground carried more attack where the mechanism requires less. Northness tests aspect,</w:t>
      </w:r>
      <w:r>
        <w:t xml:space="preserve"> </w:t>
      </w:r>
      <w:r>
        <w:t xml:space="preserve">and aspect measures more than shade, which makes this the least secure of the three</w:t>
      </w:r>
      <w:r>
        <w:t xml:space="preserve"> </w:t>
      </w:r>
      <w:r>
        <w:t xml:space="preserve">verdicts, and the water-stress pathway</w:t>
      </w:r>
      <w:r>
        <w:t xml:space="preserve"> </w:t>
      </w:r>
      <w:r>
        <w:t xml:space="preserve">Krawchuk et al. (2020)</w:t>
      </w:r>
      <w:r>
        <w:t xml:space="preserve"> </w:t>
      </w:r>
      <w:r>
        <w:t xml:space="preserve">describe is not measured here at</w:t>
      </w:r>
      <w:r>
        <w:t xml:space="preserve"> </w:t>
      </w:r>
      <w:r>
        <w:t xml:space="preserve">all.</w:t>
      </w:r>
    </w:p>
    <w:bookmarkEnd w:id="64"/>
    <w:bookmarkStart w:id="65" w:name="the-wind-claim"/>
    <w:p>
      <w:pPr>
        <w:pStyle w:val="Heading2"/>
      </w:pPr>
      <w:r>
        <w:t xml:space="preserve">5.3 The wind claim</w:t>
      </w:r>
    </w:p>
    <w:p>
      <w:pPr>
        <w:pStyle w:val="FirstParagraph"/>
      </w:pPr>
      <w:r>
        <w:t xml:space="preserve">Stand density interacts with terrain-resolved wind at -0.049 for stem density and</w:t>
      </w:r>
      <w:r>
        <w:t xml:space="preserve"> </w:t>
      </w:r>
      <w:r>
        <w:t xml:space="preserve">-0.017 for standing volume, both negative, at p &lt; 0.001 and</w:t>
      </w:r>
      <w:r>
        <w:t xml:space="preserve"> </w:t>
      </w:r>
      <w:r>
        <w:t xml:space="preserve">p = 0.038 respectively. A dense stand therefore confers less advantage on the</w:t>
      </w:r>
      <w:r>
        <w:t xml:space="preserve"> </w:t>
      </w:r>
      <w:r>
        <w:t xml:space="preserve">beetle where and when wind speed is higher, which is what</w:t>
      </w:r>
      <w:r>
        <w:t xml:space="preserve"> </w:t>
      </w:r>
      <w:r>
        <w:t xml:space="preserve">Krawchuk et al. (2020)</w:t>
      </w:r>
      <w:r>
        <w:t xml:space="preserve"> </w:t>
      </w:r>
      <w:r>
        <w:t xml:space="preserve">predict. The result</w:t>
      </w:r>
      <w:r>
        <w:t xml:space="preserve"> </w:t>
      </w:r>
      <w:r>
        <w:t xml:space="preserve">survived entering the previous epoch of the same season, so it is not the outbreak’s own</w:t>
      </w:r>
      <w:r>
        <w:t xml:space="preserve"> </w:t>
      </w:r>
      <w:r>
        <w:t xml:space="preserve">spread appearing as a wind coefficient.</w:t>
      </w:r>
    </w:p>
    <w:p>
      <w:pPr>
        <w:pStyle w:val="BodyText"/>
      </w:pPr>
      <w:r>
        <w:t xml:space="preserve">The mechanism concerns a plume that persists for minutes over a flight period of weeks, and</w:t>
      </w:r>
      <w:r>
        <w:t xml:space="preserve"> </w:t>
      </w:r>
      <w:r>
        <w:t xml:space="preserve">the wind term is measured over the sixteen days an epoch covers for that reason.</w:t>
      </w:r>
      <w:r>
        <w:t xml:space="preserve"> </w:t>
      </w:r>
      <w:r>
        <w:t xml:space="preserve">Krawchuk et al. (2020)</w:t>
      </w:r>
      <w:r>
        <w:t xml:space="preserve"> </w:t>
      </w:r>
      <w:r>
        <w:t xml:space="preserve">name wind without naming the interval it should be summarised over, and nothing in the</w:t>
      </w:r>
      <w:r>
        <w:t xml:space="preserve"> </w:t>
      </w:r>
      <w:r>
        <w:t xml:space="preserve">literature since has supplied one.</w:t>
      </w:r>
    </w:p>
    <w:p>
      <w:pPr>
        <w:pStyle w:val="BodyText"/>
      </w:pPr>
      <w:r>
        <w:t xml:space="preserve">Two limits remain attached to the claim. The interaction is small, roughly a tenth of the</w:t>
      </w:r>
      <w:r>
        <w:t xml:space="preserve"> </w:t>
      </w:r>
      <w:r>
        <w:t xml:space="preserve">stand basal area main effect, and the wind field, although it varies in space, remains</w:t>
      </w:r>
      <w:r>
        <w:t xml:space="preserve"> </w:t>
      </w:r>
      <w:r>
        <w:t xml:space="preserve">terrain-modified station data rather than measurement on the ridge. What is established is</w:t>
      </w:r>
      <w:r>
        <w:t xml:space="preserve"> </w:t>
      </w:r>
      <w:r>
        <w:t xml:space="preserve">therefore that the modelled wind field behaves as the mechanism requires, not that the air</w:t>
      </w:r>
      <w:r>
        <w:t xml:space="preserve"> </w:t>
      </w:r>
      <w:r>
        <w:t xml:space="preserve">itself did.</w:t>
      </w:r>
    </w:p>
    <w:bookmarkEnd w:id="65"/>
    <w:bookmarkStart w:id="66" w:name="ruggedness-and-regeneration"/>
    <w:p>
      <w:pPr>
        <w:pStyle w:val="Heading2"/>
      </w:pPr>
      <w:r>
        <w:t xml:space="preserve">5.4 Ruggedness and regeneration</w:t>
      </w:r>
    </w:p>
    <w:p>
      <w:pPr>
        <w:pStyle w:val="FirstParagraph"/>
      </w:pPr>
      <w:r>
        <w:t xml:space="preserve">The two papers share a grid, a landscape and a terrain covariate set, and they disagree on</w:t>
      </w:r>
      <w:r>
        <w:t xml:space="preserve"> </w:t>
      </w:r>
      <w:r>
        <w:t xml:space="preserve">the sign of ruggedness, which is -0.005 for beetle attack here against a positive</w:t>
      </w:r>
      <w:r>
        <w:t xml:space="preserve"> </w:t>
      </w:r>
      <w:r>
        <w:t xml:space="preserve">coefficient for conifer regeneration in</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which is a coherent picture rather than a contradiction, and one visible only because</w:t>
      </w:r>
      <w:r>
        <w:t xml:space="preserve"> </w:t>
      </w:r>
      <w:r>
        <w:t xml:space="preserve">the two studies were fitted on the same grid in EPSG:3153.</w:t>
      </w:r>
    </w:p>
    <w:bookmarkEnd w:id="66"/>
    <w:bookmarkStart w:id="67" w:name="what-stays-confounded"/>
    <w:p>
      <w:pPr>
        <w:pStyle w:val="Heading2"/>
      </w:pPr>
      <w:r>
        <w:t xml:space="preserve">5.5 What stays confounded</w:t>
      </w:r>
    </w:p>
    <w:p>
      <w:pPr>
        <w:pStyle w:val="FirstParagraph"/>
      </w:pPr>
      <w:r>
        <w:t xml:space="preserve">Elevation is among the largest terms in the model at +0.337, but it is not a</w:t>
      </w:r>
      <w:r>
        <w:t xml:space="preserve"> </w:t>
      </w:r>
      <w:r>
        <w:t xml:space="preserve">single quantity, combining temperature, snowpack, growing-season length and the distribution</w:t>
      </w:r>
      <w:r>
        <w:t xml:space="preserve"> </w:t>
      </w:r>
      <w:r>
        <w:t xml:space="preserve">of lodgepole pine in a way this design cannot separate. Reporting the elevation coefficient</w:t>
      </w:r>
      <w:r>
        <w:t xml:space="preserve"> </w:t>
      </w:r>
      <w:r>
        <w:t xml:space="preserve">as a result would therefore be reporting a composite.</w:t>
      </w:r>
    </w:p>
    <w:p>
      <w:pPr>
        <w:pStyle w:val="BodyText"/>
      </w:pPr>
      <w:r>
        <w:t xml:space="preserve">The same caution applies in reverse to every terrain term in the model, since radiation</w:t>
      </w:r>
      <w:r>
        <w:t xml:space="preserve"> </w:t>
      </w:r>
      <w:r>
        <w:t xml:space="preserve">absorbed about a third of one terrain interaction and there is no guarantee that some</w:t>
      </w:r>
      <w:r>
        <w:t xml:space="preserve"> </w:t>
      </w:r>
      <w:r>
        <w:t xml:space="preserve">further unmeasured environmental surface would not absorb the remainder, or another term</w:t>
      </w:r>
      <w:r>
        <w:t xml:space="preserve"> </w:t>
      </w:r>
      <w:r>
        <w:t xml:space="preserve">entirely.</w:t>
      </w:r>
    </w:p>
    <w:p>
      <w:pPr>
        <w:pStyle w:val="BodyText"/>
      </w:pPr>
      <w:r>
        <w:t xml:space="preserve">Three limits sit outside the model and bound every result in it. The inventory postdates part</w:t>
      </w:r>
      <w:r>
        <w:t xml:space="preserve"> </w:t>
      </w:r>
      <w:r>
        <w:t xml:space="preserve">of the outbreak, because polygons interpreted after the beetle passed describe the stand it</w:t>
      </w:r>
      <w:r>
        <w:t xml:space="preserve"> </w:t>
      </w:r>
      <w:r>
        <w:t xml:space="preserve">left, and total basal area discriminates only weakly on its own,</w:t>
      </w:r>
      <w:r>
        <w:t xml:space="preserve"> </w:t>
      </w:r>
      <w:r>
        <w:t xml:space="preserve">0.603. The response is classified rather</w:t>
      </w:r>
      <w:r>
        <w:t xml:space="preserve"> </w:t>
      </w:r>
      <w:r>
        <w:t xml:space="preserve">than observed, inferred from Landsat moisture indices trained on plots cut from those same</w:t>
      </w:r>
      <w:r>
        <w:t xml:space="preserve"> </w:t>
      </w:r>
      <w:r>
        <w:t xml:space="preserve">indices, so the reported accuracy measures separability and not agreement with ground</w:t>
      </w:r>
      <w:r>
        <w:t xml:space="preserve"> </w:t>
      </w:r>
      <w:r>
        <w:t xml:space="preserve">mortality. And every conclusion rests on one mountain range across 8 years and</w:t>
      </w:r>
      <w:r>
        <w:t xml:space="preserve"> </w:t>
      </w:r>
      <w:r>
        <w:t xml:space="preserve">59 epochs.</w:t>
      </w:r>
    </w:p>
    <w:bookmarkEnd w:id="67"/>
    <w:bookmarkEnd w:id="68"/>
    <w:bookmarkStart w:id="69"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was supported on this landscape at</w:t>
      </w:r>
      <w:r>
        <w:t xml:space="preserve"> </w:t>
      </w:r>
      <w:r>
        <w:t xml:space="preserve">the resolution the sensor and the insect share. Across 59 sixteen-day epochs,</w:t>
      </w:r>
      <w:r>
        <w:t xml:space="preserve"> </w:t>
      </w:r>
      <w:r>
        <w:t xml:space="preserve">stand density interacted negatively with terrain-resolved wind, -0.049 for stem</w:t>
      </w:r>
      <w:r>
        <w:t xml:space="preserve"> </w:t>
      </w:r>
      <w:r>
        <w:t xml:space="preserve">density and -0.017 for standing volume, and both survived a within-season spread</w:t>
      </w:r>
      <w:r>
        <w:t xml:space="preserve"> </w:t>
      </w:r>
      <w:r>
        <w:t xml:space="preserve">term. A dense canopy therefore confers less advantage on the beetle where and when wind</w:t>
      </w:r>
      <w:r>
        <w:t xml:space="preserve"> </w:t>
      </w:r>
      <w:r>
        <w:t xml:space="preserve">speed is higher, which is what a plume-disruption mechanism requires.</w:t>
      </w:r>
    </w:p>
    <w:p>
      <w:pPr>
        <w:pStyle w:val="BodyText"/>
      </w:pPr>
      <w:r>
        <w:t xml:space="preserve">Of the three mechanisms that proposal names, two were supported. Host density was supported</w:t>
      </w:r>
      <w:r>
        <w:t xml:space="preserve"> </w:t>
      </w:r>
      <w:r>
        <w:t xml:space="preserve">through stand basal area at +0.504, with live stems agreeing in sign and crown</w:t>
      </w:r>
      <w:r>
        <w:t xml:space="preserve"> </w:t>
      </w:r>
      <w:r>
        <w:t xml:space="preserve">closure alone running counter, and large-diameter host as a threshold at 25 to 30 cm rather</w:t>
      </w:r>
      <w:r>
        <w:t xml:space="preserve"> </w:t>
      </w:r>
      <w:r>
        <w:t xml:space="preserve">than as a gradient, at the source-sink boundary of</w:t>
      </w:r>
      <w:r>
        <w:t xml:space="preserve"> </w:t>
      </w:r>
      <w:r>
        <w:t xml:space="preserve">Carroll &amp; Safranyik (2004)</w:t>
      </w:r>
      <w:r>
        <w:t xml:space="preserve">. Topographic</w:t>
      </w:r>
      <w:r>
        <w:t xml:space="preserve"> </w:t>
      </w:r>
      <w:r>
        <w:t xml:space="preserve">shading was not supported, and it failed on a surrogate, because growing-season radiation</w:t>
      </w:r>
      <w:r>
        <w:t xml:space="preserve"> </w:t>
      </w:r>
      <w:r>
        <w:t xml:space="preserve">did not survive selection and northness stands in for the pathway at +0.305,</w:t>
      </w:r>
      <w:r>
        <w:t xml:space="preserve"> </w:t>
      </w:r>
      <w:r>
        <w:t xml:space="preserve">the two correlating -0.824.</w:t>
      </w:r>
    </w:p>
    <w:p>
      <w:pPr>
        <w:pStyle w:val="BodyText"/>
      </w:pPr>
      <w:r>
        <w:t xml:space="preserve">Two measurement results extend beyond this landscape, and both concern variables that appear</w:t>
      </w:r>
      <w:r>
        <w:t xml:space="preserve"> </w:t>
      </w:r>
      <w:r>
        <w:t xml:space="preserve">to measure one quantity while behaving as another.</w:t>
      </w:r>
    </w:p>
    <w:p>
      <w:pPr>
        <w:pStyle w:val="BodyText"/>
      </w:pPr>
      <w:r>
        <w:t xml:space="preserve">A terrain wind index is in part a measurement of incident radiation. Entering flight-window</w:t>
      </w:r>
      <w:r>
        <w:t xml:space="preserve"> </w:t>
      </w:r>
      <w:r>
        <w:t xml:space="preserve">radiation weakened the density by terrain-exposure interaction from -0.068 to</w:t>
      </w:r>
      <w:r>
        <w:t xml:space="preserve"> </w:t>
      </w:r>
      <w:r>
        <w:t xml:space="preserve">-0.040. On any range whose prevailing bearing places the windward slopes in the</w:t>
      </w:r>
      <w:r>
        <w:t xml:space="preserve"> </w:t>
      </w:r>
      <w:r>
        <w:t xml:space="preserve">afternoon sun, which is most of them, a study entering a windward-leeward index without a</w:t>
      </w:r>
      <w:r>
        <w:t xml:space="preserve"> </w:t>
      </w:r>
      <w:r>
        <w:t xml:space="preserve">radiation term on the same clock will attribute radiation to wind.</w:t>
      </w:r>
    </w:p>
    <w:p>
      <w:pPr>
        <w:pStyle w:val="BodyText"/>
      </w:pPr>
      <w:r>
        <w:t xml:space="preserve">A landform variable in a spreading outbreak in part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has whether or not the</w:t>
      </w:r>
      <w:r>
        <w:t xml:space="preserve"> </w:t>
      </w:r>
      <w:r>
        <w:t xml:space="preserve">beetle was ever present. Landform terms fitted without a contagion term are therefore not</w:t>
      </w:r>
      <w:r>
        <w:t xml:space="preserve"> </w:t>
      </w:r>
      <w:r>
        <w:t xml:space="preserve">measuring landform alone.</w:t>
      </w:r>
    </w:p>
    <w:bookmarkEnd w:id="69"/>
    <w:bookmarkStart w:id="70" w:name="acknowledgements"/>
    <w:p>
      <w:pPr>
        <w:pStyle w:val="Heading1"/>
      </w:pPr>
      <w:r>
        <w:t xml:space="preserve">7.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0"/>
    <w:bookmarkStart w:id="71" w:name="conflict-of-interest"/>
    <w:p>
      <w:pPr>
        <w:pStyle w:val="Heading1"/>
      </w:pPr>
      <w:r>
        <w:t xml:space="preserve">8. Conflict of interest</w:t>
      </w:r>
    </w:p>
    <w:p>
      <w:pPr>
        <w:pStyle w:val="FirstParagraph"/>
      </w:pPr>
      <w:r>
        <w:t xml:space="preserve">The author declares no conflict of interest.</w:t>
      </w:r>
    </w:p>
    <w:bookmarkEnd w:id="71"/>
    <w:bookmarkStart w:id="72" w:name="ethics-statement"/>
    <w:p>
      <w:pPr>
        <w:pStyle w:val="Heading1"/>
      </w:pPr>
      <w:r>
        <w:t xml:space="preserve">9.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2"/>
    <w:bookmarkStart w:id="73" w:name="author-contributions"/>
    <w:p>
      <w:pPr>
        <w:pStyle w:val="Heading1"/>
      </w:pPr>
      <w:r>
        <w:t xml:space="preserve">10.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3"/>
    <w:bookmarkStart w:id="75" w:name="data-availability"/>
    <w:p>
      <w:pPr>
        <w:pStyle w:val="Heading1"/>
      </w:pPr>
      <w:r>
        <w:t xml:space="preserve">11.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4">
        <w:r>
          <w:rPr>
            <w:rStyle w:val="Hyperlink"/>
          </w:rPr>
          <w:t xml:space="preserve">https://github.com/seamusrobertmurphy/beetle-topography-and-wind-study</w:t>
        </w:r>
      </w:hyperlink>
      <w:r>
        <w:t xml:space="preserve">.</w:t>
      </w:r>
    </w:p>
    <w:bookmarkEnd w:id="75"/>
    <w:bookmarkStart w:id="76" w:name="figure-legends"/>
    <w:p>
      <w:pPr>
        <w:pStyle w:val="Heading1"/>
      </w:pPr>
      <w:r>
        <w:t xml:space="preserve">12.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has its own north arrow and the same numerical scale,</w:t>
      </w:r>
      <w:r>
        <w:t xml:space="preserve"> </w:t>
      </w:r>
      <w:r>
        <w:t xml:space="preserve">1:150,000, which is correct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gtable_0.3.6        xfun_0.57           lattice_0.22-9     </w:t>
      </w:r>
      <w:r>
        <w:br/>
      </w:r>
      <w:r>
        <w:rPr>
          <w:rStyle w:val="VerbatimChar"/>
        </w:rPr>
        <w:t xml:space="preserve"> [4] vctrs_0.7.2         tools_4.4.1         generics_0.1.4     </w:t>
      </w:r>
      <w:r>
        <w:br/>
      </w:r>
      <w:r>
        <w:rPr>
          <w:rStyle w:val="VerbatimChar"/>
        </w:rPr>
        <w:t xml:space="preserve"> [7] tibble_3.3.1        proxy_0.4-29        pkgconfig_2.0.3    </w:t>
      </w:r>
      <w:r>
        <w:br/>
      </w:r>
      <w:r>
        <w:rPr>
          <w:rStyle w:val="VerbatimChar"/>
        </w:rPr>
        <w:t xml:space="preserve">[10] Matrix_1.7-5        KernSmooth_2.23-26  data.table_1.18.2.1</w:t>
      </w:r>
      <w:r>
        <w:br/>
      </w:r>
      <w:r>
        <w:rPr>
          <w:rStyle w:val="VerbatimChar"/>
        </w:rPr>
        <w:t xml:space="preserve">[13] RColorBrewer_1.1-3  S7_0.2.1            lifecycle_1.0.5    </w:t>
      </w:r>
      <w:r>
        <w:br/>
      </w:r>
      <w:r>
        <w:rPr>
          <w:rStyle w:val="VerbatimChar"/>
        </w:rPr>
        <w:t xml:space="preserve">[16] compiler_4.4.1      farver_2.1.2        codetools_0.2-20   </w:t>
      </w:r>
      <w:r>
        <w:br/>
      </w:r>
      <w:r>
        <w:rPr>
          <w:rStyle w:val="VerbatimChar"/>
        </w:rPr>
        <w:t xml:space="preserve">[19] htmltools_0.5.9     class_7.3-23        yaml_2.3.12        </w:t>
      </w:r>
      <w:r>
        <w:br/>
      </w:r>
      <w:r>
        <w:rPr>
          <w:rStyle w:val="VerbatimChar"/>
        </w:rPr>
        <w:t xml:space="preserve">[22] Formula_1.2-5       pillar_1.11.1       classInt_0.4-11    </w:t>
      </w:r>
      <w:r>
        <w:br/>
      </w:r>
      <w:r>
        <w:rPr>
          <w:rStyle w:val="VerbatimChar"/>
        </w:rPr>
        <w:t xml:space="preserve">[25] wk_0.9.5            abind_1.4-8         tidyselect_1.2.1   </w:t>
      </w:r>
      <w:r>
        <w:br/>
      </w:r>
      <w:r>
        <w:rPr>
          <w:rStyle w:val="VerbatimChar"/>
        </w:rPr>
        <w:t xml:space="preserve">[28] digest_0.6.39       purrr_1.2.1         labeling_0.4.3     </w:t>
      </w:r>
      <w:r>
        <w:br/>
      </w:r>
      <w:r>
        <w:rPr>
          <w:rStyle w:val="VerbatimChar"/>
        </w:rPr>
        <w:t xml:space="preserve">[31] splines_4.4.1       fastmap_1.2.0       grid_4.4.1         </w:t>
      </w:r>
      <w:r>
        <w:br/>
      </w:r>
      <w:r>
        <w:rPr>
          <w:rStyle w:val="VerbatimChar"/>
        </w:rPr>
        <w:t xml:space="preserve">[34] cli_3.6.5           magrittr_2.0.4      withr_3.0.2        </w:t>
      </w:r>
      <w:r>
        <w:br/>
      </w:r>
      <w:r>
        <w:rPr>
          <w:rStyle w:val="VerbatimChar"/>
        </w:rPr>
        <w:t xml:space="preserve">[37] scales_1.4.0        rmarkdown_2.30      otel_0.2.0         </w:t>
      </w:r>
      <w:r>
        <w:br/>
      </w:r>
      <w:r>
        <w:rPr>
          <w:rStyle w:val="VerbatimChar"/>
        </w:rPr>
        <w:t xml:space="preserve">[40] reticulate_1.45.0   png_0.1-9           evaluate_1.0.5     </w:t>
      </w:r>
      <w:r>
        <w:br/>
      </w:r>
      <w:r>
        <w:rPr>
          <w:rStyle w:val="VerbatimChar"/>
        </w:rPr>
        <w:t xml:space="preserve">[43] viridisLite_0.4.3   s2_1.1.9            rlang_1.1.7        </w:t>
      </w:r>
      <w:r>
        <w:br/>
      </w:r>
      <w:r>
        <w:rPr>
          <w:rStyle w:val="VerbatimChar"/>
        </w:rPr>
        <w:t xml:space="preserve">[46] Rcpp_1.1.1          glue_1.8.0          DBI_1.3.0          </w:t>
      </w:r>
      <w:r>
        <w:br/>
      </w:r>
      <w:r>
        <w:rPr>
          <w:rStyle w:val="VerbatimChar"/>
        </w:rPr>
        <w:t xml:space="preserve">[49] pROC_1.19.0.1       jsonlite_2.0.0      R6_2.6.1           </w:t>
      </w:r>
      <w:r>
        <w:br/>
      </w:r>
      <w:r>
        <w:rPr>
          <w:rStyle w:val="VerbatimChar"/>
        </w:rPr>
        <w:t xml:space="preserve">[52] units_1.0-1        </w:t>
      </w:r>
    </w:p>
    <w:bookmarkEnd w:id="76"/>
    <w:bookmarkStart w:id="117" w:name="references"/>
    <w:p>
      <w:pPr>
        <w:pStyle w:val="Heading1"/>
      </w:pPr>
      <w:r>
        <w:t xml:space="preserve">13. References</w:t>
      </w:r>
    </w:p>
    <w:bookmarkStart w:id="116" w:name="refs"/>
    <w:bookmarkStart w:id="78"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7">
        <w:r>
          <w:rPr>
            <w:rStyle w:val="Hyperlink"/>
          </w:rPr>
          <w:t xml:space="preserve">https://doi.org/10.1007/s10453-010-9176-9</w:t>
        </w:r>
      </w:hyperlink>
    </w:p>
    <w:bookmarkEnd w:id="78"/>
    <w:bookmarkStart w:id="80"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79">
        <w:r>
          <w:rPr>
            <w:rStyle w:val="Hyperlink"/>
          </w:rPr>
          <w:t xml:space="preserve">https://doi.org/10.1175/JAMC-D-13-0147.1</w:t>
        </w:r>
      </w:hyperlink>
    </w:p>
    <w:bookmarkEnd w:id="80"/>
    <w:bookmarkStart w:id="82"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1">
        <w:r>
          <w:rPr>
            <w:rStyle w:val="Hyperlink"/>
          </w:rPr>
          <w:t xml:space="preserve">https://doi.org/10.2737/int-rp-400</w:t>
        </w:r>
      </w:hyperlink>
    </w:p>
    <w:bookmarkEnd w:id="82"/>
    <w:bookmarkStart w:id="83"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3"/>
    <w:bookmarkStart w:id="85"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4">
        <w:r>
          <w:rPr>
            <w:rStyle w:val="Hyperlink"/>
          </w:rPr>
          <w:t xml:space="preserve">https://doi.org/10.3390/f9110715</w:t>
        </w:r>
      </w:hyperlink>
    </w:p>
    <w:bookmarkEnd w:id="85"/>
    <w:bookmarkStart w:id="87"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6">
        <w:r>
          <w:rPr>
            <w:rStyle w:val="Hyperlink"/>
          </w:rPr>
          <w:t xml:space="preserve">https://doi.org/10.1111/jen.13262</w:t>
        </w:r>
      </w:hyperlink>
    </w:p>
    <w:bookmarkEnd w:id="87"/>
    <w:bookmarkStart w:id="89"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88">
        <w:r>
          <w:rPr>
            <w:rStyle w:val="Hyperlink"/>
          </w:rPr>
          <w:t xml:space="preserve">https://doi.org/10.1175/BAMS-D-21-0075.1</w:t>
        </w:r>
      </w:hyperlink>
    </w:p>
    <w:bookmarkEnd w:id="89"/>
    <w:bookmarkStart w:id="91"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0">
        <w:r>
          <w:rPr>
            <w:rStyle w:val="Hyperlink"/>
          </w:rPr>
          <w:t xml:space="preserve">https://doi.org/10.1111/j.1439-0418.1972.tb01745.x</w:t>
        </w:r>
      </w:hyperlink>
    </w:p>
    <w:bookmarkEnd w:id="91"/>
    <w:bookmarkStart w:id="93"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2">
        <w:r>
          <w:rPr>
            <w:rStyle w:val="Hyperlink"/>
          </w:rPr>
          <w:t xml:space="preserve">https://doi.org/10.1007/s00442-022-05129-4</w:t>
        </w:r>
      </w:hyperlink>
    </w:p>
    <w:bookmarkEnd w:id="93"/>
    <w:bookmarkStart w:id="95"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4">
        <w:r>
          <w:rPr>
            <w:rStyle w:val="Hyperlink"/>
          </w:rPr>
          <w:t xml:space="preserve">https://doi.org/10.1139/X08-066</w:t>
        </w:r>
      </w:hyperlink>
    </w:p>
    <w:bookmarkEnd w:id="95"/>
    <w:bookmarkStart w:id="97"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6">
        <w:r>
          <w:rPr>
            <w:rStyle w:val="Hyperlink"/>
          </w:rPr>
          <w:t xml:space="preserve">https://doi.org/10.1139/cjfr-2018-0304</w:t>
        </w:r>
      </w:hyperlink>
    </w:p>
    <w:bookmarkEnd w:id="97"/>
    <w:bookmarkStart w:id="99"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98">
        <w:r>
          <w:rPr>
            <w:rStyle w:val="Hyperlink"/>
          </w:rPr>
          <w:t xml:space="preserve">https://doi.org/10.1002/fee.2190</w:t>
        </w:r>
      </w:hyperlink>
    </w:p>
    <w:bookmarkEnd w:id="99"/>
    <w:bookmarkStart w:id="101"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0">
        <w:r>
          <w:rPr>
            <w:rStyle w:val="Hyperlink"/>
          </w:rPr>
          <w:t xml:space="preserve">https://doi.org/10.1175/JHM486.1</w:t>
        </w:r>
      </w:hyperlink>
    </w:p>
    <w:bookmarkEnd w:id="101"/>
    <w:bookmarkStart w:id="103"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2">
        <w:r>
          <w:rPr>
            <w:rStyle w:val="Hyperlink"/>
          </w:rPr>
          <w:t xml:space="preserve">https://doi.org/10.1093/aesa/64.2.534</w:t>
        </w:r>
      </w:hyperlink>
    </w:p>
    <w:bookmarkEnd w:id="103"/>
    <w:bookmarkStart w:id="105"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4">
        <w:r>
          <w:rPr>
            <w:rStyle w:val="Hyperlink"/>
          </w:rPr>
          <w:t xml:space="preserve">https://doi.org/10.1111/j.1654-1103.2002.tb02087.x</w:t>
        </w:r>
      </w:hyperlink>
    </w:p>
    <w:bookmarkEnd w:id="105"/>
    <w:bookmarkStart w:id="107"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6">
        <w:r>
          <w:rPr>
            <w:rStyle w:val="Hyperlink"/>
          </w:rPr>
          <w:t xml:space="preserve">https://doi.org/10.1016/j.foreco.2026.123985</w:t>
        </w:r>
      </w:hyperlink>
    </w:p>
    <w:bookmarkEnd w:id="107"/>
    <w:bookmarkStart w:id="109"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08">
        <w:r>
          <w:rPr>
            <w:rStyle w:val="Hyperlink"/>
          </w:rPr>
          <w:t xml:space="preserve">https://open.canada.ca/data/en/dataset/957782bf-847c-4644-a757-e383c0057995</w:t>
        </w:r>
      </w:hyperlink>
    </w:p>
    <w:bookmarkEnd w:id="109"/>
    <w:bookmarkStart w:id="111"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0">
        <w:r>
          <w:rPr>
            <w:rStyle w:val="Hyperlink"/>
          </w:rPr>
          <w:t xml:space="preserve">https://doi.org/10.1016/j.ecolmodel.2013.10.034</w:t>
        </w:r>
      </w:hyperlink>
    </w:p>
    <w:bookmarkEnd w:id="111"/>
    <w:bookmarkStart w:id="112"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2"/>
    <w:bookmarkStart w:id="114"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3">
        <w:r>
          <w:rPr>
            <w:rStyle w:val="Hyperlink"/>
          </w:rPr>
          <w:t xml:space="preserve">https://doi.org/10.1079/PAVSNNR202116018</w:t>
        </w:r>
      </w:hyperlink>
    </w:p>
    <w:bookmarkEnd w:id="114"/>
    <w:bookmarkStart w:id="115"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5"/>
    <w:bookmarkEnd w:id="116"/>
    <w:bookmarkEnd w:id="117"/>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98" Target="https://doi.org/10.1002/fee.2190" TargetMode="External" /><Relationship Type="http://schemas.openxmlformats.org/officeDocument/2006/relationships/hyperlink" Id="rId92" Target="https://doi.org/10.1007/s00442-022-05129-4" TargetMode="External" /><Relationship Type="http://schemas.openxmlformats.org/officeDocument/2006/relationships/hyperlink" Id="rId77" Target="https://doi.org/10.1007/s10453-010-9176-9" TargetMode="External" /><Relationship Type="http://schemas.openxmlformats.org/officeDocument/2006/relationships/hyperlink" Id="rId110" Target="https://doi.org/10.1016/j.ecolmodel.2013.10.034" TargetMode="External" /><Relationship Type="http://schemas.openxmlformats.org/officeDocument/2006/relationships/hyperlink" Id="rId106" Target="https://doi.org/10.1016/j.foreco.2026.123985" TargetMode="External" /><Relationship Type="http://schemas.openxmlformats.org/officeDocument/2006/relationships/hyperlink" Id="rId113" Target="https://doi.org/10.1079/PAVSNNR202116018" TargetMode="External" /><Relationship Type="http://schemas.openxmlformats.org/officeDocument/2006/relationships/hyperlink" Id="rId102" Target="https://doi.org/10.1093/aesa/64.2.534" TargetMode="External" /><Relationship Type="http://schemas.openxmlformats.org/officeDocument/2006/relationships/hyperlink" Id="rId90" Target="https://doi.org/10.1111/j.1439-0418.1972.tb01745.x" TargetMode="External" /><Relationship Type="http://schemas.openxmlformats.org/officeDocument/2006/relationships/hyperlink" Id="rId104" Target="https://doi.org/10.1111/j.1654-1103.2002.tb02087.x" TargetMode="External" /><Relationship Type="http://schemas.openxmlformats.org/officeDocument/2006/relationships/hyperlink" Id="rId86" Target="https://doi.org/10.1111/jen.13262" TargetMode="External" /><Relationship Type="http://schemas.openxmlformats.org/officeDocument/2006/relationships/hyperlink" Id="rId94" Target="https://doi.org/10.1139/X08-066" TargetMode="External" /><Relationship Type="http://schemas.openxmlformats.org/officeDocument/2006/relationships/hyperlink" Id="rId96" Target="https://doi.org/10.1139/cjfr-2018-0304" TargetMode="External" /><Relationship Type="http://schemas.openxmlformats.org/officeDocument/2006/relationships/hyperlink" Id="rId88" Target="https://doi.org/10.1175/BAMS-D-21-0075.1" TargetMode="External" /><Relationship Type="http://schemas.openxmlformats.org/officeDocument/2006/relationships/hyperlink" Id="rId79" Target="https://doi.org/10.1175/JAMC-D-13-0147.1" TargetMode="External" /><Relationship Type="http://schemas.openxmlformats.org/officeDocument/2006/relationships/hyperlink" Id="rId100" Target="https://doi.org/10.1175/JHM486.1" TargetMode="External" /><Relationship Type="http://schemas.openxmlformats.org/officeDocument/2006/relationships/hyperlink" Id="rId81" Target="https://doi.org/10.2737/int-rp-400" TargetMode="External" /><Relationship Type="http://schemas.openxmlformats.org/officeDocument/2006/relationships/hyperlink" Id="rId84" Target="https://doi.org/10.3390/f9110715" TargetMode="External" /><Relationship Type="http://schemas.openxmlformats.org/officeDocument/2006/relationships/hyperlink" Id="rId74" Target="https://github.com/seamusrobertmurphy/beetle-topography-and-wind-study" TargetMode="External" /><Relationship Type="http://schemas.openxmlformats.org/officeDocument/2006/relationships/hyperlink" Id="rId108"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8" Target="https://doi.org/10.1002/fee.2190" TargetMode="External" /><Relationship Type="http://schemas.openxmlformats.org/officeDocument/2006/relationships/hyperlink" Id="rId92" Target="https://doi.org/10.1007/s00442-022-05129-4" TargetMode="External" /><Relationship Type="http://schemas.openxmlformats.org/officeDocument/2006/relationships/hyperlink" Id="rId77" Target="https://doi.org/10.1007/s10453-010-9176-9" TargetMode="External" /><Relationship Type="http://schemas.openxmlformats.org/officeDocument/2006/relationships/hyperlink" Id="rId110" Target="https://doi.org/10.1016/j.ecolmodel.2013.10.034" TargetMode="External" /><Relationship Type="http://schemas.openxmlformats.org/officeDocument/2006/relationships/hyperlink" Id="rId106" Target="https://doi.org/10.1016/j.foreco.2026.123985" TargetMode="External" /><Relationship Type="http://schemas.openxmlformats.org/officeDocument/2006/relationships/hyperlink" Id="rId113" Target="https://doi.org/10.1079/PAVSNNR202116018" TargetMode="External" /><Relationship Type="http://schemas.openxmlformats.org/officeDocument/2006/relationships/hyperlink" Id="rId102" Target="https://doi.org/10.1093/aesa/64.2.534" TargetMode="External" /><Relationship Type="http://schemas.openxmlformats.org/officeDocument/2006/relationships/hyperlink" Id="rId90" Target="https://doi.org/10.1111/j.1439-0418.1972.tb01745.x" TargetMode="External" /><Relationship Type="http://schemas.openxmlformats.org/officeDocument/2006/relationships/hyperlink" Id="rId104" Target="https://doi.org/10.1111/j.1654-1103.2002.tb02087.x" TargetMode="External" /><Relationship Type="http://schemas.openxmlformats.org/officeDocument/2006/relationships/hyperlink" Id="rId86" Target="https://doi.org/10.1111/jen.13262" TargetMode="External" /><Relationship Type="http://schemas.openxmlformats.org/officeDocument/2006/relationships/hyperlink" Id="rId94" Target="https://doi.org/10.1139/X08-066" TargetMode="External" /><Relationship Type="http://schemas.openxmlformats.org/officeDocument/2006/relationships/hyperlink" Id="rId96" Target="https://doi.org/10.1139/cjfr-2018-0304" TargetMode="External" /><Relationship Type="http://schemas.openxmlformats.org/officeDocument/2006/relationships/hyperlink" Id="rId88" Target="https://doi.org/10.1175/BAMS-D-21-0075.1" TargetMode="External" /><Relationship Type="http://schemas.openxmlformats.org/officeDocument/2006/relationships/hyperlink" Id="rId79" Target="https://doi.org/10.1175/JAMC-D-13-0147.1" TargetMode="External" /><Relationship Type="http://schemas.openxmlformats.org/officeDocument/2006/relationships/hyperlink" Id="rId100" Target="https://doi.org/10.1175/JHM486.1" TargetMode="External" /><Relationship Type="http://schemas.openxmlformats.org/officeDocument/2006/relationships/hyperlink" Id="rId81" Target="https://doi.org/10.2737/int-rp-400" TargetMode="External" /><Relationship Type="http://schemas.openxmlformats.org/officeDocument/2006/relationships/hyperlink" Id="rId84" Target="https://doi.org/10.3390/f9110715" TargetMode="External" /><Relationship Type="http://schemas.openxmlformats.org/officeDocument/2006/relationships/hyperlink" Id="rId74" Target="https://github.com/seamusrobertmurphy/beetle-topography-and-wind-study" TargetMode="External" /><Relationship Type="http://schemas.openxmlformats.org/officeDocument/2006/relationships/hyperlink" Id="rId108"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dcterms:created xsi:type="dcterms:W3CDTF">2026-08-31T23:06:42Z</dcterms:created>
  <dcterms:modified xsi:type="dcterms:W3CDTF">2026-08-31T23:06:42Z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