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Associate Editor</w:t>
      </w:r>
    </w:p>
    <w:p>
      <w:pPr>
        <w:pStyle w:val="Subtitle"/>
      </w:pPr>
      <w:r>
        <w:t xml:space="preserve">AFE(2026)5804, resubmitted as a new manuscript</w:t>
      </w:r>
    </w:p>
    <w:p>
      <w:pPr>
        <w:pStyle w:val="FirstParagraph"/>
      </w:pPr>
      <w:r>
        <w:t xml:space="preserve">Dear Dr Ranger and Dr MacQuarrie,</w:t>
      </w:r>
    </w:p>
    <w:p>
      <w:pPr>
        <w:pStyle w:val="BodyText"/>
      </w:pPr>
      <w:r>
        <w:t xml:space="preserve">Thank you for the decision of 22 September 2026 and for the invitation to resubmit. Each comment is quoted below as it appeared in the decision email, followed by what was done and where in the revised manuscript it can be found. Section numbers refer to the revised manuscript. The submitted manuscript also misread the sign of its main wind result, two defects in its data were repaired during the revision, and several findings changed as a result. The correction, the repairs, and which findings held and which changed, are set out after the responses so that nothing in the new manuscript arrives unannounced.</w:t>
      </w:r>
    </w:p>
    <w:bookmarkStart w:id="20" w:name="editor-in-chief"/>
    <w:p>
      <w:pPr>
        <w:pStyle w:val="Heading1"/>
      </w:pPr>
      <w:r>
        <w:t xml:space="preserve">Editor-in-Chief</w:t>
      </w:r>
    </w:p>
    <w:p>
      <w:pPr>
        <w:pStyle w:val="FirstParagraph"/>
      </w:pPr>
      <w:r>
        <w:rPr>
          <w:b/>
          <w:bCs/>
        </w:rPr>
        <w:t xml:space="preserve">Comment 1.</w:t>
      </w:r>
      <w:r>
        <w:t xml:space="preserve"> </w:t>
      </w:r>
      <w:r>
        <w:t xml:space="preserve">“I agree with the Associate Editor that the manuscript is within the scope of AFE, but the Introduction and Discussion need to be thoroughly revised to include existing literature.”</w:t>
      </w:r>
    </w:p>
    <w:p>
      <w:pPr>
        <w:pStyle w:val="BodyText"/>
      </w:pPr>
      <w:r>
        <w:rPr>
          <w:b/>
          <w:bCs/>
        </w:rPr>
        <w:t xml:space="preserve">Response.</w:t>
      </w:r>
      <w:r>
        <w:t xml:space="preserve"> </w:t>
      </w:r>
      <w:r>
        <w:t xml:space="preserve">The literature was gathered in two searches under written protocols, on 23 and 24 September 2026, which screened 1,257 and 4,430 unique records, and the reference list grew from 30 to 84 works. The Introduction (section 1) was rewritten on that literature. It opens with the beetle as a native disturbance agent of pine forests and the history of its outbreaks</w:t>
      </w:r>
      <w:r>
        <w:t xml:space="preserve"> </w:t>
      </w:r>
      <w:r>
        <w:t xml:space="preserve">(Jarvis &amp; Kulakowski, 2015; Taylor et al., 2006; Taylor &amp; Carroll, 2003)</w:t>
      </w:r>
      <w:r>
        <w:t xml:space="preserve">, and then defines disturbance refugia and the three mechanisms proposed for them</w:t>
      </w:r>
      <w:r>
        <w:t xml:space="preserve"> </w:t>
      </w:r>
      <w:r>
        <w:t xml:space="preserve">(Cartwright, 2018; Krawchuk et al., 2020)</w:t>
      </w:r>
      <w:r>
        <w:t xml:space="preserve">. It sets out the biology each mechanism rests on, where pioneer beetles land</w:t>
      </w:r>
      <w:r>
        <w:t xml:space="preserve"> </w:t>
      </w:r>
      <w:r>
        <w:t xml:space="preserve">(Hynum &amp; Berryman, 1980)</w:t>
      </w:r>
      <w:r>
        <w:t xml:space="preserve">, how a mass attack overcomes the defences of a tree and the threshold at which it does so</w:t>
      </w:r>
      <w:r>
        <w:t xml:space="preserve"> </w:t>
      </w:r>
      <w:r>
        <w:t xml:space="preserve">(Boone et al., 2011; Raffa &amp; Berryman, 1983)</w:t>
      </w:r>
      <w:r>
        <w:t xml:space="preserve">, why large trees are the better hosts</w:t>
      </w:r>
      <w:r>
        <w:t xml:space="preserve"> </w:t>
      </w:r>
      <w:r>
        <w:t xml:space="preserve">(Carroll &amp; Safranyik, 2004)</w:t>
      </w:r>
      <w:r>
        <w:t xml:space="preserve">, how cold, the synchrony of flight and drought act on outbreaks</w:t>
      </w:r>
      <w:r>
        <w:t xml:space="preserve"> </w:t>
      </w:r>
      <w:r>
        <w:t xml:space="preserve">(Bleiker &amp; Van Hezewijk, 2016; Chapman et al., 2012; Preisler et al., 2012)</w:t>
      </w:r>
      <w:r>
        <w:t xml:space="preserve">, and how beetles disperse within and between stands</w:t>
      </w:r>
      <w:r>
        <w:t xml:space="preserve"> </w:t>
      </w:r>
      <w:r>
        <w:t xml:space="preserve">(Aukema et al., 2008; Robertson et al., 2007; Safranyik et al., 1989; Safranyik et al., 1992)</w:t>
      </w:r>
      <w:r>
        <w:t xml:space="preserve">. The thinning trials and stand measurements behind the density mechanism follow</w:t>
      </w:r>
      <w:r>
        <w:t xml:space="preserve"> </w:t>
      </w:r>
      <w:r>
        <w:t xml:space="preserve">(Anhold &amp; Jenkins, 1987; Bartos &amp; Amman, 1989; Mitchell et al., 1983; Preisler &amp; Mitchell, 1993)</w:t>
      </w:r>
      <w:r>
        <w:t xml:space="preserve">, then the two ways wind could act, by breaking up the pheromone plume or by depositing beetles where it slows</w:t>
      </w:r>
      <w:r>
        <w:t xml:space="preserve"> </w:t>
      </w:r>
      <w:r>
        <w:t xml:space="preserve">(de la Giroday et al., 2011)</w:t>
      </w:r>
      <w:r>
        <w:t xml:space="preserve">, and the three questions close the section. The Discussion was rewritten from the start, as described under comment 4.</w:t>
      </w:r>
    </w:p>
    <w:p>
      <w:pPr>
        <w:pStyle w:val="BodyText"/>
      </w:pPr>
      <w:r>
        <w:rPr>
          <w:b/>
          <w:bCs/>
        </w:rPr>
        <w:t xml:space="preserve">Comment 2.</w:t>
      </w:r>
      <w:r>
        <w:t xml:space="preserve"> </w:t>
      </w:r>
      <w:r>
        <w:t xml:space="preserve">“In addition, the novelty of the study needs to be explicitly stated since numerous modelling papers are submitted to AFE and we have limited room.”</w:t>
      </w:r>
    </w:p>
    <w:p>
      <w:pPr>
        <w:pStyle w:val="BodyText"/>
      </w:pPr>
      <w:r>
        <w:rPr>
          <w:b/>
          <w:bCs/>
        </w:rPr>
        <w:t xml:space="preserve">Response.</w:t>
      </w:r>
      <w:r>
        <w:t xml:space="preserve"> </w:t>
      </w:r>
      <w:r>
        <w:t xml:space="preserve">The novelty is stated as what the study did rather than as a claim about what no one else has done. The first statement of the abstract names the gap, how little is known about how the three mechanisms act together once attack nearby and earlier is taken into account. The Introduction (section 1) then sets out how earlier models entered each part of the design. Terrain entered landscape models of the outbreak as elevation, slope and aspect</w:t>
      </w:r>
      <w:r>
        <w:t xml:space="preserve"> </w:t>
      </w:r>
      <w:r>
        <w:t xml:space="preserve">(Walter &amp; Platt, 2013; Wulder et al., 2006)</w:t>
      </w:r>
      <w:r>
        <w:t xml:space="preserve">, a machine-learning model described wind by a mean of daily station wind for July and August</w:t>
      </w:r>
      <w:r>
        <w:t xml:space="preserve"> </w:t>
      </w:r>
      <w:r>
        <w:t xml:space="preserve">(Ramazi et al., 2021)</w:t>
      </w:r>
      <w:r>
        <w:t xml:space="preserve">, and models of flight above the canopy resolved wind over terrain but not within the stand</w:t>
      </w:r>
      <w:r>
        <w:t xml:space="preserve"> </w:t>
      </w:r>
      <w:r>
        <w:t xml:space="preserve">(Ainslie &amp; Jackson, 2010; Jackson et al., 2008)</w:t>
      </w:r>
      <w:r>
        <w:t xml:space="preserve">. Against that, this study tested the three mechanisms together on one landscape, with attack nearby and in the previous year in every model, and it tested the two ways wind could act, plume disruption with a terrain-adjusted wind field over the afternoon flight hours of each sixteen-day period, and deposition with a wind shelter index computed from the terrain (sections 1 and 2.3). It also split the terrain ruggedness of the companion study</w:t>
      </w:r>
      <w:r>
        <w:t xml:space="preserve"> </w:t>
      </w:r>
      <w:r>
        <w:t xml:space="preserve">(Murphy et al., 2026)</w:t>
      </w:r>
      <w:r>
        <w:t xml:space="preserve">, which had the largest coefficient of any variable on seedling density there, into the properties of the ground that the biology of the beetle concerns, and kept ruggedness as a candidate so that the split was tested rather than assumed (section 2.1).</w:t>
      </w:r>
    </w:p>
    <w:bookmarkEnd w:id="20"/>
    <w:bookmarkStart w:id="21" w:name="associate-editor"/>
    <w:p>
      <w:pPr>
        <w:pStyle w:val="Heading1"/>
      </w:pPr>
      <w:r>
        <w:t xml:space="preserve">Associate Editor</w:t>
      </w:r>
    </w:p>
    <w:p>
      <w:pPr>
        <w:pStyle w:val="FirstParagraph"/>
      </w:pPr>
      <w:r>
        <w:rPr>
          <w:b/>
          <w:bCs/>
        </w:rPr>
        <w:t xml:space="preserve">Comment 3.</w:t>
      </w:r>
      <w:r>
        <w:t xml:space="preserve"> </w:t>
      </w:r>
      <w:r>
        <w:t xml:space="preserve">“I am, however, concerned that the arguments in the introduction and discussion are not well supported or linked to the (admittedly vast) literature on MPB.”</w:t>
      </w:r>
    </w:p>
    <w:p>
      <w:pPr>
        <w:pStyle w:val="BodyText"/>
      </w:pPr>
      <w:r>
        <w:rPr>
          <w:b/>
          <w:bCs/>
        </w:rPr>
        <w:t xml:space="preserve">Response.</w:t>
      </w:r>
      <w:r>
        <w:t xml:space="preserve"> </w:t>
      </w:r>
      <w:r>
        <w:t xml:space="preserve">Every argument in the Introduction now rests on named studies of this beetle, as set out under comment 1, and each of the three questions is derived from them. The first question follows the mechanisms proposed by</w:t>
      </w:r>
      <w:r>
        <w:t xml:space="preserve"> </w:t>
      </w:r>
      <w:r>
        <w:t xml:space="preserve">Krawchuk et al. (2020)</w:t>
      </w:r>
      <w:r>
        <w:t xml:space="preserve"> </w:t>
      </w:r>
      <w:r>
        <w:t xml:space="preserve">and the refugia</w:t>
      </w:r>
      <w:r>
        <w:t xml:space="preserve"> </w:t>
      </w:r>
      <w:r>
        <w:t xml:space="preserve">Cartwright (2018)</w:t>
      </w:r>
      <w:r>
        <w:t xml:space="preserve"> </w:t>
      </w:r>
      <w:r>
        <w:t xml:space="preserve">mapped in southern Oregon, with the thinning trials behind stand density and the 25 cm diameter at which</w:t>
      </w:r>
      <w:r>
        <w:t xml:space="preserve"> </w:t>
      </w:r>
      <w:r>
        <w:t xml:space="preserve">Carroll &amp; Safranyik (2004)</w:t>
      </w:r>
      <w:r>
        <w:t xml:space="preserve"> </w:t>
      </w:r>
      <w:r>
        <w:t xml:space="preserve">placed the change from beetle sink to beetle source behind host size. The second follows</w:t>
      </w:r>
      <w:r>
        <w:t xml:space="preserve"> </w:t>
      </w:r>
      <w:r>
        <w:t xml:space="preserve">Bartos &amp; Amman (1989)</w:t>
      </w:r>
      <w:r>
        <w:t xml:space="preserve">, who measured more light, warmth and wind in a thinned stand than in the unthinned stand beside it. The third follows the finding of</w:t>
      </w:r>
      <w:r>
        <w:t xml:space="preserve"> </w:t>
      </w:r>
      <w:r>
        <w:t xml:space="preserve">Hynum &amp; Berryman (1980)</w:t>
      </w:r>
      <w:r>
        <w:t xml:space="preserve"> </w:t>
      </w:r>
      <w:r>
        <w:t xml:space="preserve">that pioneer beetles could not tell hosts from non-hosts while landing, and the settlement of beetles where wind slows</w:t>
      </w:r>
      <w:r>
        <w:t xml:space="preserve"> </w:t>
      </w:r>
      <w:r>
        <w:t xml:space="preserve">(de la Giroday et al., 2011)</w:t>
      </w:r>
      <w:r>
        <w:t xml:space="preserve">. The terms for attack nearby and in the previous year, entered in every model, follow</w:t>
      </w:r>
      <w:r>
        <w:t xml:space="preserve"> </w:t>
      </w:r>
      <w:r>
        <w:t xml:space="preserve">Aukema et al. (2008)</w:t>
      </w:r>
      <w:r>
        <w:t xml:space="preserve">,</w:t>
      </w:r>
      <w:r>
        <w:t xml:space="preserve"> </w:t>
      </w:r>
      <w:r>
        <w:t xml:space="preserve">Robertson et al. (2007)</w:t>
      </w:r>
      <w:r>
        <w:t xml:space="preserve"> </w:t>
      </w:r>
      <w:r>
        <w:t xml:space="preserve">and</w:t>
      </w:r>
      <w:r>
        <w:t xml:space="preserve"> </w:t>
      </w:r>
      <w:r>
        <w:t xml:space="preserve">Kunegel-Lion &amp; Lewis (2020)</w:t>
      </w:r>
      <w:r>
        <w:t xml:space="preserve">.</w:t>
      </w:r>
    </w:p>
    <w:p>
      <w:pPr>
        <w:pStyle w:val="BodyText"/>
      </w:pPr>
      <w:r>
        <w:rPr>
          <w:b/>
          <w:bCs/>
        </w:rPr>
        <w:t xml:space="preserve">Comment 4.</w:t>
      </w:r>
      <w:r>
        <w:t xml:space="preserve"> </w:t>
      </w:r>
      <w:r>
        <w:t xml:space="preserve">“My initial impression is that the Discussion reiterates what has already been stated in the results.”</w:t>
      </w:r>
    </w:p>
    <w:p>
      <w:pPr>
        <w:pStyle w:val="BodyText"/>
      </w:pPr>
      <w:r>
        <w:rPr>
          <w:b/>
          <w:bCs/>
        </w:rPr>
        <w:t xml:space="preserve">Response.</w:t>
      </w:r>
      <w:r>
        <w:t xml:space="preserve"> </w:t>
      </w:r>
      <w:r>
        <w:t xml:space="preserve">The Discussion (section 4) was rewritten in seven sections, each of which sets a result against prior work on the beetle, and coefficients are repeated only where the argument needs them. Section 4.1 reads the dominance of attack nearby and the year before against</w:t>
      </w:r>
      <w:r>
        <w:t xml:space="preserve"> </w:t>
      </w:r>
      <w:r>
        <w:t xml:space="preserve">Aukema et al. (2008)</w:t>
      </w:r>
      <w:r>
        <w:t xml:space="preserve"> </w:t>
      </w:r>
      <w:r>
        <w:t xml:space="preserve">on the Chilcotin Plateau, the 140 m over which previous attack raised attack in Colorado</w:t>
      </w:r>
      <w:r>
        <w:t xml:space="preserve"> </w:t>
      </w:r>
      <w:r>
        <w:t xml:space="preserve">(Walter &amp; Platt, 2013)</w:t>
      </w:r>
      <w:r>
        <w:t xml:space="preserve">, dispersal under the canopy</w:t>
      </w:r>
      <w:r>
        <w:t xml:space="preserve"> </w:t>
      </w:r>
      <w:r>
        <w:t xml:space="preserve">(Safranyik et al., 2010)</w:t>
      </w:r>
      <w:r>
        <w:t xml:space="preserve"> </w:t>
      </w:r>
      <w:r>
        <w:t xml:space="preserve">and the late phase of the outbreak</w:t>
      </w:r>
      <w:r>
        <w:t xml:space="preserve"> </w:t>
      </w:r>
      <w:r>
        <w:t xml:space="preserve">(Meddens &amp; Hicke, 2014)</w:t>
      </w:r>
      <w:r>
        <w:t xml:space="preserve">. Section 4.2 reads the host result against the stand susceptibility rating used in British Columbia</w:t>
      </w:r>
      <w:r>
        <w:t xml:space="preserve"> </w:t>
      </w:r>
      <w:r>
        <w:t xml:space="preserve">(Shore et al., 2000)</w:t>
      </w:r>
      <w:r>
        <w:t xml:space="preserve">, the thinning trials, the history of the province’s pine</w:t>
      </w:r>
      <w:r>
        <w:t xml:space="preserve"> </w:t>
      </w:r>
      <w:r>
        <w:t xml:space="preserve">(Taylor &amp; Carroll, 2003)</w:t>
      </w:r>
      <w:r>
        <w:t xml:space="preserve">, the dependence of brood production on phloem thickness</w:t>
      </w:r>
      <w:r>
        <w:t xml:space="preserve"> </w:t>
      </w:r>
      <w:r>
        <w:t xml:space="preserve">(Amman, 1972)</w:t>
      </w:r>
      <w:r>
        <w:t xml:space="preserve"> </w:t>
      </w:r>
      <w:r>
        <w:t xml:space="preserve">and the 25 cm boundary between beetle sinks and sources</w:t>
      </w:r>
      <w:r>
        <w:t xml:space="preserve"> </w:t>
      </w:r>
      <w:r>
        <w:t xml:space="preserve">(Carroll &amp; Safranyik, 2004)</w:t>
      </w:r>
      <w:r>
        <w:t xml:space="preserve">. Section 4.3 sets out three explanations for more attack on higher ground, where the pine grew</w:t>
      </w:r>
      <w:r>
        <w:t xml:space="preserve"> </w:t>
      </w:r>
      <w:r>
        <w:t xml:space="preserve">(Wulder et al., 2006)</w:t>
      </w:r>
      <w:r>
        <w:t xml:space="preserve">, the phase of the outbreak</w:t>
      </w:r>
      <w:r>
        <w:t xml:space="preserve"> </w:t>
      </w:r>
      <w:r>
        <w:t xml:space="preserve">(Walter &amp; Platt, 2013)</w:t>
      </w:r>
      <w:r>
        <w:t xml:space="preserve"> </w:t>
      </w:r>
      <w:r>
        <w:t xml:space="preserve">and a milder climate</w:t>
      </w:r>
      <w:r>
        <w:t xml:space="preserve"> </w:t>
      </w:r>
      <w:r>
        <w:t xml:space="preserve">(Macias Fauria &amp; Johnson, 2009)</w:t>
      </w:r>
      <w:r>
        <w:t xml:space="preserve">. Section 4.4 reads the aspect result against the reverse pattern found elsewhere</w:t>
      </w:r>
      <w:r>
        <w:t xml:space="preserve"> </w:t>
      </w:r>
      <w:r>
        <w:t xml:space="preserve">(Kaiser et al., 2012; Nelson et al., 2007; Walter &amp; Platt, 2013)</w:t>
      </w:r>
      <w:r>
        <w:t xml:space="preserve"> </w:t>
      </w:r>
      <w:r>
        <w:t xml:space="preserve">and the rise in flight with light intensity</w:t>
      </w:r>
      <w:r>
        <w:t xml:space="preserve"> </w:t>
      </w:r>
      <w:r>
        <w:t xml:space="preserve">(Safranyik &amp; Carroll, 2006)</w:t>
      </w:r>
      <w:r>
        <w:t xml:space="preserve">. Section 4.5 explains why plume disruption could not be shown, from the stand measurements it rests on</w:t>
      </w:r>
      <w:r>
        <w:t xml:space="preserve"> </w:t>
      </w:r>
      <w:r>
        <w:t xml:space="preserve">(Bartos &amp; Amman, 1989; Thistle et al., 2004)</w:t>
      </w:r>
      <w:r>
        <w:t xml:space="preserve">, the finding that pheromones from adjacent unmanaged stands may override the benefit of spacing</w:t>
      </w:r>
      <w:r>
        <w:t xml:space="preserve"> </w:t>
      </w:r>
      <w:r>
        <w:t xml:space="preserve">(Schmid &amp; Mata, 2005)</w:t>
      </w:r>
      <w:r>
        <w:t xml:space="preserve">, and wind above the canopy carrying beetles into new stands</w:t>
      </w:r>
      <w:r>
        <w:t xml:space="preserve"> </w:t>
      </w:r>
      <w:r>
        <w:t xml:space="preserve">(Chen &amp; Jackson, 2017; Jackson et al., 2008)</w:t>
      </w:r>
      <w:r>
        <w:t xml:space="preserve">. Section 4.6 reads the terrain result as deposition</w:t>
      </w:r>
      <w:r>
        <w:t xml:space="preserve"> </w:t>
      </w:r>
      <w:r>
        <w:t xml:space="preserve">(Byers, 2000; de la Giroday et al., 2011)</w:t>
      </w:r>
      <w:r>
        <w:t xml:space="preserve"> </w:t>
      </w:r>
      <w:r>
        <w:t xml:space="preserve">and takes up the scale of inference</w:t>
      </w:r>
      <w:r>
        <w:t xml:space="preserve"> </w:t>
      </w:r>
      <w:r>
        <w:t xml:space="preserve">Aukema et al. (2008)</w:t>
      </w:r>
      <w:r>
        <w:t xml:space="preserve"> </w:t>
      </w:r>
      <w:r>
        <w:t xml:space="preserve">raised, and section 4.7 sets out the limits of the study and what it means for management.</w:t>
      </w:r>
    </w:p>
    <w:p>
      <w:pPr>
        <w:pStyle w:val="BodyText"/>
      </w:pPr>
      <w:r>
        <w:rPr>
          <w:b/>
          <w:bCs/>
        </w:rPr>
        <w:t xml:space="preserve">Comment 5.</w:t>
      </w:r>
      <w:r>
        <w:t xml:space="preserve"> </w:t>
      </w:r>
      <w:r>
        <w:t xml:space="preserve">“Their revised discussion should link the author’s findings to the biology, ecology or management of the MPB system.”</w:t>
      </w:r>
    </w:p>
    <w:p>
      <w:pPr>
        <w:pStyle w:val="BodyText"/>
      </w:pPr>
      <w:r>
        <w:rPr>
          <w:b/>
          <w:bCs/>
        </w:rPr>
        <w:t xml:space="preserve">Response.</w:t>
      </w:r>
      <w:r>
        <w:t xml:space="preserve"> </w:t>
      </w:r>
      <w:r>
        <w:t xml:space="preserve">Each section of the Discussion reads a result through the beetle rather than through the model. The biology appears in sections 4.1, 4.2, 4.4 and 4.5, through dispersal under the canopy, the dependence of brood production on phloem thickness, the rise in flight with light intensity and the fading of attacked crowns in the summer after attack</w:t>
      </w:r>
      <w:r>
        <w:t xml:space="preserve"> </w:t>
      </w:r>
      <w:r>
        <w:t xml:space="preserve">(Safranyik &amp; Carroll, 2006)</w:t>
      </w:r>
      <w:r>
        <w:t xml:space="preserve">. The ecology appears in sections 4.2, 4.3 and 4.6, through the age structure of the province’s pine, the climate of high ground and the change in what predicts attack as an outbreak progresses</w:t>
      </w:r>
      <w:r>
        <w:t xml:space="preserve"> </w:t>
      </w:r>
      <w:r>
        <w:t xml:space="preserve">(Walter &amp; Platt, 2013)</w:t>
      </w:r>
      <w:r>
        <w:t xml:space="preserve">. Management appears in section 4.7, which states that the refugia this landscape showed were stands with little host, the structure that thinning and a younger age structure produce, and that terrain maps alone could not locate them. It sets that finding against the rating under which partial cutting lowers the susceptibility of a stand</w:t>
      </w:r>
      <w:r>
        <w:t xml:space="preserve"> </w:t>
      </w:r>
      <w:r>
        <w:t xml:space="preserve">(Mata et al., 2003; Shore et al., 2000)</w:t>
      </w:r>
      <w:r>
        <w:t xml:space="preserve">, the advice to manage on a landscape basis because small cut parcels surrounded by unmanaged stands may not be protected</w:t>
      </w:r>
      <w:r>
        <w:t xml:space="preserve"> </w:t>
      </w:r>
      <w:r>
        <w:t xml:space="preserve">(Schmid &amp; Mata, 2005)</w:t>
      </w:r>
      <w:r>
        <w:t xml:space="preserve">, and the conclusion of</w:t>
      </w:r>
      <w:r>
        <w:t xml:space="preserve"> </w:t>
      </w:r>
      <w:r>
        <w:t xml:space="preserve">Six et al. (2014)</w:t>
      </w:r>
      <w:r>
        <w:t xml:space="preserve"> </w:t>
      </w:r>
      <w:r>
        <w:t xml:space="preserve">that the field evidence for thinning during an outbreak was weaker than policy had assumed. It closes with the finding that flight-period wind did not strengthen that protection.</w:t>
      </w:r>
    </w:p>
    <w:bookmarkEnd w:id="21"/>
    <w:bookmarkStart w:id="22" w:name="reporting-correction"/>
    <w:p>
      <w:pPr>
        <w:pStyle w:val="Heading1"/>
      </w:pPr>
      <w:r>
        <w:t xml:space="preserve">Reporting correction</w:t>
      </w:r>
    </w:p>
    <w:p>
      <w:pPr>
        <w:pStyle w:val="FirstParagraph"/>
      </w:pPr>
      <w:r>
        <w:t xml:space="preserve">The submitted manuscript misread the sign of its main wind result, and the correction is set out here in full so that the change in the conclusion on plume disruption is understood before the revised Results are read. The submitted Results reported the interaction of live stems with flight-period wind, -0.049, as attack falling</w:t>
      </w:r>
      <w:r>
        <w:t xml:space="preserve"> </w:t>
      </w:r>
      <w:r>
        <w:t xml:space="preserve">“where a thin stand and strong flight-period wind coincided”</w:t>
      </w:r>
      <w:r>
        <w:t xml:space="preserve">, and the abstract concluded that wind disruption was supported conditionally. With standardised terms a negative interaction means that the effect of wind weakens as stems increase. In the submitted model the main effect of wind was +0.022, so the slope of attack on wind was about +0.071 one standard deviation below the mean stem density and -0.027 one standard deviation above it. Wind therefore raised attack in thin stands and not in dense ones, the reverse of what plume disruption predicts, and the submitted conclusion did not follow from the submitted coefficients. The error was in the reading of the coefficient and not in the model. The revised manuscript reads every interaction as the slope of one term at one standard deviation either side of the mean of the other, states those slopes in the Results (sections 3.1 to 3.3), and concludes that flight-hour wind did not lower attack in thin stands.</w:t>
      </w:r>
    </w:p>
    <w:bookmarkEnd w:id="22"/>
    <w:bookmarkStart w:id="23" w:name="analysis-repairs"/>
    <w:p>
      <w:pPr>
        <w:pStyle w:val="Heading1"/>
      </w:pPr>
      <w:r>
        <w:t xml:space="preserve">Analysis repairs</w:t>
      </w:r>
    </w:p>
    <w:p>
      <w:pPr>
        <w:pStyle w:val="FirstParagraph"/>
      </w:pPr>
      <w:r>
        <w:t xml:space="preserve">Two defects in the submitted data were repaired, and the spatial statistics of</w:t>
      </w:r>
      <w:r>
        <w:t xml:space="preserve"> </w:t>
      </w:r>
      <w:r>
        <w:t xml:space="preserve">Aukema et al. (2008)</w:t>
      </w:r>
      <w:r>
        <w:t xml:space="preserve"> </w:t>
      </w:r>
      <w:r>
        <w:t xml:space="preserve">were added. The design was kept, with annual maps for the first and third questions and sixteen-day maps for the second.</w:t>
      </w:r>
    </w:p>
    <w:p>
      <w:pPr>
        <w:pStyle w:val="Compact"/>
        <w:numPr>
          <w:ilvl w:val="0"/>
          <w:numId w:val="1001"/>
        </w:numPr>
      </w:pPr>
      <w:r>
        <w:t xml:space="preserve">The attack maps were rebuilt with a new classifier, trained on the 112 Landsat pixels of the field plots, four to a plot, against undisturbed forest digitised for the companion study, and tested over 100 random splits that each held out a quarter of the plots and of the 100 m blocks of undisturbed pixels. The radial support vector machine reached kappa 0.859 ± 0.081, and its cut was applied to the annual maps and to the 47 sixteen-day maps alike (section 2.2, Table 2). The table of attack by diameter class was rebuilt on the repaired maps (Table 6). The annual maps in the submitted manuscript came from an earlier classifier trained on 38 plots, with a leave-one-out kappa of 0.475, while its Methods described the classification of</w:t>
      </w:r>
      <w:r>
        <w:t xml:space="preserve"> </w:t>
      </w:r>
      <w:r>
        <w:t xml:space="preserve">Murphy et al. (2026)</w:t>
      </w:r>
      <w:r>
        <w:t xml:space="preserve">.</w:t>
      </w:r>
    </w:p>
    <w:p>
      <w:pPr>
        <w:pStyle w:val="Compact"/>
        <w:numPr>
          <w:ilvl w:val="0"/>
          <w:numId w:val="1001"/>
        </w:numPr>
      </w:pPr>
      <w:r>
        <w:t xml:space="preserve">The terrain-adjusted wind field was recomputed on an elevation model extending beyond the study area. In the submitted analysis its curvature term was computed on an elevation model cut to the study area, so the field covered 18,388 of the 61,923 cells, and every wind term rested on that partial field. It now covers all of them (section 2.2).</w:t>
      </w:r>
      <w:r>
        <w:t xml:space="preserve"> </w:t>
      </w:r>
      <w:r>
        <w:t xml:space="preserve">The spatial statistics were added beside the submitted models. Join counts and a Moran’s I correlogram described the pattern of attack on each annual map before any model was fitted. The models were then built in the order of</w:t>
      </w:r>
      <w:r>
        <w:t xml:space="preserve"> </w:t>
      </w:r>
      <w:r>
        <w:t xml:space="preserve">Aukema et al. (2008)</w:t>
      </w:r>
      <w:r>
        <w:t xml:space="preserve">, with the terms for attack in and around each cell the year before chosen first, and the final annual model was refitted with a latent spatial field and at grains of 90, 270 and 990 m (section 2.3).</w:t>
      </w:r>
    </w:p>
    <w:bookmarkEnd w:id="23"/>
    <w:bookmarkStart w:id="25" w:name="findings"/>
    <w:p>
      <w:pPr>
        <w:pStyle w:val="Heading1"/>
      </w:pPr>
      <w:r>
        <w:t xml:space="preserve">Findings</w:t>
      </w:r>
    </w:p>
    <w:p>
      <w:pPr>
        <w:pStyle w:val="FirstParagraph"/>
      </w:pPr>
      <w:r>
        <w:t xml:space="preserve">Four findings held, although every coefficient behind them was smaller than in the submitted manuscript. Stand density acted through the amount of host, with basal area entering at +0.430 log-odds per standard deviation in the submitted manuscript and at +0.290 in the revised final model, +0.183 with the terms for previous attack and +0.181 under the spatial field. Attack still peaked in stands of 25 to 30 cm quadratic mean diameter and fell in stands of larger trees. Shading was still not supported, since north-facing ground had more attack, +0.384 before and +0.112 now. Terrain shelter still acted alone rather than through stand density, with the wind shelter index entering at -0.267 before and at -0.066 now, and at -0.040 with the terms for previous attack, when its interaction with basal area was -0.021 (p = 0.110).</w:t>
      </w:r>
    </w:p>
    <w:p>
      <w:pPr>
        <w:pStyle w:val="BodyText"/>
      </w:pPr>
      <w:r>
        <w:t xml:space="preserve">Two findings changed. Flight-hour wind did not lower attack in thin stands, so plume disruption was not supported, as the reporting correction above explains. Read through its simple slopes, the interaction of live stems with wind in the first sixteen-day model, -0.012 (p = 0.034), meant that attack rose with wind in stands one standard deviation below the mean density, +0.026 (p = 0.001), but not in stands one standard deviation above it, +0.002 (p = 0.847), and once the previous period’s attack entered, wind raised attack at both densities. The interaction of wind with standing volume, -0.017 in the submitted manuscript, could no longer be distinguished from zero (p = 0.642). The effects of terrain shelter and openness also did not survive the checks added for spatial pattern. Under the latent spatial field, sky view, +0.285 in the submitted manuscript and +0.327 now, fell to -0.009 (p = 0.799), and the wind shelter index changed sign, to +0.082 (p &lt; 0.001). At coarser grain the shelter index lost significance at 90 m and sky view at 270 m. The submitted abstract concluded,</w:t>
      </w:r>
      <w:r>
        <w:t xml:space="preserve"> </w:t>
      </w:r>
      <w:r>
        <w:t xml:space="preserve">“Refugia are therefore proposed to lie on warm, windward ground in thin stands during windy flight periods.”</w:t>
      </w:r>
      <w:r>
        <w:t xml:space="preserve"> </w:t>
      </w:r>
      <w:r>
        <w:t xml:space="preserve">The revised manuscript concludes that refugia on this landscape were stands with little host, and that terrain and wind added small, scale-dependent modifiers to an outbreak whose spread was mostly contagion (abstract and section 4.7).</w:t>
      </w:r>
    </w:p>
    <w:p>
      <w:pPr>
        <w:pStyle w:val="BodyText"/>
      </w:pPr>
      <w:r>
        <w:t xml:space="preserve">The added spatial statistics produced the result the revised manuscript leads with. Attack was clustered in every year, with 3.2 to 5.3 times as many pairs of neighbouring attacked cells as random permutations produced, and with positive autocorrelation to a median of 2,610 m. Attack in each cell and within 150 m the year before dominated every model it entered, raising the area under the receiver operating characteristic curve of the final annual model from 0.805 to 0.879. Residual Moran’s I remained significant in every year, at a median of 0.337 even under the spatial field, so the p-values of every model were optimistic, and section 4.6 says so.</w:t>
      </w:r>
    </w:p>
    <w:p>
      <w:pPr>
        <w:pStyle w:val="BodyText"/>
      </w:pPr>
      <w:r>
        <w:t xml:space="preserve">Every number in the manuscript is computed by code in the manuscript file itself, and the file, the derived data and the analysis code are public at</w:t>
      </w:r>
      <w:r>
        <w:t xml:space="preserve"> </w:t>
      </w:r>
      <w:hyperlink r:id="rId24">
        <w:r>
          <w:rPr>
            <w:rStyle w:val="Hyperlink"/>
          </w:rPr>
          <w:t xml:space="preserve">https://github.com/seamusrobertmurphy/beetle-topography-and-wind-study</w:t>
        </w:r>
      </w:hyperlink>
      <w:r>
        <w:t xml:space="preserve">.</w:t>
      </w:r>
    </w:p>
    <w:p>
      <w:pPr>
        <w:pStyle w:val="BodyText"/>
      </w:pPr>
      <w:r>
        <w:t xml:space="preserve">Yours sincerely,</w:t>
      </w:r>
    </w:p>
    <w:p>
      <w:pPr>
        <w:pStyle w:val="BodyText"/>
      </w:pPr>
      <w:r>
        <w:t xml:space="preserve">Dr Seamus Murphy</w:t>
      </w:r>
    </w:p>
    <w:bookmarkEnd w:id="25"/>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4" Target="https://github.com/seamusrobertmurphy/beetle-topography-and-wind-study"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24" Target="https://github.com/seamusrobertmurphy/beetle-topography-and-wind-stud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Associate Editor</dc:title>
  <dc:creator/>
  <cp:keywords/>
  <dcterms:created xsi:type="dcterms:W3CDTF">2026-10-02T05:59:02Z</dcterms:created>
  <dcterms:modified xsi:type="dcterms:W3CDTF">2026-10-02T05:59:02Z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../04.references/references-beetle.bib</vt:lpwstr>
  </property>
  <property fmtid="{D5CDD505-2E9C-101B-9397-08002B2CF9AE}" pid="4" name="csl">
    <vt:lpwstr>../04.references/apa.csl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AFE(2026)5804, resubmitted as a new manuscript</vt:lpwstr>
  </property>
  <property fmtid="{D5CDD505-2E9C-101B-9397-08002B2CF9AE}" pid="11" name="suppress-bibliography">
    <vt:lpwstr>True</vt:lpwstr>
  </property>
  <property fmtid="{D5CDD505-2E9C-101B-9397-08002B2CF9AE}" pid="12" name="toc-title">
    <vt:lpwstr>Table of contents</vt:lpwstr>
  </property>
</Properties>
</file>