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01.png" ContentType="image/png"/>
  <Override PartName="/word/media/rId209.png" ContentType="image/png"/>
  <Override PartName="/word/media/rId205.png" ContentType="image/png"/>
  <Override PartName="/word/media/rId197.png" ContentType="image/png"/>
  <Override PartName="/word/media/rId19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2026-09-29</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proposed in thin stands of small trees, on shaded ground and where wind disrupts the aggregation pheromone, but little is known about how they act together at the interval over which attack and wind vary.</w:t>
      </w:r>
    </w:p>
    <w:p>
      <w:pPr>
        <w:pStyle w:val="Compact"/>
        <w:numPr>
          <w:ilvl w:val="0"/>
          <w:numId w:val="1001"/>
        </w:numPr>
      </w:pPr>
      <w:r>
        <w:t xml:space="preserve">This study mapped red-stage attack in 47 sixteen-day Landsat periods over eight outbreak years across 5,573 ha of the Selkirk Mountains, British Columbia, with a classifier validated on field plots, and modelled it on annual forest inventory, terrain and a terrain-resolved wind field, entering attack nearby and earlier first.</w:t>
      </w:r>
    </w:p>
    <w:p>
      <w:pPr>
        <w:pStyle w:val="Compact"/>
        <w:numPr>
          <w:ilvl w:val="0"/>
          <w:numId w:val="1001"/>
        </w:numPr>
      </w:pPr>
      <w:r>
        <w:t xml:space="preserve">Attack was clustered within a median of 750 m with a median kernel bandwidth of 67 m, and attack nearby in the previous period and year dominated every model.</w:t>
      </w:r>
    </w:p>
    <w:p>
      <w:pPr>
        <w:pStyle w:val="Compact"/>
        <w:numPr>
          <w:ilvl w:val="0"/>
          <w:numId w:val="1001"/>
        </w:numPr>
      </w:pPr>
      <w:r>
        <w:t xml:space="preserve">Beside those terms attack rose with stand basal area (+0.242 log-odds per standard deviation, p &lt; 0.001) and on open ground, while tree diameter and shading had no protective effect. Wind interacted with standing volume in the direction plume disruption predicts, but wind did not lower attack detectably within thin stands.</w:t>
      </w:r>
    </w:p>
    <w:p>
      <w:pPr>
        <w:pStyle w:val="Compact"/>
        <w:numPr>
          <w:ilvl w:val="0"/>
          <w:numId w:val="1001"/>
        </w:numPr>
      </w:pPr>
      <w:r>
        <w:t xml:space="preserve">Refugia here were stands with little host, and terrain and wind added small, scale-dependent modifiers to an outbreak whose spread was mostly contagion.</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Sambaraju et al., 2012)</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started infestations in new ground</w:t>
      </w:r>
      <w:r>
        <w:t xml:space="preserve"> </w:t>
      </w:r>
      <w:r>
        <w:t xml:space="preserve">(Chen &amp; Walton, 2011; Robertson et al., 2007)</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red-stage attack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35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beetle-disturbance"/>
    <w:p>
      <w:pPr>
        <w:pStyle w:val="Heading2"/>
      </w:pPr>
      <w:r>
        <w:t xml:space="preserve">2.3 Beetle disturbance</w:t>
      </w:r>
    </w:p>
    <w:p>
      <w:pPr>
        <w:pStyle w:val="FirstParagraph"/>
      </w:pPr>
      <w:r>
        <w:t xml:space="preserve">The response was red-stage beetle attack in each sixteen-day period from 1 May to 22 September of the outbreak years 2006 to 2014, excluding 2012, when Landsat 7 was the only sensor and its scan-line corrector had failed. The index and baseline followed</w:t>
      </w:r>
      <w:r>
        <w:t xml:space="preserve"> </w:t>
      </w:r>
      <w:r>
        <w:t xml:space="preserve">Murphy et al. (2026)</w:t>
      </w:r>
      <w:r>
        <w:t xml:space="preserve">, who mapped red-stage mortality on this ground as the fall in the normalised difference moisture index (NDMI) against the 2005 pre-outbreak image and validated the map against 28 field plots of 20 by 20 m in which beetle-killed pine was confirmed from pitch tubes, frass and gallery architecture and measured as the fraction of plot basal area killed. Sixteen days is the Landsat revisit interval. NDMI was composited as the median of the cloud-masked Collection 2 Level-2 scenes in each period, from Landsat 5 for 2005 to 2011 and from Landsat 8 for 2013 and 2014 after the band-pass adjustment of</w:t>
      </w:r>
      <w:r>
        <w:t xml:space="preserve"> </w:t>
      </w:r>
      <w:r>
        <w:t xml:space="preserve">Roy et al. (2016)</w:t>
      </w:r>
      <w:r>
        <w:t xml:space="preserve">, and each period was differenced against the same period of 2005, so that the seasonal rise and fall of leaf moisture did not enter the difference.</w:t>
      </w:r>
    </w:p>
    <w:p>
      <w:pPr>
        <w:pStyle w:val="BodyText"/>
      </w:pPr>
      <w:r>
        <w:t xml:space="preserve">The fall in NDMI that counted as attack was set by a classifier trained on two classes of Landsat pixel. The attacked class was the four pixels nearest the centre of each of the 28 field plots, 112 pixels. The undisturbed class was the 84 points of forest without beetle mortality that</w:t>
      </w:r>
      <w:r>
        <w:t xml:space="preserve"> </w:t>
      </w:r>
      <w:r>
        <w:t xml:space="preserve">Murphy et al. (2026)</w:t>
      </w:r>
      <w:r>
        <w:t xml:space="preserve"> </w:t>
      </w:r>
      <w:r>
        <w:t xml:space="preserve">digitised on the 2020 Landsat 8 scene, which fell in 68 distinct 30 m cells of the study grid. Each pixel entered with its deepest annual fall in NDMI against 2005. Random forest, a radial support vector machine and gradient boosting were compared under Monte Carlo cross-validation, 100 random splits that each held out a quarter of the groups of each class, a group being the four pixels of one field plot or the undisturbed pixels within one 100 m block, so that neighbouring pixels never fell on both sides of a split. The model with the highest mean kappa set the cut, the fall in NDMI at which its prediction changed class, and a cell was classed as attacked in a period where its fall reached the cut. Periods in which the imagery saw less than a tenth of the perimeter were dropped, which left 47 periods over eight years (Table S2). The undisturbed pixels came from one patch of about 230 by 455 m, so the cross-validation measured separation of the field plots from that patch rather than from undisturbed forest across the landscape.</w:t>
      </w:r>
    </w:p>
    <w:p>
      <w:pPr>
        <w:pStyle w:val="BodyText"/>
      </w:pPr>
      <w:hyperlink w:anchor="fig-spread">
        <w:r>
          <w:rPr>
            <w:rStyle w:val="Hyperlink"/>
            <w:i/>
            <w:iCs/>
          </w:rPr>
          <w:t xml:space="preserve">Figure 2</w:t>
        </w:r>
      </w:hyperlink>
      <w:r>
        <w:rPr>
          <w:i/>
          <w:iCs/>
        </w:rPr>
        <w:t xml:space="preserve"> </w:t>
      </w:r>
      <w:r>
        <w:rPr>
          <w:i/>
          <w:iCs/>
        </w:rPr>
        <w:t xml:space="preserve">near here</w:t>
      </w:r>
    </w:p>
    <w:bookmarkEnd w:id="25"/>
    <w:bookmarkStart w:id="26" w:name="flight-period-wind"/>
    <w:p>
      <w:pPr>
        <w:pStyle w:val="Heading2"/>
      </w:pPr>
      <w:r>
        <w:t xml:space="preserve">2.4 Flight-period wind</w:t>
      </w:r>
    </w:p>
    <w:p>
      <w:pPr>
        <w:pStyle w:val="FirstParagraph"/>
      </w:pPr>
      <w:r>
        <w:t xml:space="preserve">The flight window was 1 July to 15 August and the hours 12:00 to 17:00. Neither bound was chosen from these data. The dates were the flight period</w:t>
      </w:r>
      <w:r>
        <w:t xml:space="preserve"> </w:t>
      </w:r>
      <w:r>
        <w:t xml:space="preserve">Safranyik &amp; Carroll (2006)</w:t>
      </w:r>
      <w:r>
        <w:t xml:space="preserve"> </w:t>
      </w:r>
      <w:r>
        <w:t xml:space="preserve">give for this region, and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The window was checked against 236,079 hourly station records from May to September of the study years (Figure S1). Inside it, 89.5 per cent of afternoon hours fell within the 19 to 41 degrees C flight range against 51.4 per cent outside it, and mean wind peaked in the same hours as temperature.</w:t>
      </w:r>
    </w:p>
    <w:p>
      <w:pPr>
        <w:pStyle w:val="BodyText"/>
      </w:pPr>
      <w:r>
        <w:t xml:space="preserve">Wind entered as a field that varied across the terrain at 30 m, computed with the MicroMet model of</w:t>
      </w:r>
      <w:r>
        <w:t xml:space="preserve"> </w:t>
      </w:r>
      <w:r>
        <w:t xml:space="preserve">Liston &amp; Elder (2006)</w:t>
      </w:r>
      <w:r>
        <w:t xml:space="preserve">, whose terrain adjustment weights each hourly station observation by the slope in the wind direction and the curvature of the ground. The adjustment depends on direction and not on speed, so it was computed once for each of 16 sectors of 22.5 degrees and each hourly observation was multiplied by the surface for its own sector. Slope and curvature were computed over an elevation model extending beyond the perimeter, so that the curvature length scale of 600 m was defined at the edge of the study area. Hourly speed and direction from Environment and Climate Change Canada stations within 150 km were combined as vector components, and each sixteen-day period was summarised by its mean wind and by the share of hours below 5 km/h, both over the flight hours of 12:00 to 17:00. Across periods the mean flight-hour wind ran from 4.0 to 8.6 km/h and within a period it varied across the grid by up to 5.1 km/h.</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taking for each study year the snapshot the province published for that year, depleted for harvest and projected for growth to it, rasterised to the 30 m grid. Six of its attributes covered the mechanisms, total basal area, crown closure, live stems per hectare, quadratic mean diameter over stems of 12.5 cm and larger, stand age and susceptible pine basal area, formed as basal area times the pine share of cover, with stand height and standing volume. The 2007 snapshot omitted basal area and live stems, so the 2006 snapshot stood in for it. The inventory is a projected operational product rather than a census, and a polygon interpreted from late-outbreak photography described a stand the beetle had already attacked, so basal area and pine cover were post-attack over part of the study window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15-fold range here against 2.9-fold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29" w:name="spatial-pattern"/>
    <w:p>
      <w:pPr>
        <w:pStyle w:val="Heading2"/>
      </w:pPr>
      <w:r>
        <w:t xml:space="preserve">2.7 Spatial pattern</w:t>
      </w:r>
    </w:p>
    <w:p>
      <w:pPr>
        <w:pStyle w:val="FirstParagraph"/>
      </w:pPr>
      <w:r>
        <w:t xml:space="preserve">Spatial pattern was described before any model was fitted, with the point pattern methods of</w:t>
      </w:r>
      <w:r>
        <w:t xml:space="preserve"> </w:t>
      </w:r>
      <w:r>
        <w:t xml:space="preserve">Murphy et al. (2026)</w:t>
      </w:r>
      <w:r>
        <w:t xml:space="preserve">. In each period the attacked cells were treated as a point pattern inside the window of cells the imagery saw. Clustering was tested against random relabelling, in which the same number of cells was drawn at random from the cells seen in that period, 999 times, because the cells sit on a 30 m grid inside a window with holes and a continuous null would misstate distances on it. Three statistics were compared with that null, the Clark-Evans aggregation index</w:t>
      </w:r>
      <w:r>
        <w:t xml:space="preserve"> </w:t>
      </w:r>
      <w:r>
        <w:t xml:space="preserve">(Clark &amp; Evans, 1954)</w:t>
      </w:r>
      <w:r>
        <w:t xml:space="preserve">, the mean nearest-neighbour distance and the L function, the variance-stabilised form of Ripley’s K</w:t>
      </w:r>
      <w:r>
        <w:t xml:space="preserve"> </w:t>
      </w:r>
      <w:r>
        <w:t xml:space="preserve">(Ripley, 1977)</w:t>
      </w:r>
      <w:r>
        <w:t xml:space="preserve">, against a global envelope</w:t>
      </w:r>
      <w:r>
        <w:t xml:space="preserve"> </w:t>
      </w:r>
      <w:r>
        <w:t xml:space="preserve">(Baddeley et al., 2015)</w:t>
      </w:r>
      <w:r>
        <w:t xml:space="preserve">. The largest distance at which the observed L function lay above the envelope was taken as the clustering range of that period. The kernel bandwidth of each period was chosen by likelihood cross-validation over 20 to 300 m, the procedure</w:t>
      </w:r>
      <w:r>
        <w:t xml:space="preserve"> </w:t>
      </w:r>
      <w:r>
        <w:t xml:space="preserve">Murphy et al. (2026)</w:t>
      </w:r>
      <w:r>
        <w:t xml:space="preserve"> </w:t>
      </w:r>
      <w:r>
        <w:t xml:space="preserve">used to set the bandwidth of their Cox process model. Both distances were estimated before any model was fitted and both entered the models, the bandwidth as the scale of a neighbourhood term and the clustering range as the range of the latent spatial field.</w:t>
      </w:r>
    </w:p>
    <w:bookmarkEnd w:id="29"/>
    <w:bookmarkStart w:id="30" w:name="model-building"/>
    <w:p>
      <w:pPr>
        <w:pStyle w:val="Heading2"/>
      </w:pPr>
      <w:r>
        <w:t xml:space="preserve">2.8 Model building</w:t>
      </w:r>
    </w:p>
    <w:p>
      <w:pPr>
        <w:pStyle w:val="FirstParagraph"/>
      </w:pPr>
      <w:r>
        <w:t xml:space="preserve">Models were built in the order of</w:t>
      </w:r>
      <w:r>
        <w:t xml:space="preserve"> </w:t>
      </w:r>
      <w:r>
        <w:t xml:space="preserve">Aukema et al. (2008)</w:t>
      </w:r>
      <w:r>
        <w:t xml:space="preserve">, who</w:t>
      </w:r>
      <w:r>
        <w:t xml:space="preserve"> </w:t>
      </w:r>
      <w:r>
        <w:t xml:space="preserve">“determined an appropriate spatial neighborhood structure(s) and time lag(s) to account for spatial and temporal dependencies”</w:t>
      </w:r>
      <w:r>
        <w:t xml:space="preserve"> </w:t>
      </w:r>
      <w:r>
        <w:t xml:space="preserve">before any environmental variable entered, then tested each environmental variable alone beside those terms and built the full model by backward elimination. Every model was a logistic regression of attack in a cell and period with a fixed effect for each period. Within each period the model table took every attacked cell up to 2,000 and the same number of unattacked cells, so that the period effect absorbed the sampling rate and every other coefficient was unaffected by it.</w:t>
      </w:r>
    </w:p>
    <w:p>
      <w:pPr>
        <w:pStyle w:val="BodyText"/>
      </w:pPr>
      <w:r>
        <w:t xml:space="preserve">The dependence terms were the cell’s own state in the previous period of the same season and in the same period of the previous outbreak year, and the share of cells attacked around it in each. That share was measured two ways, within a fixed radius of 42, 90, 150, 210, 510 or 1,050 m, and weighted by a Gaussian kernel whose standard deviation was the likelihood cross-validated bandwidth of the period the share was taken from. All candidates were compared on AIC, so that the bandwidth was tested against the fixed radii rather than assumed. The environmental variables were then entered one at a time beside the chosen dependence terms, each standardised so that its coefficient was the change in log-odds per standard deviation, and tested against the dependence-only model by likelihood ratio, the screen</w:t>
      </w:r>
      <w:r>
        <w:t xml:space="preserve"> </w:t>
      </w:r>
      <w:r>
        <w:t xml:space="preserve">Murphy et al. (2026)</w:t>
      </w:r>
      <w:r>
        <w:t xml:space="preserve"> </w:t>
      </w:r>
      <w:r>
        <w:t xml:space="preserve">used against the intercept-only model. Variables that passed at p &lt; 0.05 were grouped where their absolute correlation reached 0.75, keeping the member with the largest likelihood-ratio statistic, and removed one at a time until every variance inflation factor was below 5. An elastic net with the dependence terms unpenalised</w:t>
      </w:r>
      <w:r>
        <w:t xml:space="preserve"> </w:t>
      </w:r>
      <w:r>
        <w:t xml:space="preserve">(Friedman et al., 2010; Zou &amp; Hastie, 2005)</w:t>
      </w:r>
      <w:r>
        <w:t xml:space="preserve"> </w:t>
      </w:r>
      <w:r>
        <w:t xml:space="preserve">was fitted beside the elimination and is reported with it (Table S4), and the final model was reached by removing terms one at a time while AIC fell.</w:t>
      </w:r>
    </w:p>
    <w:p>
      <w:pPr>
        <w:pStyle w:val="BodyText"/>
      </w:pPr>
      <w:r>
        <w:t xml:space="preserve">The three questions were tested as additions to the final model. The mechanisms of</w:t>
      </w:r>
      <w:r>
        <w:t xml:space="preserve"> </w:t>
      </w:r>
      <w:r>
        <w:t xml:space="preserve">Krawchuk et al. (2020)</w:t>
      </w:r>
      <w:r>
        <w:t xml:space="preserve"> </w:t>
      </w:r>
      <w:r>
        <w:t xml:space="preserve">were tested term by term, stand density as live stems, standing volume and basal area, large hosts as quadratic mean diameter, and shading as growing-season radiation and northness. Plume disruption was tested as the interactions of stem density and standing volume with mean flight-hour wind. Calm share correlated -0.94 with mean wind, so by the correlation rule of the screen only the mean entered. Deposition was tested as the main effects of the wind shelter index of</w:t>
      </w:r>
      <w:r>
        <w:t xml:space="preserve"> </w:t>
      </w:r>
      <w:r>
        <w:t xml:space="preserve">Plattner et al. (2004)</w:t>
      </w:r>
      <w:r>
        <w:t xml:space="preserve"> </w:t>
      </w:r>
      <w:r>
        <w:t xml:space="preserve">and sky view, with their interactions with density tested next. Each set was compared with the model without it by likelihood ratio, and each interaction was read as the slope of one term at one standard deviation below and above the mean of the other.</w:t>
      </w:r>
    </w:p>
    <w:p>
      <w:pPr>
        <w:pStyle w:val="BodyText"/>
      </w:pPr>
      <w:r>
        <w:t xml:space="preserve">Two checks tested the scale of the inference. The final model was refitted with a Gaussian process smooth of easting and northing, a latent spatial field of the kind the Cox process model of</w:t>
      </w:r>
      <w:r>
        <w:t xml:space="preserve"> </w:t>
      </w:r>
      <w:r>
        <w:t xml:space="preserve">Murphy et al. (2026)</w:t>
      </w:r>
      <w:r>
        <w:t xml:space="preserve"> </w:t>
      </w:r>
      <w:r>
        <w:t xml:space="preserve">carried</w:t>
      </w:r>
      <w:r>
        <w:t xml:space="preserve"> </w:t>
      </w:r>
      <w:r>
        <w:t xml:space="preserve">(Wood, 2017)</w:t>
      </w:r>
      <w:r>
        <w:t xml:space="preserve">, with a Matérn correlation whose range was set to the median clustering range of the L functions, 750 m, and Moran’s I</w:t>
      </w:r>
      <w:r>
        <w:t xml:space="preserve"> </w:t>
      </w:r>
      <w:r>
        <w:t xml:space="preserve">(Moran, 1950)</w:t>
      </w:r>
      <w:r>
        <w:t xml:space="preserve"> </w:t>
      </w:r>
      <w:r>
        <w:t xml:space="preserve">of the deviance residuals was computed within each period on the eight nearest sampled cells, with and without the field. The final model’s environmental terms were also refitted with the cell coarsened from 30 m to 90, 270 and 990 m, a coarse cell being attacked if any 30 m cell inside it was, the definition of presence</w:t>
      </w:r>
      <w:r>
        <w:t xml:space="preserve"> </w:t>
      </w:r>
      <w:r>
        <w:t xml:space="preserve">Aukema et al. (2008)</w:t>
      </w:r>
      <w:r>
        <w:t xml:space="preserve"> </w:t>
      </w:r>
      <w:r>
        <w:t xml:space="preserve">used on 12 km cells, with the dependence terms rebuilt at each grain from the cell’s own state and the share of its eight neighbours attacked.</w:t>
      </w:r>
    </w:p>
    <w:bookmarkEnd w:id="30"/>
    <w:bookmarkEnd w:id="31"/>
    <w:bookmarkStart w:id="40" w:name="sec-results"/>
    <w:p>
      <w:pPr>
        <w:pStyle w:val="Heading1"/>
      </w:pPr>
      <w:r>
        <w:t xml:space="preserve">3. Results</w:t>
      </w:r>
    </w:p>
    <w:bookmarkStart w:id="32" w:name="classifier-accuracy"/>
    <w:p>
      <w:pPr>
        <w:pStyle w:val="Heading2"/>
      </w:pPr>
      <w:r>
        <w:t xml:space="preserve">3.1 Classifier accuracy</w:t>
      </w:r>
    </w:p>
    <w:p>
      <w:pPr>
        <w:pStyle w:val="FirstParagraph"/>
      </w:pPr>
      <w:r>
        <w:t xml:space="preserve">The radial support vector machine classified red-stage attack most accurately, with kappa 0.859 ± 0.081 (95 per cent interval 0.682 to 1.000) and overall accuracy 0.934 ± 0.037 over 100 splits held out by plot and block (</w:t>
      </w:r>
      <w:hyperlink w:anchor="tbl-classifier">
        <w:r>
          <w:rPr>
            <w:rStyle w:val="Hyperlink"/>
          </w:rPr>
          <w:t xml:space="preserve">Table 2</w:t>
        </w:r>
      </w:hyperlink>
      <w:r>
        <w:t xml:space="preserve">). The three models differed by less than one standard deviation of the splits. The cut it set was a fall in NDMI of 0.0616 or more against 2005. The share of cells classed as attacked varied between periods from 5.6 to 57.4 per cent (Table S2,</w:t>
      </w:r>
      <w:r>
        <w:t xml:space="preserve"> </w:t>
      </w:r>
      <w:hyperlink w:anchor="fig-spread">
        <w:r>
          <w:rPr>
            <w:rStyle w:val="Hyperlink"/>
          </w:rPr>
          <w:t xml:space="preserve">Figure 2</w:t>
        </w:r>
      </w:hyperlink>
      <w:r>
        <w:t xml:space="preserve">).</w:t>
      </w:r>
    </w:p>
    <w:bookmarkEnd w:id="32"/>
    <w:bookmarkStart w:id="33" w:name="clustered-attack"/>
    <w:p>
      <w:pPr>
        <w:pStyle w:val="Heading2"/>
      </w:pPr>
      <w:r>
        <w:t xml:space="preserve">3.2 Clustered attack</w:t>
      </w:r>
    </w:p>
    <w:p>
      <w:pPr>
        <w:pStyle w:val="FirstParagraph"/>
      </w:pPr>
      <w:r>
        <w:t xml:space="preserve">Attack was clustered in almost every period. The mean distance from an attacked cell to its nearest attacked neighbour was 82 per cent of the random-relabelling expectation in the median period, and shorter than in all 999 relabellings in 46 of 47 periods. The L function lay above its global envelope in 45 periods, to a median distance of 750 m (range 90 to 1,500 m), and the likelihood cross-validated bandwidth had a median of 67 m (</w:t>
      </w:r>
      <w:hyperlink w:anchor="fig-clustering">
        <w:r>
          <w:rPr>
            <w:rStyle w:val="Hyperlink"/>
          </w:rPr>
          <w:t xml:space="preserve">Figure 3</w:t>
        </w:r>
      </w:hyperlink>
      <w:r>
        <w:t xml:space="preserve">).</w:t>
      </w:r>
    </w:p>
    <w:bookmarkEnd w:id="33"/>
    <w:bookmarkStart w:id="34" w:name="dependence-terms"/>
    <w:p>
      <w:pPr>
        <w:pStyle w:val="Heading2"/>
      </w:pPr>
      <w:r>
        <w:t xml:space="preserve">3.3 Dependence terms</w:t>
      </w:r>
    </w:p>
    <w:p>
      <w:pPr>
        <w:pStyle w:val="FirstParagraph"/>
      </w:pPr>
      <w:r>
        <w:t xml:space="preserve">Attack in a cell depended on attack nearby and before, by a margin that set the scale of everything after it. On the 46,124 cell-periods with a predecessor in the season and in the previous year, AIC fell from 63,232 with the period effect alone to 44,152 with the four dependence terms (</w:t>
      </w:r>
      <w:hyperlink w:anchor="tbl-dependence">
        <w:r>
          <w:rPr>
            <w:rStyle w:val="Hyperlink"/>
          </w:rPr>
          <w:t xml:space="preserve">Table 3</w:t>
        </w:r>
      </w:hyperlink>
      <w:r>
        <w:t xml:space="preserve">). The neighbourhood share weighted by a kernel at each period’s own bandwidth fitted as well as the best fixed radius within the season and better than every fixed radius between years. Within the season its AIC was 44,555 against 44,556 for the best radius, 90 m, a difference too small to separate them, and between years it was 45,588 against 45,615 for 90 m, so the two kernel shares were the dependence terms carried into every later model. Among the fixed radii the fit worsened as the radius grew beyond 90 m. In the final model the odds of attack were 6.3 times higher in a cell attacked in the same period of the previous year and 2.2 times higher in a cell attacked in the previous period.</w:t>
      </w:r>
    </w:p>
    <w:bookmarkEnd w:id="34"/>
    <w:bookmarkStart w:id="35" w:name="environmental-terms"/>
    <w:p>
      <w:pPr>
        <w:pStyle w:val="Heading2"/>
      </w:pPr>
      <w:r>
        <w:t xml:space="preserve">3.4 Environmental terms</w:t>
      </w:r>
    </w:p>
    <w:p>
      <w:pPr>
        <w:pStyle w:val="FirstParagraph"/>
      </w:pPr>
      <w:r>
        <w:t xml:space="preserve">Beside the dependence terms, 33 of 39 environmental variables improved the fit at p &lt; 0.05 (Table S3). The largest likelihood-ratio statistics were for position in the terrain, with less attack high above the valley floor, -0.201 log-odds per standard deviation, and more at higher elevation, +0.205, followed by sky view, +0.188, crown closure, +0.171, and basal area, +0.160. After the collinearity screen and backward elimination the final model kept 11 environmental terms (</w:t>
      </w:r>
      <w:hyperlink w:anchor="tbl-final">
        <w:r>
          <w:rPr>
            <w:rStyle w:val="Hyperlink"/>
          </w:rPr>
          <w:t xml:space="preserve">Table 4</w:t>
        </w:r>
      </w:hyperlink>
      <w:r>
        <w:t xml:space="preserve">). Attack was higher in older stands, +0.118 (p &lt; 0.001), under closed canopy, +0.130 (p &lt; 0.001), with more susceptible pine basal area, +0.064 (p &lt; 0.001), at higher elevation and on wetter ground, and it was lower high above the valley floor, -0.178 (p &lt; 0.001). The environmental terms lowered AIC from 36,822 for the dependence terms alone to 36,250, while AUC rose only from 0.848 to 0.853.</w:t>
      </w:r>
    </w:p>
    <w:p>
      <w:pPr>
        <w:pStyle w:val="BodyText"/>
      </w:pPr>
      <w:r>
        <w:t xml:space="preserve">Of the three mechanisms of</w:t>
      </w:r>
      <w:r>
        <w:t xml:space="preserve"> </w:t>
      </w:r>
      <w:r>
        <w:t xml:space="preserve">Krawchuk et al. (2020)</w:t>
      </w:r>
      <w:r>
        <w:t xml:space="preserve">, stand density was supported through the amount of host rather than the number of stems. Added to the final model, basal area entered at +0.242 (p &lt; 0.001) and standing volume at +0.131 (p &lt; 0.001), whereas live stems, +0.026 (p = 0.137), and quadratic mean diameter, +0.015 (p = 0.550), could not be told from zero, so the scarcity of large hosts was not supported. Shading was not supported either. Growing-season radiation entered at -0.001 (p = 0.962), and north-facing ground had more attack rather than less, +0.039 (p = 0.011).</w:t>
      </w:r>
    </w:p>
    <w:bookmarkEnd w:id="35"/>
    <w:bookmarkStart w:id="36" w:name="wind-and-density"/>
    <w:p>
      <w:pPr>
        <w:pStyle w:val="Heading2"/>
      </w:pPr>
      <w:r>
        <w:t xml:space="preserve">3.5 Wind and density</w:t>
      </w:r>
    </w:p>
    <w:p>
      <w:pPr>
        <w:pStyle w:val="FirstParagraph"/>
      </w:pPr>
      <w:r>
        <w:t xml:space="preserve">Stand density and flight-hour wind interacted [likelihood-ratio χ²(2) = 13.18, p = 0.001], through standing volume at +0.041 (p = 0.008) rather than stems at +0.020 (p = 0.154). The direction was the one plume disruption predicts. In stands one standard deviation below the mean of volume, attack fell with flight-hour wind, -0.089 log-odds per standard deviation of wind, while in stands one standard deviation above it the slope was -0.008. Neither slope could be told from zero on its own (p = 0.130 and p = 0.904), so the interaction described a difference between thin and dense stands in how wind acted, not a protective effect of wind that could be shown within thin stands alone (</w:t>
      </w:r>
      <w:hyperlink w:anchor="fig-interaction">
        <w:r>
          <w:rPr>
            <w:rStyle w:val="Hyperlink"/>
          </w:rPr>
          <w:t xml:space="preserve">Figure 4</w:t>
        </w:r>
      </w:hyperlink>
      <w:r>
        <w:t xml:space="preserve">).</w:t>
      </w:r>
    </w:p>
    <w:bookmarkEnd w:id="36"/>
    <w:bookmarkStart w:id="37" w:name="terrain-shelter"/>
    <w:p>
      <w:pPr>
        <w:pStyle w:val="Heading2"/>
      </w:pPr>
      <w:r>
        <w:t xml:space="preserve">3.6 Terrain shelter</w:t>
      </w:r>
    </w:p>
    <w:p>
      <w:pPr>
        <w:pStyle w:val="FirstParagraph"/>
      </w:pPr>
      <w:r>
        <w:t xml:space="preserve">Terrain openness acted as a main effect and not through density. Added to the final model, the wind shelter index and sky view improved the fit [likelihood-ratio χ²(2) = 10.97, p = 0.004], through sky view at +0.060 (p = 0.002) while the shelter index was +0.026 (p = 0.085), so open, gently sloping ground had more attack. Their interactions with density did not improve the fit [likelihood-ratio χ²(4) = 8.59, p = 0.072], which is the pattern deposition predicts and plume disruption does not.</w:t>
      </w:r>
    </w:p>
    <w:bookmarkEnd w:id="37"/>
    <w:bookmarkStart w:id="38" w:name="spatial-field"/>
    <w:p>
      <w:pPr>
        <w:pStyle w:val="Heading2"/>
      </w:pPr>
      <w:r>
        <w:t xml:space="preserve">3.7 Spatial field</w:t>
      </w:r>
    </w:p>
    <w:p>
      <w:pPr>
        <w:pStyle w:val="FirstParagraph"/>
      </w:pPr>
      <w:r>
        <w:t xml:space="preserve">A latent spatial field lowered AIC from 36,250 to 35,382 and changed which terrain terms could be told from zero (</w:t>
      </w:r>
      <w:hyperlink w:anchor="tbl-final">
        <w:r>
          <w:rPr>
            <w:rStyle w:val="Hyperlink"/>
          </w:rPr>
          <w:t xml:space="preserve">Table 4</w:t>
        </w:r>
      </w:hyperlink>
      <w:r>
        <w:t xml:space="preserve">). Stand age, susceptible pine basal area, crown closure and northness held, whereas height above the valley floor moved from -0.178 to +0.007 and wetness and stand height lost significance, so the valley terms described where attack clustered as much as a property of the ground. The field did not remove the fine-scale dependence among neighbouring cells, since the median Moran’s I of the residuals within a period moved only from 0.312 to 0.285, and it remained significant at p &lt; 0.05 in 100 per cent of periods.</w:t>
      </w:r>
    </w:p>
    <w:bookmarkEnd w:id="38"/>
    <w:bookmarkStart w:id="39" w:name="across-grains"/>
    <w:p>
      <w:pPr>
        <w:pStyle w:val="Heading2"/>
      </w:pPr>
      <w:r>
        <w:t xml:space="preserve">3.8 Across grains</w:t>
      </w:r>
    </w:p>
    <w:p>
      <w:pPr>
        <w:pStyle w:val="FirstParagraph"/>
      </w:pPr>
      <w:r>
        <w:t xml:space="preserve">The inference held at 90 m and weakened beyond it (</w:t>
      </w:r>
      <w:hyperlink w:anchor="fig-grain">
        <w:r>
          <w:rPr>
            <w:rStyle w:val="Hyperlink"/>
          </w:rPr>
          <w:t xml:space="preserve">Figure 5</w:t>
        </w:r>
      </w:hyperlink>
      <w:r>
        <w:t xml:space="preserve">). With the dependence terms rebuilt at each grain, elevation, crown closure, susceptible pine basal area and stand age remained positive and significant at 270 m, elevation at +0.239 (p &lt; 0.001), while height above the valley floor lost significance and northness reversed sign to -0.115. At 990 m, 91 per cent of coarse cells held an attacked cell and no environmental term could be told from zero.</w:t>
      </w:r>
    </w:p>
    <w:bookmarkEnd w:id="39"/>
    <w:bookmarkEnd w:id="40"/>
    <w:bookmarkStart w:id="47" w:name="discussion"/>
    <w:p>
      <w:pPr>
        <w:pStyle w:val="Heading1"/>
      </w:pPr>
      <w:r>
        <w:t xml:space="preserve">4. Discussion</w:t>
      </w:r>
    </w:p>
    <w:bookmarkStart w:id="41" w:name="dependence-first"/>
    <w:p>
      <w:pPr>
        <w:pStyle w:val="Heading2"/>
      </w:pPr>
      <w:r>
        <w:t xml:space="preserve">4.1 Dependence first</w:t>
      </w:r>
    </w:p>
    <w:p>
      <w:pPr>
        <w:pStyle w:val="FirstParagraph"/>
      </w:pPr>
      <w:r>
        <w:t xml:space="preserve">Attack in a 30 m cell was predicted first by attack in the cells around it, in the previous sixteen-day period and in the same period of the previous year, and every environmental term was read beside those terms rather than instead of them. That order was the one</w:t>
      </w:r>
      <w:r>
        <w:t xml:space="preserve"> </w:t>
      </w:r>
      <w:r>
        <w:t xml:space="preserve">Aukema et al. (2008)</w:t>
      </w:r>
      <w:r>
        <w:t xml:space="preserve"> </w:t>
      </w:r>
      <w:r>
        <w:t xml:space="preserve">argued for, having found that outbreaking populations within 18 km in the same year and within 6 km in the two years before explained more of the outbreak’s movement across British Columbia than climate did. The scale here was far finer and the pattern the same. Dispersal under the canopy over tens of metres carried most of the spread once a stand was infested</w:t>
      </w:r>
      <w:r>
        <w:t xml:space="preserve"> </w:t>
      </w:r>
      <w:r>
        <w:t xml:space="preserve">(Chen &amp; Walton, 2011; Robertson et al., 2007; Safranyik et al., 1992)</w:t>
      </w:r>
      <w:r>
        <w:t xml:space="preserve">, and the bandwidth of the red-stage cells, a median of 67 m, was the landscape trace of that short-range dispersal, since a neighbourhood term weighted at that bandwidth fitted as well as the best of six fixed radii. Models of the western United States that entered previous attack beside weather and stand attributes found the same ordering</w:t>
      </w:r>
      <w:r>
        <w:t xml:space="preserve"> </w:t>
      </w:r>
      <w:r>
        <w:t xml:space="preserve">(Chapman et al., 2012; Preisler et al., 2012)</w:t>
      </w:r>
      <w:r>
        <w:t xml:space="preserve">. The consequence for every other result was that the environmental terms added little discrimination once dependence was in the model, AUC rising from 0.848 to 0.853, so the refugia mechanisms were tested as small modifiers of an outbreak whose spread was mostly contagion.</w:t>
      </w:r>
    </w:p>
    <w:bookmarkEnd w:id="41"/>
    <w:bookmarkStart w:id="42" w:name="host-and-density"/>
    <w:p>
      <w:pPr>
        <w:pStyle w:val="Heading2"/>
      </w:pPr>
      <w:r>
        <w:t xml:space="preserve">4.2 Host and density</w:t>
      </w:r>
    </w:p>
    <w:p>
      <w:pPr>
        <w:pStyle w:val="FirstParagraph"/>
      </w:pPr>
      <w:r>
        <w:t xml:space="preserve">Attack rose with the amount of host, basal area, standing volume, susceptible pine basal area and stand age, and not with the number of stems or their diameter. Stands with little host were therefore the refugia this landscape showed, which agrees with the susceptibility rating of</w:t>
      </w:r>
      <w:r>
        <w:t xml:space="preserve"> </w:t>
      </w:r>
      <w:r>
        <w:t xml:space="preserve">Shore et al. (2000)</w:t>
      </w:r>
      <w:r>
        <w:t xml:space="preserve">, built on age, density and pine basal area, and with the thinning trials in which stands reduced in basal area lost fewer trees</w:t>
      </w:r>
      <w:r>
        <w:t xml:space="preserve"> </w:t>
      </w:r>
      <w:r>
        <w:t xml:space="preserve">(Amman et al., 1988; Fettig et al., 2007; Hood et al., 2016; Mitchell et al., 1983)</w:t>
      </w:r>
      <w:r>
        <w:t xml:space="preserve">. The absence of a diameter effect did not match the source-sink boundary of</w:t>
      </w:r>
      <w:r>
        <w:t xml:space="preserve"> </w:t>
      </w:r>
      <w:r>
        <w:t xml:space="preserve">Carroll &amp; Safranyik (2004)</w:t>
      </w:r>
      <w:r>
        <w:t xml:space="preserve">, under which stems below 25 cm produce too few brood to sustain a population. The inventory records the quadratic mean diameter of a polygon, not the distribution of stem sizes within it, and once populations were eruptive the beetle attacked smaller hosts as well</w:t>
      </w:r>
      <w:r>
        <w:t xml:space="preserve"> </w:t>
      </w:r>
      <w:r>
        <w:t xml:space="preserve">(Boone et al., 2011; Raffa et al., 2008)</w:t>
      </w:r>
      <w:r>
        <w:t xml:space="preserve">, so a stand-level mean may be too coarse a measure of that threshold at the height of an outbreak.</w:t>
      </w:r>
    </w:p>
    <w:bookmarkEnd w:id="42"/>
    <w:bookmarkStart w:id="43" w:name="wind-and-density-1"/>
    <w:p>
      <w:pPr>
        <w:pStyle w:val="Heading2"/>
      </w:pPr>
      <w:r>
        <w:t xml:space="preserve">4.3 Wind and density</w:t>
      </w:r>
    </w:p>
    <w:p>
      <w:pPr>
        <w:pStyle w:val="FirstParagraph"/>
      </w:pPr>
      <w:r>
        <w:t xml:space="preserve">The interaction of standing volume with flight-hour wind took the direction plume disruption predicts, with attack falling as wind rose in stands of low volume and not in dense ones. That was the pattern</w:t>
      </w:r>
      <w:r>
        <w:t xml:space="preserve"> </w:t>
      </w:r>
      <w:r>
        <w:t xml:space="preserve">Bartos &amp; Amman (1989)</w:t>
      </w:r>
      <w:r>
        <w:t xml:space="preserve"> </w:t>
      </w:r>
      <w:r>
        <w:t xml:space="preserve">measured at the stand scale, where a thinned stand had higher wind and a pheromone trap catch of 5 per cent of the adjacent unthinned stand’s, and the one the tracer plumes of</w:t>
      </w:r>
      <w:r>
        <w:t xml:space="preserve"> </w:t>
      </w:r>
      <w:r>
        <w:t xml:space="preserve">Thistle et al. (2004)</w:t>
      </w:r>
      <w:r>
        <w:t xml:space="preserve"> </w:t>
      </w:r>
      <w:r>
        <w:t xml:space="preserve">imply, which diluted fastest in the most open canopy. The effect was small, and within thin stands alone wind could not be shown to lower attack. Two features of the design limited what it could detect. The wind field was station wind adjusted for terrain, varying across the grid by a few kilometres per hour, whereas the contrast</w:t>
      </w:r>
      <w:r>
        <w:t xml:space="preserve"> </w:t>
      </w:r>
      <w:r>
        <w:t xml:space="preserve">Bartos &amp; Amman (1989)</w:t>
      </w:r>
      <w:r>
        <w:t xml:space="preserve"> </w:t>
      </w:r>
      <w:r>
        <w:t xml:space="preserve">measured was inside the canopy between managed and unmanaged stands, a difference the inventory and a terrain model cannot resolve. The timing also did not align, because the foliage of an attacked tree stays green</w:t>
      </w:r>
      <w:r>
        <w:t xml:space="preserve"> </w:t>
      </w:r>
      <w:r>
        <w:t xml:space="preserve">“usually until May and June of the year following attack”</w:t>
      </w:r>
      <w:r>
        <w:t xml:space="preserve"> </w:t>
      </w:r>
      <w:r>
        <w:t xml:space="preserve">(Safranyik &amp; Carroll, 2006, p. 11)</w:t>
      </w:r>
      <w:r>
        <w:t xml:space="preserve">, so red crowns seen in a sixteen-day period recorded the flight of the previous summer. The result was consistent with plume disruption and too weak to establish it.</w:t>
      </w:r>
    </w:p>
    <w:bookmarkEnd w:id="43"/>
    <w:bookmarkStart w:id="44" w:name="terrain-and-landing"/>
    <w:p>
      <w:pPr>
        <w:pStyle w:val="Heading2"/>
      </w:pPr>
      <w:r>
        <w:t xml:space="preserve">4.4 Terrain and landing</w:t>
      </w:r>
    </w:p>
    <w:p>
      <w:pPr>
        <w:pStyle w:val="FirstParagraph"/>
      </w:pPr>
      <w:r>
        <w:t xml:space="preserve">Open ground had more attack as a main effect, and openness did not act through stand density. Sky view factor, high on gentle, open ground, entered at +0.060, while its interactions with density added nothing. That was the signature deposition predicts, since a beetle descending through slowing air settles where the flow decelerates</w:t>
      </w:r>
      <w:r>
        <w:t xml:space="preserve"> </w:t>
      </w:r>
      <w:r>
        <w:t xml:space="preserve">(Byers, 2000)</w:t>
      </w:r>
      <w:r>
        <w:t xml:space="preserve">, and</w:t>
      </w:r>
      <w:r>
        <w:t xml:space="preserve"> </w:t>
      </w:r>
      <w:r>
        <w:t xml:space="preserve">de la Giroday et al. (2011)</w:t>
      </w:r>
      <w:r>
        <w:t xml:space="preserve"> </w:t>
      </w:r>
      <w:r>
        <w:t xml:space="preserve">found landscape features that met the wind acting as surfaces that intercepted dispersing beetles. It was also a pattern that faster development on warm, open ground would produce</w:t>
      </w:r>
      <w:r>
        <w:t xml:space="preserve"> </w:t>
      </w:r>
      <w:r>
        <w:t xml:space="preserve">(Sambaraju &amp; Goodsman, 2021)</w:t>
      </w:r>
      <w:r>
        <w:t xml:space="preserve">, and no beetle was tracked to the ground here. Shading was not supported. North-facing ground had more attack at 30 m, the reverse of the prediction that cool ground relieves water stress, and the sign reversed at 270 m, so aspect here measured something other than shade, most likely where lodgepole pine grew on this range</w:t>
      </w:r>
      <w:r>
        <w:t xml:space="preserve"> </w:t>
      </w:r>
      <w:r>
        <w:t xml:space="preserve">(Kaiser et al., 2012; Nelson et al., 2007)</w:t>
      </w:r>
      <w:r>
        <w:t xml:space="preserve">. Attack was highest in valley bottoms, the draws and gullies where infested groups are commonly reported</w:t>
      </w:r>
      <w:r>
        <w:t xml:space="preserve"> </w:t>
      </w:r>
      <w:r>
        <w:t xml:space="preserve">(Safranyik &amp; Carroll, 2006)</w:t>
      </w:r>
      <w:r>
        <w:t xml:space="preserve">, but that term vanished under a spatial field.</w:t>
      </w:r>
    </w:p>
    <w:bookmarkEnd w:id="44"/>
    <w:bookmarkStart w:id="45" w:name="scale-of-inference"/>
    <w:p>
      <w:pPr>
        <w:pStyle w:val="Heading2"/>
      </w:pPr>
      <w:r>
        <w:t xml:space="preserve">4.5 Scale of inference</w:t>
      </w:r>
    </w:p>
    <w:p>
      <w:pPr>
        <w:pStyle w:val="FirstParagraph"/>
      </w:pPr>
      <w:r>
        <w:t xml:space="preserve">The environmental results depended on the scale at which they were read, which is the concern</w:t>
      </w:r>
      <w:r>
        <w:t xml:space="preserve"> </w:t>
      </w:r>
      <w:r>
        <w:t xml:space="preserve">Aukema et al. (2008)</w:t>
      </w:r>
      <w:r>
        <w:t xml:space="preserve"> </w:t>
      </w:r>
      <w:r>
        <w:t xml:space="preserve">raised in choosing 12 km cells. A latent spatial field removed the valley and wetness terms while the host terms held, so part of what the terrain terms measured was where attack happened to cluster. The field did not remove the fine-scale dependence among neighbouring cells, and the p-values in every model were therefore optimistic. The host terms and elevation held to 270 m, while at about 1 km nearly every cell held an attacked cell and nothing could be told from zero, and</w:t>
      </w:r>
      <w:r>
        <w:t xml:space="preserve"> </w:t>
      </w:r>
      <w:r>
        <w:t xml:space="preserve">Walter &amp; Platt (2013)</w:t>
      </w:r>
      <w:r>
        <w:t xml:space="preserve"> </w:t>
      </w:r>
      <w:r>
        <w:t xml:space="preserve">found the weight of the predictors of infestation changing through the course of an outbreak. A refugium defined at 30 m and one defined at 1 km were therefore different objects, and this study supported the first mainly through the amount of host.</w:t>
      </w:r>
    </w:p>
    <w:bookmarkEnd w:id="45"/>
    <w:bookmarkStart w:id="46" w:name="limits-and-management"/>
    <w:p>
      <w:pPr>
        <w:pStyle w:val="Heading2"/>
      </w:pPr>
      <w:r>
        <w:t xml:space="preserve">4.6 Limits and management</w:t>
      </w:r>
    </w:p>
    <w:p>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The inventory postdated part of the outbreak, since polygons interpreted after the beetle passed described the stand it left. The study covered one mountain range over eight outbreak years. For management the result gave a narrow answer. Refugia on this landscape were stands with little host, which is the structure thinning produces, and terrain maps alone could not locate them. The field evidence that thinning protects stands during an outbreak is weaker than policy has assumed</w:t>
      </w:r>
      <w:r>
        <w:t xml:space="preserve"> </w:t>
      </w:r>
      <w:r>
        <w:t xml:space="preserve">(Six et al., 2014)</w:t>
      </w:r>
      <w:r>
        <w:t xml:space="preserve">, and this study added only weak evidence that wind strengthens that protection.</w:t>
      </w:r>
    </w:p>
    <w:bookmarkEnd w:id="46"/>
    <w:bookmarkEnd w:id="47"/>
    <w:bookmarkStart w:id="186" w:name="references"/>
    <w:p>
      <w:pPr>
        <w:pStyle w:val="Heading1"/>
      </w:pPr>
      <w:r>
        <w:t xml:space="preserve">References</w:t>
      </w:r>
    </w:p>
    <w:bookmarkStart w:id="185" w:name="refs"/>
    <w:bookmarkStart w:id="4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8">
        <w:r>
          <w:rPr>
            <w:rStyle w:val="Hyperlink"/>
          </w:rPr>
          <w:t xml:space="preserve">https://doi.org/10.1007/s10453-010-9176-9</w:t>
        </w:r>
      </w:hyperlink>
    </w:p>
    <w:bookmarkEnd w:id="49"/>
    <w:bookmarkStart w:id="51"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50">
        <w:r>
          <w:rPr>
            <w:rStyle w:val="Hyperlink"/>
          </w:rPr>
          <w:t xml:space="preserve">https://doi.org/10.1093/ee/2.4.541</w:t>
        </w:r>
      </w:hyperlink>
    </w:p>
    <w:bookmarkEnd w:id="51"/>
    <w:bookmarkStart w:id="53"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52">
        <w:r>
          <w:rPr>
            <w:rStyle w:val="Hyperlink"/>
          </w:rPr>
          <w:t xml:space="preserve">https://doi.org/10.1139/x88-105</w:t>
        </w:r>
      </w:hyperlink>
    </w:p>
    <w:bookmarkEnd w:id="53"/>
    <w:bookmarkStart w:id="55"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54">
        <w:r>
          <w:rPr>
            <w:rStyle w:val="Hyperlink"/>
          </w:rPr>
          <w:t xml:space="preserve">https://doi.org/10.1093/ee/16.3.738</w:t>
        </w:r>
      </w:hyperlink>
    </w:p>
    <w:bookmarkEnd w:id="55"/>
    <w:bookmarkStart w:id="57"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6">
        <w:r>
          <w:rPr>
            <w:rStyle w:val="Hyperlink"/>
          </w:rPr>
          <w:t xml:space="preserve">https://doi.org/10.1111/j.0906-7590.2007.05453.x</w:t>
        </w:r>
      </w:hyperlink>
    </w:p>
    <w:bookmarkEnd w:id="57"/>
    <w:bookmarkStart w:id="59"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8">
        <w:r>
          <w:rPr>
            <w:rStyle w:val="Hyperlink"/>
          </w:rPr>
          <w:t xml:space="preserve">https://doi.org/10.1111/j.2006.0906-7590.04445.x</w:t>
        </w:r>
      </w:hyperlink>
    </w:p>
    <w:bookmarkEnd w:id="59"/>
    <w:bookmarkStart w:id="60" w:name="ref-baddeley2015"/>
    <w:p>
      <w:pPr>
        <w:pStyle w:val="Bibliography"/>
      </w:pPr>
      <w:r>
        <w:t xml:space="preserve">Baddeley, A., Rubak, E., &amp; Turner, R. (2015).</w:t>
      </w:r>
      <w:r>
        <w:t xml:space="preserve"> </w:t>
      </w:r>
      <w:r>
        <w:rPr>
          <w:i/>
          <w:iCs/>
        </w:rPr>
        <w:t xml:space="preserve">Spatial point patterns: Methodology and applications with</w:t>
      </w:r>
      <w:r>
        <w:rPr>
          <w:i/>
          <w:iCs/>
        </w:rPr>
        <w:t xml:space="preserve"> </w:t>
      </w:r>
      <w:r>
        <w:rPr>
          <w:i/>
          <w:iCs/>
        </w:rPr>
        <w:t xml:space="preserve">R</w:t>
      </w:r>
      <w:r>
        <w:t xml:space="preserve">. Chapman; Hall/CRC.</w:t>
      </w:r>
    </w:p>
    <w:bookmarkEnd w:id="60"/>
    <w:bookmarkStart w:id="62"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61">
        <w:r>
          <w:rPr>
            <w:rStyle w:val="Hyperlink"/>
          </w:rPr>
          <w:t xml:space="preserve">https://doi.org/10.2737/int-rp-400</w:t>
        </w:r>
      </w:hyperlink>
    </w:p>
    <w:bookmarkEnd w:id="62"/>
    <w:bookmarkStart w:id="64"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63">
        <w:r>
          <w:rPr>
            <w:rStyle w:val="Hyperlink"/>
          </w:rPr>
          <w:t xml:space="preserve">https://doi.org/10.2737/int-rp-479</w:t>
        </w:r>
      </w:hyperlink>
    </w:p>
    <w:bookmarkEnd w:id="64"/>
    <w:bookmarkStart w:id="66"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65">
        <w:r>
          <w:rPr>
            <w:rStyle w:val="Hyperlink"/>
          </w:rPr>
          <w:t xml:space="preserve">https://doi.org/10.1525/bio.2010.60.8.6</w:t>
        </w:r>
      </w:hyperlink>
    </w:p>
    <w:bookmarkEnd w:id="66"/>
    <w:bookmarkStart w:id="68"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7">
        <w:r>
          <w:rPr>
            <w:rStyle w:val="Hyperlink"/>
          </w:rPr>
          <w:t xml:space="preserve">https://doi.org/10.1093/ee/nvw121</w:t>
        </w:r>
      </w:hyperlink>
    </w:p>
    <w:bookmarkEnd w:id="68"/>
    <w:bookmarkStart w:id="70"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9">
        <w:r>
          <w:rPr>
            <w:rStyle w:val="Hyperlink"/>
          </w:rPr>
          <w:t xml:space="preserve">https://doi.org/10.1139/x11-041</w:t>
        </w:r>
      </w:hyperlink>
    </w:p>
    <w:bookmarkEnd w:id="70"/>
    <w:bookmarkStart w:id="72"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71">
        <w:r>
          <w:rPr>
            <w:rStyle w:val="Hyperlink"/>
          </w:rPr>
          <w:t xml:space="preserve">https://doi.org/10.1016/S0304-3800(99)00187-8</w:t>
        </w:r>
      </w:hyperlink>
    </w:p>
    <w:bookmarkEnd w:id="72"/>
    <w:bookmarkStart w:id="73"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73"/>
    <w:bookmarkStart w:id="75"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74">
        <w:r>
          <w:rPr>
            <w:rStyle w:val="Hyperlink"/>
          </w:rPr>
          <w:t xml:space="preserve">https://doi.org/10.3390/f9110715</w:t>
        </w:r>
      </w:hyperlink>
    </w:p>
    <w:bookmarkEnd w:id="75"/>
    <w:bookmarkStart w:id="77"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76">
        <w:r>
          <w:rPr>
            <w:rStyle w:val="Hyperlink"/>
          </w:rPr>
          <w:t xml:space="preserve">https://doi.org/10.1890/11-1055.1</w:t>
        </w:r>
      </w:hyperlink>
    </w:p>
    <w:bookmarkEnd w:id="77"/>
    <w:bookmarkStart w:id="79"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8">
        <w:r>
          <w:rPr>
            <w:rStyle w:val="Hyperlink"/>
          </w:rPr>
          <w:t xml:space="preserve">https://doi.org/10.1890/es10-00172.1</w:t>
        </w:r>
      </w:hyperlink>
    </w:p>
    <w:bookmarkEnd w:id="79"/>
    <w:bookmarkStart w:id="81" w:name="ref-clark1954distance"/>
    <w:p>
      <w:pPr>
        <w:pStyle w:val="Bibliography"/>
      </w:pPr>
      <w:r>
        <w:t xml:space="preserve">Clark, P. J., &amp; Evans, F. C. (1954). Distance to nearest neighbor as a measure of spatial relationships in populations.</w:t>
      </w:r>
      <w:r>
        <w:t xml:space="preserve"> </w:t>
      </w:r>
      <w:r>
        <w:rPr>
          <w:i/>
          <w:iCs/>
        </w:rPr>
        <w:t xml:space="preserve">Ecology</w:t>
      </w:r>
      <w:r>
        <w:t xml:space="preserve">,</w:t>
      </w:r>
      <w:r>
        <w:t xml:space="preserve"> </w:t>
      </w:r>
      <w:r>
        <w:rPr>
          <w:i/>
          <w:iCs/>
        </w:rPr>
        <w:t xml:space="preserve">35</w:t>
      </w:r>
      <w:r>
        <w:t xml:space="preserve">(4), 445–453.</w:t>
      </w:r>
      <w:r>
        <w:t xml:space="preserve"> </w:t>
      </w:r>
      <w:hyperlink r:id="rId80">
        <w:r>
          <w:rPr>
            <w:rStyle w:val="Hyperlink"/>
          </w:rPr>
          <w:t xml:space="preserve">https://doi.org/10.2307/1931034</w:t>
        </w:r>
      </w:hyperlink>
    </w:p>
    <w:bookmarkEnd w:id="81"/>
    <w:bookmarkStart w:id="83"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2">
        <w:r>
          <w:rPr>
            <w:rStyle w:val="Hyperlink"/>
          </w:rPr>
          <w:t xml:space="preserve">https://doi.org/10.1111/jen.13262</w:t>
        </w:r>
      </w:hyperlink>
    </w:p>
    <w:bookmarkEnd w:id="83"/>
    <w:bookmarkStart w:id="85"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84">
        <w:r>
          <w:rPr>
            <w:rStyle w:val="Hyperlink"/>
          </w:rPr>
          <w:t xml:space="preserve">https://doi.org/10.1007/s10980-011-9628-9</w:t>
        </w:r>
      </w:hyperlink>
    </w:p>
    <w:bookmarkEnd w:id="85"/>
    <w:bookmarkStart w:id="87"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86">
        <w:r>
          <w:rPr>
            <w:rStyle w:val="Hyperlink"/>
          </w:rPr>
          <w:t xml:space="preserve">https://doi.org/10.1175/2010jamc2339.1</w:t>
        </w:r>
      </w:hyperlink>
    </w:p>
    <w:bookmarkEnd w:id="87"/>
    <w:bookmarkStart w:id="89"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8">
        <w:r>
          <w:rPr>
            <w:rStyle w:val="Hyperlink"/>
          </w:rPr>
          <w:t xml:space="preserve">https://doi.org/10.1016/j.foreco.2006.10.011</w:t>
        </w:r>
      </w:hyperlink>
    </w:p>
    <w:bookmarkEnd w:id="89"/>
    <w:bookmarkStart w:id="91" w:name="ref-friedman2010"/>
    <w:p>
      <w:pPr>
        <w:pStyle w:val="Bibliography"/>
      </w:pPr>
      <w:r>
        <w:t xml:space="preserve">Friedman, J., Hastie, T., &amp; Tibshirani, R. (2010). Regularization paths for generalized linear models via coordinate descent.</w:t>
      </w:r>
      <w:r>
        <w:t xml:space="preserve"> </w:t>
      </w:r>
      <w:r>
        <w:rPr>
          <w:i/>
          <w:iCs/>
        </w:rPr>
        <w:t xml:space="preserve">Journal of Statistical Software</w:t>
      </w:r>
      <w:r>
        <w:t xml:space="preserve">,</w:t>
      </w:r>
      <w:r>
        <w:t xml:space="preserve"> </w:t>
      </w:r>
      <w:r>
        <w:rPr>
          <w:i/>
          <w:iCs/>
        </w:rPr>
        <w:t xml:space="preserve">33</w:t>
      </w:r>
      <w:r>
        <w:t xml:space="preserve">(1).</w:t>
      </w:r>
      <w:r>
        <w:t xml:space="preserve"> </w:t>
      </w:r>
      <w:hyperlink r:id="rId90">
        <w:r>
          <w:rPr>
            <w:rStyle w:val="Hyperlink"/>
          </w:rPr>
          <w:t xml:space="preserve">https://doi.org/10.18637/jss.v033.i01</w:t>
        </w:r>
      </w:hyperlink>
    </w:p>
    <w:bookmarkEnd w:id="91"/>
    <w:bookmarkStart w:id="93"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2">
        <w:r>
          <w:rPr>
            <w:rStyle w:val="Hyperlink"/>
          </w:rPr>
          <w:t xml:space="preserve">https://doi.org/10.1111/j.1439-0418.1972.tb01745.x</w:t>
        </w:r>
      </w:hyperlink>
    </w:p>
    <w:bookmarkEnd w:id="93"/>
    <w:bookmarkStart w:id="95"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94">
        <w:r>
          <w:rPr>
            <w:rStyle w:val="Hyperlink"/>
          </w:rPr>
          <w:t xml:space="preserve">https://doi.org/10.1016/j.foreco.2007.11.027</w:t>
        </w:r>
      </w:hyperlink>
    </w:p>
    <w:bookmarkEnd w:id="95"/>
    <w:bookmarkStart w:id="97"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96">
        <w:r>
          <w:rPr>
            <w:rStyle w:val="Hyperlink"/>
          </w:rPr>
          <w:t xml:space="preserve">https://doi.org/10.1002/eap.1363</w:t>
        </w:r>
      </w:hyperlink>
    </w:p>
    <w:bookmarkEnd w:id="97"/>
    <w:bookmarkStart w:id="99"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8">
        <w:r>
          <w:rPr>
            <w:rStyle w:val="Hyperlink"/>
          </w:rPr>
          <w:t xml:space="preserve">https://doi.org/10.1007/s00442-022-05129-4</w:t>
        </w:r>
      </w:hyperlink>
    </w:p>
    <w:bookmarkEnd w:id="99"/>
    <w:bookmarkStart w:id="101"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100">
        <w:r>
          <w:rPr>
            <w:rStyle w:val="Hyperlink"/>
          </w:rPr>
          <w:t xml:space="preserve">https://doi.org/10.4039/Ent112185-2</w:t>
        </w:r>
      </w:hyperlink>
    </w:p>
    <w:bookmarkEnd w:id="101"/>
    <w:bookmarkStart w:id="103"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102">
        <w:r>
          <w:rPr>
            <w:rStyle w:val="Hyperlink"/>
          </w:rPr>
          <w:t xml:space="preserve">https://doi.org/10.1139/X08-066</w:t>
        </w:r>
      </w:hyperlink>
    </w:p>
    <w:bookmarkEnd w:id="103"/>
    <w:bookmarkStart w:id="105"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104">
        <w:r>
          <w:rPr>
            <w:rStyle w:val="Hyperlink"/>
          </w:rPr>
          <w:t xml:space="preserve">https://doi.org/10.1139/cjfr-2018-0304</w:t>
        </w:r>
      </w:hyperlink>
    </w:p>
    <w:bookmarkEnd w:id="105"/>
    <w:bookmarkStart w:id="107"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106">
        <w:r>
          <w:rPr>
            <w:rStyle w:val="Hyperlink"/>
          </w:rPr>
          <w:t xml:space="preserve">https://doi.org/10.1002/eco.1286</w:t>
        </w:r>
      </w:hyperlink>
    </w:p>
    <w:bookmarkEnd w:id="107"/>
    <w:bookmarkStart w:id="109"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108">
        <w:r>
          <w:rPr>
            <w:rStyle w:val="Hyperlink"/>
          </w:rPr>
          <w:t xml:space="preserve">https://doi.org/10.1007/s10340-022-01490-8</w:t>
        </w:r>
      </w:hyperlink>
    </w:p>
    <w:bookmarkEnd w:id="109"/>
    <w:bookmarkStart w:id="111"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10">
        <w:r>
          <w:rPr>
            <w:rStyle w:val="Hyperlink"/>
          </w:rPr>
          <w:t xml:space="preserve">https://doi.org/10.1016/j.foreco.2020.118257</w:t>
        </w:r>
      </w:hyperlink>
    </w:p>
    <w:bookmarkEnd w:id="111"/>
    <w:bookmarkStart w:id="113"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12">
        <w:r>
          <w:rPr>
            <w:rStyle w:val="Hyperlink"/>
          </w:rPr>
          <w:t xml:space="preserve">https://doi.org/10.1002/fee.2190</w:t>
        </w:r>
      </w:hyperlink>
    </w:p>
    <w:bookmarkEnd w:id="113"/>
    <w:bookmarkStart w:id="115"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14">
        <w:r>
          <w:rPr>
            <w:rStyle w:val="Hyperlink"/>
          </w:rPr>
          <w:t xml:space="preserve">https://doi.org/10.1038/s41598-020-63388-8</w:t>
        </w:r>
      </w:hyperlink>
    </w:p>
    <w:bookmarkEnd w:id="115"/>
    <w:bookmarkStart w:id="117"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16">
        <w:r>
          <w:rPr>
            <w:rStyle w:val="Hyperlink"/>
          </w:rPr>
          <w:t xml:space="preserve">https://doi.org/10.1175/JHM486.1</w:t>
        </w:r>
      </w:hyperlink>
    </w:p>
    <w:bookmarkEnd w:id="117"/>
    <w:bookmarkStart w:id="119"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18">
        <w:r>
          <w:rPr>
            <w:rStyle w:val="Hyperlink"/>
          </w:rPr>
          <w:t xml:space="preserve">https://doi.org/10.1002/eap.2274</w:t>
        </w:r>
      </w:hyperlink>
    </w:p>
    <w:bookmarkEnd w:id="119"/>
    <w:bookmarkStart w:id="121"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20">
        <w:r>
          <w:rPr>
            <w:rStyle w:val="Hyperlink"/>
          </w:rPr>
          <w:t xml:space="preserve">https://doi.org/10.1093/aesa/64.2.534</w:t>
        </w:r>
      </w:hyperlink>
    </w:p>
    <w:bookmarkEnd w:id="121"/>
    <w:bookmarkStart w:id="123"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22">
        <w:r>
          <w:rPr>
            <w:rStyle w:val="Hyperlink"/>
          </w:rPr>
          <w:t xml:space="preserve">https://doi.org/10.1111/j.1654-1103.2002.tb02087.x</w:t>
        </w:r>
      </w:hyperlink>
    </w:p>
    <w:bookmarkEnd w:id="123"/>
    <w:bookmarkStart w:id="125"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24">
        <w:r>
          <w:rPr>
            <w:rStyle w:val="Hyperlink"/>
          </w:rPr>
          <w:t xml:space="preserve">https://doi.org/10.1093/forestscience/29.1.204</w:t>
        </w:r>
      </w:hyperlink>
    </w:p>
    <w:bookmarkEnd w:id="125"/>
    <w:bookmarkStart w:id="127"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126">
        <w:r>
          <w:rPr>
            <w:rStyle w:val="Hyperlink"/>
          </w:rPr>
          <w:t xml:space="preserve">https://doi.org/10.1093/biomet/37.1-2.17</w:t>
        </w:r>
      </w:hyperlink>
    </w:p>
    <w:bookmarkEnd w:id="127"/>
    <w:bookmarkStart w:id="129"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28">
        <w:r>
          <w:rPr>
            <w:rStyle w:val="Hyperlink"/>
          </w:rPr>
          <w:t xml:space="preserve">https://doi.org/10.1016/j.foreco.2026.123985</w:t>
        </w:r>
      </w:hyperlink>
    </w:p>
    <w:bookmarkEnd w:id="129"/>
    <w:bookmarkStart w:id="131"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30">
        <w:r>
          <w:rPr>
            <w:rStyle w:val="Hyperlink"/>
          </w:rPr>
          <w:t xml:space="preserve">https://open.canada.ca/data/en/dataset/957782bf-847c-4644-a757-e383c0057995</w:t>
        </w:r>
      </w:hyperlink>
    </w:p>
    <w:bookmarkEnd w:id="131"/>
    <w:bookmarkStart w:id="133"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32">
        <w:r>
          <w:rPr>
            <w:rStyle w:val="Hyperlink"/>
          </w:rPr>
          <w:t xml:space="preserve">https://doi.org/10.3390/f10010018</w:t>
        </w:r>
      </w:hyperlink>
    </w:p>
    <w:bookmarkEnd w:id="133"/>
    <w:bookmarkStart w:id="135"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34">
        <w:r>
          <w:rPr>
            <w:rStyle w:val="Hyperlink"/>
          </w:rPr>
          <w:t xml:space="preserve">https://doi.org/10.22230/jem.2007v8n1a367</w:t>
        </w:r>
      </w:hyperlink>
    </w:p>
    <w:bookmarkEnd w:id="135"/>
    <w:bookmarkStart w:id="137"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36">
        <w:r>
          <w:rPr>
            <w:rStyle w:val="Hyperlink"/>
          </w:rPr>
          <w:t xml:space="preserve">https://doi.org/10.1007/s10340-021-01341-y</w:t>
        </w:r>
      </w:hyperlink>
    </w:p>
    <w:bookmarkEnd w:id="137"/>
    <w:bookmarkStart w:id="138"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38"/>
    <w:bookmarkStart w:id="140"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39">
        <w:r>
          <w:rPr>
            <w:rStyle w:val="Hyperlink"/>
          </w:rPr>
          <w:t xml:space="preserve">https://doi.org/10.1016/j.ecolmodel.2013.10.034</w:t>
        </w:r>
      </w:hyperlink>
    </w:p>
    <w:bookmarkEnd w:id="140"/>
    <w:bookmarkStart w:id="142"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41">
        <w:r>
          <w:rPr>
            <w:rStyle w:val="Hyperlink"/>
          </w:rPr>
          <w:t xml:space="preserve">https://doi.org/10.1890/11-1412.1</w:t>
        </w:r>
      </w:hyperlink>
    </w:p>
    <w:bookmarkEnd w:id="142"/>
    <w:bookmarkStart w:id="144"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43">
        <w:r>
          <w:rPr>
            <w:rStyle w:val="Hyperlink"/>
          </w:rPr>
          <w:t xml:space="preserve">https://doi.org/10.1093/forestscience/39.3.528</w:t>
        </w:r>
      </w:hyperlink>
    </w:p>
    <w:bookmarkEnd w:id="144"/>
    <w:bookmarkStart w:id="146"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45">
        <w:r>
          <w:rPr>
            <w:rStyle w:val="Hyperlink"/>
          </w:rPr>
          <w:t xml:space="preserve">https://doi.org/10.1641/b580607</w:t>
        </w:r>
      </w:hyperlink>
    </w:p>
    <w:bookmarkEnd w:id="146"/>
    <w:bookmarkStart w:id="148"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47">
        <w:r>
          <w:rPr>
            <w:rStyle w:val="Hyperlink"/>
          </w:rPr>
          <w:t xml:space="preserve">https://doi.org/10.1002/ece3.7921</w:t>
        </w:r>
      </w:hyperlink>
    </w:p>
    <w:bookmarkEnd w:id="148"/>
    <w:bookmarkStart w:id="150"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149">
        <w:r>
          <w:rPr>
            <w:rStyle w:val="Hyperlink"/>
          </w:rPr>
          <w:t xml:space="preserve">https://doi.org/10.1111/j.2517-6161.1977.tb01615.x</w:t>
        </w:r>
      </w:hyperlink>
    </w:p>
    <w:bookmarkEnd w:id="150"/>
    <w:bookmarkStart w:id="152"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51">
        <w:r>
          <w:rPr>
            <w:rStyle w:val="Hyperlink"/>
          </w:rPr>
          <w:t xml:space="preserve">https://doi.org/10.1093/forestscience/53.3.395</w:t>
        </w:r>
      </w:hyperlink>
    </w:p>
    <w:bookmarkEnd w:id="152"/>
    <w:bookmarkStart w:id="154" w:name="ref-roy2016"/>
    <w:p>
      <w:pPr>
        <w:pStyle w:val="Bibliography"/>
      </w:pPr>
      <w:r>
        <w:t xml:space="preserve">Roy, D. P., Kovalskyy, V., Zhang, H. K., Vermote, E. F., Yan, L., Kumar, S. S., &amp; Egorov, A. (2016). Characterization of</w:t>
      </w:r>
      <w:r>
        <w:t xml:space="preserve"> </w:t>
      </w:r>
      <w:r>
        <w:t xml:space="preserve">Landsat-7</w:t>
      </w:r>
      <w:r>
        <w:t xml:space="preserve"> </w:t>
      </w:r>
      <w:r>
        <w:t xml:space="preserve">to</w:t>
      </w:r>
      <w:r>
        <w:t xml:space="preserve"> </w:t>
      </w:r>
      <w:r>
        <w:t xml:space="preserve">Landsat-8</w:t>
      </w:r>
      <w:r>
        <w:t xml:space="preserve"> </w:t>
      </w:r>
      <w:r>
        <w:t xml:space="preserve">reflective wavelength and normalized difference vegetation index continuity.</w:t>
      </w:r>
      <w:r>
        <w:t xml:space="preserve"> </w:t>
      </w:r>
      <w:r>
        <w:rPr>
          <w:i/>
          <w:iCs/>
        </w:rPr>
        <w:t xml:space="preserve">Remote Sensing of Environment</w:t>
      </w:r>
      <w:r>
        <w:t xml:space="preserve">,</w:t>
      </w:r>
      <w:r>
        <w:t xml:space="preserve"> </w:t>
      </w:r>
      <w:r>
        <w:rPr>
          <w:i/>
          <w:iCs/>
        </w:rPr>
        <w:t xml:space="preserve">185</w:t>
      </w:r>
      <w:r>
        <w:t xml:space="preserve">, 57–70.</w:t>
      </w:r>
      <w:r>
        <w:t xml:space="preserve"> </w:t>
      </w:r>
      <w:hyperlink r:id="rId153">
        <w:r>
          <w:rPr>
            <w:rStyle w:val="Hyperlink"/>
          </w:rPr>
          <w:t xml:space="preserve">https://doi.org/10.1016/j.rse.2015.12.024</w:t>
        </w:r>
      </w:hyperlink>
    </w:p>
    <w:bookmarkEnd w:id="154"/>
    <w:bookmarkStart w:id="155"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55"/>
    <w:bookmarkStart w:id="157" w:name="ref-safranyik1992"/>
    <w:p>
      <w:pPr>
        <w:pStyle w:val="Bibliography"/>
      </w:pPr>
      <w:r>
        <w:t xml:space="preserve">Safranyik, L., Linton, D. A., Silversides, R., &amp; McMullen, L. H. (1992). Dispersal of released mountain pine beetles under the canopy of a mature lodgepole pine stand.</w:t>
      </w:r>
      <w:r>
        <w:t xml:space="preserve"> </w:t>
      </w:r>
      <w:r>
        <w:rPr>
          <w:i/>
          <w:iCs/>
        </w:rPr>
        <w:t xml:space="preserve">Journal of Applied Entomology</w:t>
      </w:r>
      <w:r>
        <w:t xml:space="preserve">,</w:t>
      </w:r>
      <w:r>
        <w:t xml:space="preserve"> </w:t>
      </w:r>
      <w:r>
        <w:rPr>
          <w:i/>
          <w:iCs/>
        </w:rPr>
        <w:t xml:space="preserve">113</w:t>
      </w:r>
      <w:r>
        <w:t xml:space="preserve">(1-5), 441–450.</w:t>
      </w:r>
      <w:r>
        <w:t xml:space="preserve"> </w:t>
      </w:r>
      <w:hyperlink r:id="rId156">
        <w:r>
          <w:rPr>
            <w:rStyle w:val="Hyperlink"/>
          </w:rPr>
          <w:t xml:space="preserve">https://doi.org/10.1111/j.1439-0418.1992.tb00687.x</w:t>
        </w:r>
      </w:hyperlink>
    </w:p>
    <w:bookmarkEnd w:id="157"/>
    <w:bookmarkStart w:id="159"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58">
        <w:r>
          <w:rPr>
            <w:rStyle w:val="Hyperlink"/>
          </w:rPr>
          <w:t xml:space="preserve">https://doi.org/10.1111/j.1600-0587.2011.06847.x</w:t>
        </w:r>
      </w:hyperlink>
    </w:p>
    <w:bookmarkEnd w:id="159"/>
    <w:bookmarkStart w:id="161"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60">
        <w:r>
          <w:rPr>
            <w:rStyle w:val="Hyperlink"/>
          </w:rPr>
          <w:t xml:space="preserve">https://doi.org/10.1079/PAVSNNR202116018</w:t>
        </w:r>
      </w:hyperlink>
    </w:p>
    <w:bookmarkEnd w:id="161"/>
    <w:bookmarkStart w:id="163"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62">
        <w:r>
          <w:rPr>
            <w:rStyle w:val="Hyperlink"/>
          </w:rPr>
          <w:t xml:space="preserve">https://doi.org/10.1139/x92-220</w:t>
        </w:r>
      </w:hyperlink>
    </w:p>
    <w:bookmarkEnd w:id="163"/>
    <w:bookmarkStart w:id="165"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64">
        <w:r>
          <w:rPr>
            <w:rStyle w:val="Hyperlink"/>
          </w:rPr>
          <w:t xml:space="preserve">https://doi.org/10.1139/x99-182</w:t>
        </w:r>
      </w:hyperlink>
    </w:p>
    <w:bookmarkEnd w:id="165"/>
    <w:bookmarkStart w:id="167"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66">
        <w:r>
          <w:rPr>
            <w:rStyle w:val="Hyperlink"/>
          </w:rPr>
          <w:t xml:space="preserve">https://doi.org/10.1111/j.1466-8238.2011.00710.x</w:t>
        </w:r>
      </w:hyperlink>
    </w:p>
    <w:bookmarkEnd w:id="167"/>
    <w:bookmarkStart w:id="169"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68">
        <w:r>
          <w:rPr>
            <w:rStyle w:val="Hyperlink"/>
          </w:rPr>
          <w:t xml:space="preserve">https://doi.org/10.3390/f5010103</w:t>
        </w:r>
      </w:hyperlink>
    </w:p>
    <w:bookmarkEnd w:id="169"/>
    <w:bookmarkStart w:id="170"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70"/>
    <w:bookmarkStart w:id="172"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71">
        <w:r>
          <w:rPr>
            <w:rStyle w:val="Hyperlink"/>
          </w:rPr>
          <w:t xml:space="preserve">https://doi.org/10.1093/forestscience/50.5.610</w:t>
        </w:r>
      </w:hyperlink>
    </w:p>
    <w:bookmarkEnd w:id="172"/>
    <w:bookmarkStart w:id="174"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73">
        <w:r>
          <w:rPr>
            <w:rStyle w:val="Hyperlink"/>
          </w:rPr>
          <w:t xml:space="preserve">https://doi.org/10.1111/j.1461-9563.2008.00408.x</w:t>
        </w:r>
      </w:hyperlink>
    </w:p>
    <w:bookmarkEnd w:id="174"/>
    <w:bookmarkStart w:id="176"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75">
        <w:r>
          <w:rPr>
            <w:rStyle w:val="Hyperlink"/>
          </w:rPr>
          <w:t xml:space="preserve">https://doi.org/10.1016/j.foreco.2013.03.038</w:t>
        </w:r>
      </w:hyperlink>
    </w:p>
    <w:bookmarkEnd w:id="176"/>
    <w:bookmarkStart w:id="178"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77">
        <w:r>
          <w:rPr>
            <w:rStyle w:val="Hyperlink"/>
          </w:rPr>
          <w:t xml:space="preserve">https://doi.org/10.2307/1940551</w:t>
        </w:r>
      </w:hyperlink>
    </w:p>
    <w:bookmarkEnd w:id="178"/>
    <w:bookmarkStart w:id="180"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179">
        <w:r>
          <w:rPr>
            <w:rStyle w:val="Hyperlink"/>
          </w:rPr>
          <w:t xml:space="preserve">https://doi.org/10.1201/9781315370279</w:t>
        </w:r>
      </w:hyperlink>
    </w:p>
    <w:bookmarkEnd w:id="180"/>
    <w:bookmarkStart w:id="182"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181">
        <w:r>
          <w:rPr>
            <w:rStyle w:val="Hyperlink"/>
          </w:rPr>
          <w:t xml:space="preserve">https://doi.org/10.1016/j.rse.2005.12.010</w:t>
        </w:r>
      </w:hyperlink>
    </w:p>
    <w:bookmarkEnd w:id="182"/>
    <w:bookmarkStart w:id="184" w:name="ref-zou2005"/>
    <w:p>
      <w:pPr>
        <w:pStyle w:val="Bibliography"/>
      </w:pPr>
      <w:r>
        <w:t xml:space="preserve">Zou, H., &amp; Hastie, T. (2005). Regularization and variable selection via the elastic net.</w:t>
      </w:r>
      <w:r>
        <w:t xml:space="preserve"> </w:t>
      </w:r>
      <w:r>
        <w:rPr>
          <w:i/>
          <w:iCs/>
        </w:rPr>
        <w:t xml:space="preserve">Journal of the Royal Statistical Society Series B: Statistical Methodology</w:t>
      </w:r>
      <w:r>
        <w:t xml:space="preserve">,</w:t>
      </w:r>
      <w:r>
        <w:t xml:space="preserve"> </w:t>
      </w:r>
      <w:r>
        <w:rPr>
          <w:i/>
          <w:iCs/>
        </w:rPr>
        <w:t xml:space="preserve">67</w:t>
      </w:r>
      <w:r>
        <w:t xml:space="preserve">(2), 301–320.</w:t>
      </w:r>
      <w:r>
        <w:t xml:space="preserve"> </w:t>
      </w:r>
      <w:hyperlink r:id="rId183">
        <w:r>
          <w:rPr>
            <w:rStyle w:val="Hyperlink"/>
          </w:rPr>
          <w:t xml:space="preserve">https://doi.org/10.1111/j.1467-9868.2005.00503.x</w:t>
        </w:r>
      </w:hyperlink>
    </w:p>
    <w:bookmarkEnd w:id="184"/>
    <w:bookmarkEnd w:id="185"/>
    <w:p>
      <w:r>
        <w:br w:type="page"/>
      </w:r>
    </w:p>
    <w:bookmarkEnd w:id="186"/>
    <w:bookmarkStart w:id="187"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p>
      <w:r>
        <w:br w:type="page"/>
      </w:r>
    </w:p>
    <w:bookmarkEnd w:id="187"/>
    <w:bookmarkStart w:id="19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88" w:name="tbl-vri"/>
          <w:p>
            <w:pPr>
              <w:jc w:val="center"/>
            </w:pPr>
            <w:pPr>
              <w:jc w:val="start"/>
              <w:spacing w:before="200"/>
              <w:pStyle w:val="ImageCaption"/>
            </w:pPr>
            <w:r>
              <w:t xml:space="preserve">Table 1: 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32.99</w:t>
                  </w:r>
                </w:p>
              </w:tc>
              <w:tc>
                <w:tcPr>
                  <w:tcW w:w="864" w:type="dxa"/>
                </w:tcPr>
                <w:p>
                  <w:pPr>
                    <w:pStyle w:val="Compact"/>
                    <w:jc w:val="left"/>
                    <w:rPr>
                      <w:sz w:val="15"/>
                      <w:szCs w:val="15"/>
                    </w:rPr>
                  </w:pPr>
                  <w:r>
                    <w:rPr>
                      <w:sz w:val="15"/>
                      <w:szCs w:val="15"/>
                    </w:rPr>
                    <w:t xml:space="preserve">14.23</w:t>
                  </w:r>
                </w:p>
              </w:tc>
              <w:tc>
                <w:tcPr>
                  <w:tcW w:w="864" w:type="dxa"/>
                </w:tcPr>
                <w:p>
                  <w:pPr>
                    <w:pStyle w:val="Compact"/>
                    <w:jc w:val="left"/>
                    <w:rPr>
                      <w:sz w:val="15"/>
                      <w:szCs w:val="15"/>
                    </w:rPr>
                  </w:pPr>
                  <w:r>
                    <w:rPr>
                      <w:sz w:val="15"/>
                      <w:szCs w:val="15"/>
                    </w:rPr>
                    <w:t xml:space="preserve">0.037</w:t>
                  </w:r>
                </w:p>
              </w:tc>
              <w:tc>
                <w:tcPr>
                  <w:tcW w:w="864" w:type="dxa"/>
                </w:tcPr>
                <w:p>
                  <w:pPr>
                    <w:pStyle w:val="Compact"/>
                    <w:jc w:val="left"/>
                    <w:rPr>
                      <w:sz w:val="15"/>
                      <w:szCs w:val="15"/>
                    </w:rPr>
                  </w:pPr>
                  <w:r>
                    <w:rPr>
                      <w:sz w:val="15"/>
                      <w:szCs w:val="15"/>
                    </w:rPr>
                    <w:t xml:space="preserve">36.12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93.49</w:t>
                  </w:r>
                </w:p>
              </w:tc>
              <w:tc>
                <w:tcPr>
                  <w:tcW w:w="864" w:type="dxa"/>
                </w:tcPr>
                <w:p>
                  <w:pPr>
                    <w:pStyle w:val="Compact"/>
                    <w:jc w:val="left"/>
                    <w:rPr>
                      <w:sz w:val="15"/>
                      <w:szCs w:val="15"/>
                    </w:rPr>
                  </w:pPr>
                  <w:r>
                    <w:rPr>
                      <w:sz w:val="15"/>
                      <w:szCs w:val="15"/>
                    </w:rPr>
                    <w:t xml:space="preserve">-0.71</w:t>
                  </w:r>
                </w:p>
              </w:tc>
              <w:tc>
                <w:tcPr>
                  <w:tcW w:w="864" w:type="dxa"/>
                </w:tcPr>
                <w:p>
                  <w:pPr>
                    <w:pStyle w:val="Compact"/>
                    <w:jc w:val="left"/>
                    <w:rPr>
                      <w:sz w:val="15"/>
                      <w:szCs w:val="15"/>
                    </w:rPr>
                  </w:pPr>
                  <w:r>
                    <w:rPr>
                      <w:sz w:val="15"/>
                      <w:szCs w:val="15"/>
                    </w:rPr>
                    <w:t xml:space="preserve">+0.51</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47.01</w:t>
                  </w:r>
                </w:p>
              </w:tc>
              <w:tc>
                <w:tcPr>
                  <w:tcW w:w="864" w:type="dxa"/>
                </w:tcPr>
                <w:p>
                  <w:pPr>
                    <w:pStyle w:val="Compact"/>
                    <w:jc w:val="left"/>
                    <w:rPr>
                      <w:sz w:val="15"/>
                      <w:szCs w:val="15"/>
                    </w:rPr>
                  </w:pPr>
                  <w:r>
                    <w:rPr>
                      <w:sz w:val="15"/>
                      <w:szCs w:val="15"/>
                    </w:rPr>
                    <w:t xml:space="preserve">16.91</w:t>
                  </w:r>
                </w:p>
              </w:tc>
              <w:tc>
                <w:tcPr>
                  <w:tcW w:w="864" w:type="dxa"/>
                </w:tcPr>
                <w:p>
                  <w:pPr>
                    <w:pStyle w:val="Compact"/>
                    <w:jc w:val="left"/>
                    <w:rPr>
                      <w:sz w:val="15"/>
                      <w:szCs w:val="15"/>
                    </w:rPr>
                  </w:pPr>
                  <w:r>
                    <w:rPr>
                      <w:sz w:val="15"/>
                      <w:szCs w:val="15"/>
                    </w:rPr>
                    <w:t xml:space="preserve">0.043</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1.00</w:t>
                  </w:r>
                </w:p>
              </w:tc>
              <w:tc>
                <w:tcPr>
                  <w:tcW w:w="864" w:type="dxa"/>
                </w:tcPr>
                <w:p>
                  <w:pPr>
                    <w:pStyle w:val="Compact"/>
                    <w:jc w:val="left"/>
                    <w:rPr>
                      <w:sz w:val="15"/>
                      <w:szCs w:val="15"/>
                    </w:rPr>
                  </w:pPr>
                  <w:r>
                    <w:rPr>
                      <w:sz w:val="15"/>
                      <w:szCs w:val="15"/>
                    </w:rPr>
                    <w:t xml:space="preserve">90.00</w:t>
                  </w:r>
                </w:p>
              </w:tc>
              <w:tc>
                <w:tcPr>
                  <w:tcW w:w="864" w:type="dxa"/>
                </w:tcPr>
                <w:p>
                  <w:pPr>
                    <w:pStyle w:val="Compact"/>
                    <w:jc w:val="left"/>
                    <w:rPr>
                      <w:sz w:val="15"/>
                      <w:szCs w:val="15"/>
                    </w:rPr>
                  </w:pPr>
                  <w:r>
                    <w:rPr>
                      <w:sz w:val="15"/>
                      <w:szCs w:val="15"/>
                    </w:rPr>
                    <w:t xml:space="preserve">-1.28</w:t>
                  </w:r>
                </w:p>
              </w:tc>
              <w:tc>
                <w:tcPr>
                  <w:tcW w:w="864" w:type="dxa"/>
                </w:tcPr>
                <w:p>
                  <w:pPr>
                    <w:pStyle w:val="Compact"/>
                    <w:jc w:val="left"/>
                    <w:rPr>
                      <w:sz w:val="15"/>
                      <w:szCs w:val="15"/>
                    </w:rPr>
                  </w:pPr>
                  <w:r>
                    <w:rPr>
                      <w:sz w:val="15"/>
                      <w:szCs w:val="15"/>
                    </w:rPr>
                    <w:t xml:space="preserve">+0.96</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818.76</w:t>
                  </w:r>
                </w:p>
              </w:tc>
              <w:tc>
                <w:tcPr>
                  <w:tcW w:w="864" w:type="dxa"/>
                </w:tcPr>
                <w:p>
                  <w:pPr>
                    <w:pStyle w:val="Compact"/>
                    <w:jc w:val="left"/>
                    <w:rPr>
                      <w:sz w:val="15"/>
                      <w:szCs w:val="15"/>
                    </w:rPr>
                  </w:pPr>
                  <w:r>
                    <w:rPr>
                      <w:sz w:val="15"/>
                      <w:szCs w:val="15"/>
                    </w:rPr>
                    <w:t xml:space="preserve">649.74</w:t>
                  </w:r>
                </w:p>
              </w:tc>
              <w:tc>
                <w:tcPr>
                  <w:tcW w:w="864" w:type="dxa"/>
                </w:tcPr>
                <w:p>
                  <w:pPr>
                    <w:pStyle w:val="Compact"/>
                    <w:jc w:val="left"/>
                    <w:rPr>
                      <w:sz w:val="15"/>
                      <w:szCs w:val="15"/>
                    </w:rPr>
                  </w:pPr>
                  <w:r>
                    <w:rPr>
                      <w:sz w:val="15"/>
                      <w:szCs w:val="15"/>
                    </w:rPr>
                    <w:t xml:space="preserve">1.661</w:t>
                  </w:r>
                </w:p>
              </w:tc>
              <w:tc>
                <w:tcPr>
                  <w:tcW w:w="864" w:type="dxa"/>
                </w:tcPr>
                <w:p>
                  <w:pPr>
                    <w:pStyle w:val="Compact"/>
                    <w:jc w:val="left"/>
                    <w:rPr>
                      <w:sz w:val="15"/>
                      <w:szCs w:val="15"/>
                    </w:rPr>
                  </w:pPr>
                  <w:r>
                    <w:rPr>
                      <w:sz w:val="15"/>
                      <w:szCs w:val="15"/>
                    </w:rPr>
                    <w:t xml:space="preserve">770.00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19400.00</w:t>
                  </w:r>
                </w:p>
              </w:tc>
              <w:tc>
                <w:tcPr>
                  <w:tcW w:w="864" w:type="dxa"/>
                </w:tcPr>
                <w:p>
                  <w:pPr>
                    <w:pStyle w:val="Compact"/>
                    <w:jc w:val="left"/>
                    <w:rPr>
                      <w:sz w:val="15"/>
                      <w:szCs w:val="15"/>
                    </w:rPr>
                  </w:pPr>
                  <w:r>
                    <w:rPr>
                      <w:sz w:val="15"/>
                      <w:szCs w:val="15"/>
                    </w:rPr>
                    <w:t xml:space="preserve">+6.68</w:t>
                  </w:r>
                </w:p>
              </w:tc>
              <w:tc>
                <w:tcPr>
                  <w:tcW w:w="864" w:type="dxa"/>
                </w:tcPr>
                <w:p>
                  <w:pPr>
                    <w:pStyle w:val="Compact"/>
                    <w:jc w:val="left"/>
                    <w:rPr>
                      <w:sz w:val="15"/>
                      <w:szCs w:val="15"/>
                    </w:rPr>
                  </w:pPr>
                  <w:r>
                    <w:rPr>
                      <w:sz w:val="15"/>
                      <w:szCs w:val="15"/>
                    </w:rPr>
                    <w:t xml:space="preserve">+72.89</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26.26</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0.016</w:t>
                  </w:r>
                </w:p>
              </w:tc>
              <w:tc>
                <w:tcPr>
                  <w:tcW w:w="864" w:type="dxa"/>
                </w:tcPr>
                <w:p>
                  <w:pPr>
                    <w:pStyle w:val="Compact"/>
                    <w:jc w:val="left"/>
                    <w:rPr>
                      <w:sz w:val="15"/>
                      <w:szCs w:val="15"/>
                    </w:rPr>
                  </w:pPr>
                  <w:r>
                    <w:rPr>
                      <w:sz w:val="15"/>
                      <w:szCs w:val="15"/>
                    </w:rPr>
                    <w:t xml:space="preserve">25.74</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78.78</w:t>
                  </w:r>
                </w:p>
              </w:tc>
              <w:tc>
                <w:tcPr>
                  <w:tcW w:w="864" w:type="dxa"/>
                </w:tcPr>
                <w:p>
                  <w:pPr>
                    <w:pStyle w:val="Compact"/>
                    <w:jc w:val="left"/>
                    <w:rPr>
                      <w:sz w:val="15"/>
                      <w:szCs w:val="15"/>
                    </w:rPr>
                  </w:pPr>
                  <w:r>
                    <w:rPr>
                      <w:sz w:val="15"/>
                      <w:szCs w:val="15"/>
                    </w:rPr>
                    <w:t xml:space="preserve">+1.10</w:t>
                  </w:r>
                </w:p>
              </w:tc>
              <w:tc>
                <w:tcPr>
                  <w:tcW w:w="864" w:type="dxa"/>
                </w:tcPr>
                <w:p>
                  <w:pPr>
                    <w:pStyle w:val="Compact"/>
                    <w:jc w:val="left"/>
                    <w:rPr>
                      <w:sz w:val="15"/>
                      <w:szCs w:val="15"/>
                    </w:rPr>
                  </w:pPr>
                  <w:r>
                    <w:rPr>
                      <w:sz w:val="15"/>
                      <w:szCs w:val="15"/>
                    </w:rPr>
                    <w:t xml:space="preserve">+2.37</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107.03</w:t>
                  </w:r>
                </w:p>
              </w:tc>
              <w:tc>
                <w:tcPr>
                  <w:tcW w:w="864" w:type="dxa"/>
                </w:tcPr>
                <w:p>
                  <w:pPr>
                    <w:pStyle w:val="Compact"/>
                    <w:jc w:val="left"/>
                    <w:rPr>
                      <w:sz w:val="15"/>
                      <w:szCs w:val="15"/>
                    </w:rPr>
                  </w:pPr>
                  <w:r>
                    <w:rPr>
                      <w:sz w:val="15"/>
                      <w:szCs w:val="15"/>
                    </w:rPr>
                    <w:t xml:space="preserve">32.31</w:t>
                  </w:r>
                </w:p>
              </w:tc>
              <w:tc>
                <w:tcPr>
                  <w:tcW w:w="864" w:type="dxa"/>
                </w:tcPr>
                <w:p>
                  <w:pPr>
                    <w:pStyle w:val="Compact"/>
                    <w:jc w:val="left"/>
                    <w:rPr>
                      <w:sz w:val="15"/>
                      <w:szCs w:val="15"/>
                    </w:rPr>
                  </w:pPr>
                  <w:r>
                    <w:rPr>
                      <w:sz w:val="15"/>
                      <w:szCs w:val="15"/>
                    </w:rPr>
                    <w:t xml:space="preserve">0.082</w:t>
                  </w:r>
                </w:p>
              </w:tc>
              <w:tc>
                <w:tcPr>
                  <w:tcW w:w="864" w:type="dxa"/>
                </w:tcPr>
                <w:p>
                  <w:pPr>
                    <w:pStyle w:val="Compact"/>
                    <w:jc w:val="left"/>
                    <w:rPr>
                      <w:sz w:val="15"/>
                      <w:szCs w:val="15"/>
                    </w:rPr>
                  </w:pPr>
                  <w:r>
                    <w:rPr>
                      <w:sz w:val="15"/>
                      <w:szCs w:val="15"/>
                    </w:rPr>
                    <w:t xml:space="preserve">108.00</w:t>
                  </w:r>
                </w:p>
              </w:tc>
              <w:tc>
                <w:tcPr>
                  <w:tcW w:w="863" w:type="dxa"/>
                </w:tcPr>
                <w:p>
                  <w:pPr>
                    <w:pStyle w:val="Compact"/>
                    <w:jc w:val="left"/>
                    <w:rPr>
                      <w:sz w:val="15"/>
                      <w:szCs w:val="15"/>
                    </w:rPr>
                  </w:pPr>
                  <w:r>
                    <w:rPr>
                      <w:sz w:val="15"/>
                      <w:szCs w:val="15"/>
                    </w:rPr>
                    <w:t xml:space="preserve">4.00</w:t>
                  </w:r>
                </w:p>
              </w:tc>
              <w:tc>
                <w:tcPr>
                  <w:tcW w:w="864" w:type="dxa"/>
                </w:tcPr>
                <w:p>
                  <w:pPr>
                    <w:pStyle w:val="Compact"/>
                    <w:jc w:val="left"/>
                    <w:rPr>
                      <w:sz w:val="15"/>
                      <w:szCs w:val="15"/>
                    </w:rPr>
                  </w:pPr>
                  <w:r>
                    <w:rPr>
                      <w:sz w:val="15"/>
                      <w:szCs w:val="15"/>
                    </w:rPr>
                    <w:t xml:space="preserve">337.00</w:t>
                  </w:r>
                </w:p>
              </w:tc>
              <w:tc>
                <w:tcPr>
                  <w:tcW w:w="864" w:type="dxa"/>
                </w:tcPr>
                <w:p>
                  <w:pPr>
                    <w:pStyle w:val="Compact"/>
                    <w:jc w:val="left"/>
                    <w:rPr>
                      <w:sz w:val="15"/>
                      <w:szCs w:val="15"/>
                    </w:rPr>
                  </w:pPr>
                  <w:r>
                    <w:rPr>
                      <w:sz w:val="15"/>
                      <w:szCs w:val="15"/>
                    </w:rPr>
                    <w:t xml:space="preserve">-0.06</w:t>
                  </w:r>
                </w:p>
              </w:tc>
              <w:tc>
                <w:tcPr>
                  <w:tcW w:w="864" w:type="dxa"/>
                </w:tcPr>
                <w:p>
                  <w:pPr>
                    <w:pStyle w:val="Compact"/>
                    <w:jc w:val="left"/>
                    <w:rPr>
                      <w:sz w:val="15"/>
                      <w:szCs w:val="15"/>
                    </w:rPr>
                  </w:pPr>
                  <w:r>
                    <w:rPr>
                      <w:sz w:val="15"/>
                      <w:szCs w:val="15"/>
                    </w:rPr>
                    <w:t xml:space="preserve">+4.85</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24.90</w:t>
                  </w:r>
                </w:p>
              </w:tc>
              <w:tc>
                <w:tcPr>
                  <w:tcW w:w="864" w:type="dxa"/>
                </w:tcPr>
                <w:p>
                  <w:pPr>
                    <w:pStyle w:val="Compact"/>
                    <w:jc w:val="left"/>
                    <w:rPr>
                      <w:sz w:val="15"/>
                      <w:szCs w:val="15"/>
                    </w:rPr>
                  </w:pPr>
                  <w:r>
                    <w:rPr>
                      <w:sz w:val="15"/>
                      <w:szCs w:val="15"/>
                    </w:rPr>
                    <w:t xml:space="preserve">7.90</w:t>
                  </w:r>
                </w:p>
              </w:tc>
              <w:tc>
                <w:tcPr>
                  <w:tcW w:w="864" w:type="dxa"/>
                </w:tcPr>
                <w:p>
                  <w:pPr>
                    <w:pStyle w:val="Compact"/>
                    <w:jc w:val="left"/>
                    <w:rPr>
                      <w:sz w:val="15"/>
                      <w:szCs w:val="15"/>
                    </w:rPr>
                  </w:pPr>
                  <w:r>
                    <w:rPr>
                      <w:sz w:val="15"/>
                      <w:szCs w:val="15"/>
                    </w:rPr>
                    <w:t xml:space="preserve">0.020</w:t>
                  </w:r>
                </w:p>
              </w:tc>
              <w:tc>
                <w:tcPr>
                  <w:tcW w:w="864" w:type="dxa"/>
                </w:tcPr>
                <w:p>
                  <w:pPr>
                    <w:pStyle w:val="Compact"/>
                    <w:jc w:val="left"/>
                    <w:rPr>
                      <w:sz w:val="15"/>
                      <w:szCs w:val="15"/>
                    </w:rPr>
                  </w:pPr>
                  <w:r>
                    <w:rPr>
                      <w:sz w:val="15"/>
                      <w:szCs w:val="15"/>
                    </w:rPr>
                    <w:t xml:space="preserve">25.40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42.30</w:t>
                  </w:r>
                </w:p>
              </w:tc>
              <w:tc>
                <w:tcPr>
                  <w:tcW w:w="864" w:type="dxa"/>
                </w:tcPr>
                <w:p>
                  <w:pPr>
                    <w:pStyle w:val="Compact"/>
                    <w:jc w:val="left"/>
                    <w:rPr>
                      <w:sz w:val="15"/>
                      <w:szCs w:val="15"/>
                    </w:rPr>
                  </w:pPr>
                  <w:r>
                    <w:rPr>
                      <w:sz w:val="15"/>
                      <w:szCs w:val="15"/>
                    </w:rPr>
                    <w:t xml:space="preserve">-0.88</w:t>
                  </w:r>
                </w:p>
              </w:tc>
              <w:tc>
                <w:tcPr>
                  <w:tcW w:w="864" w:type="dxa"/>
                </w:tcPr>
                <w:p>
                  <w:pPr>
                    <w:pStyle w:val="Compact"/>
                    <w:jc w:val="left"/>
                    <w:rPr>
                      <w:sz w:val="15"/>
                      <w:szCs w:val="15"/>
                    </w:rPr>
                  </w:pPr>
                  <w:r>
                    <w:rPr>
                      <w:sz w:val="15"/>
                      <w:szCs w:val="15"/>
                    </w:rPr>
                    <w:t xml:space="preserve">+1.46</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251.09</w:t>
                  </w:r>
                </w:p>
              </w:tc>
              <w:tc>
                <w:tcPr>
                  <w:tcW w:w="864" w:type="dxa"/>
                </w:tcPr>
                <w:p>
                  <w:pPr>
                    <w:pStyle w:val="Compact"/>
                    <w:jc w:val="left"/>
                    <w:rPr>
                      <w:sz w:val="15"/>
                      <w:szCs w:val="15"/>
                    </w:rPr>
                  </w:pPr>
                  <w:r>
                    <w:rPr>
                      <w:sz w:val="15"/>
                      <w:szCs w:val="15"/>
                    </w:rPr>
                    <w:t xml:space="preserve">144.01</w:t>
                  </w:r>
                </w:p>
              </w:tc>
              <w:tc>
                <w:tcPr>
                  <w:tcW w:w="864" w:type="dxa"/>
                </w:tcPr>
                <w:p>
                  <w:pPr>
                    <w:pStyle w:val="Compact"/>
                    <w:jc w:val="left"/>
                    <w:rPr>
                      <w:sz w:val="15"/>
                      <w:szCs w:val="15"/>
                    </w:rPr>
                  </w:pPr>
                  <w:r>
                    <w:rPr>
                      <w:sz w:val="15"/>
                      <w:szCs w:val="15"/>
                    </w:rPr>
                    <w:t xml:space="preserve">0.374</w:t>
                  </w:r>
                </w:p>
              </w:tc>
              <w:tc>
                <w:tcPr>
                  <w:tcW w:w="864" w:type="dxa"/>
                </w:tcPr>
                <w:p>
                  <w:pPr>
                    <w:pStyle w:val="Compact"/>
                    <w:jc w:val="left"/>
                    <w:rPr>
                      <w:sz w:val="15"/>
                      <w:szCs w:val="15"/>
                    </w:rPr>
                  </w:pPr>
                  <w:r>
                    <w:rPr>
                      <w:sz w:val="15"/>
                      <w:szCs w:val="15"/>
                    </w:rPr>
                    <w:t xml:space="preserve">250.59</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889.64</w:t>
                  </w:r>
                </w:p>
              </w:tc>
              <w:tc>
                <w:tcPr>
                  <w:tcW w:w="864" w:type="dxa"/>
                </w:tcPr>
                <w:p>
                  <w:pPr>
                    <w:pStyle w:val="Compact"/>
                    <w:jc w:val="left"/>
                    <w:rPr>
                      <w:sz w:val="15"/>
                      <w:szCs w:val="15"/>
                    </w:rPr>
                  </w:pPr>
                  <w:r>
                    <w:rPr>
                      <w:sz w:val="15"/>
                      <w:szCs w:val="15"/>
                    </w:rPr>
                    <w:t xml:space="preserve">+0.15</w:t>
                  </w:r>
                </w:p>
              </w:tc>
              <w:tc>
                <w:tcPr>
                  <w:tcW w:w="864" w:type="dxa"/>
                </w:tcPr>
                <w:p>
                  <w:pPr>
                    <w:pStyle w:val="Compact"/>
                    <w:jc w:val="left"/>
                    <w:rPr>
                      <w:sz w:val="15"/>
                      <w:szCs w:val="15"/>
                    </w:rPr>
                  </w:pPr>
                  <w:r>
                    <w:rPr>
                      <w:sz w:val="15"/>
                      <w:szCs w:val="15"/>
                    </w:rPr>
                    <w:t xml:space="preserve">-0.46</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20.19</w:t>
                  </w:r>
                </w:p>
              </w:tc>
              <w:tc>
                <w:tcPr>
                  <w:tcW w:w="864" w:type="dxa"/>
                </w:tcPr>
                <w:p>
                  <w:pPr>
                    <w:pStyle w:val="Compact"/>
                    <w:jc w:val="left"/>
                    <w:rPr>
                      <w:sz w:val="15"/>
                      <w:szCs w:val="15"/>
                    </w:rPr>
                  </w:pPr>
                  <w:r>
                    <w:rPr>
                      <w:sz w:val="15"/>
                      <w:szCs w:val="15"/>
                    </w:rPr>
                    <w:t xml:space="preserve">26.35</w:t>
                  </w:r>
                </w:p>
              </w:tc>
              <w:tc>
                <w:tcPr>
                  <w:tcW w:w="864" w:type="dxa"/>
                </w:tcPr>
                <w:p>
                  <w:pPr>
                    <w:pStyle w:val="Compact"/>
                    <w:jc w:val="left"/>
                    <w:rPr>
                      <w:sz w:val="15"/>
                      <w:szCs w:val="15"/>
                    </w:rPr>
                  </w:pPr>
                  <w:r>
                    <w:rPr>
                      <w:sz w:val="15"/>
                      <w:szCs w:val="15"/>
                    </w:rPr>
                    <w:t xml:space="preserve">0.064</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+1.39</w:t>
                  </w:r>
                </w:p>
              </w:tc>
              <w:tc>
                <w:tcPr>
                  <w:tcW w:w="864" w:type="dxa"/>
                </w:tcPr>
                <w:p>
                  <w:pPr>
                    <w:pStyle w:val="Compact"/>
                    <w:jc w:val="left"/>
                    <w:rPr>
                      <w:sz w:val="15"/>
                      <w:szCs w:val="15"/>
                    </w:rPr>
                  </w:pPr>
                  <w:r>
                    <w:rPr>
                      <w:sz w:val="15"/>
                      <w:szCs w:val="15"/>
                    </w:rPr>
                    <w:t xml:space="preserve">+1.09</w:t>
                  </w:r>
                </w:p>
              </w:tc>
            </w:tr>
            <w:tr>
              <w:trPr>
                <w:trHeight w:val="454" w:hRule="auto"/>
              </w:trPr>
              <w:tc>
                <w:tcPr>
                  <w:tcW w:w="2446" w:type="dxa"/>
                </w:tcPr>
                <w:p>
                  <w:pPr>
                    <w:pStyle w:val="Compact"/>
                    <w:jc w:val="left"/>
                    <w:rPr>
                      <w:sz w:val="16"/>
                      <w:szCs w:val="16"/>
                    </w:rPr>
                  </w:pPr>
                  <w:r>
                    <w:rPr>
                      <w:sz w:val="16"/>
                      <w:szCs w:val="16"/>
                    </w:rPr>
                    <w:t xml:space="preserve">Susceptible pine basal area (m² ha⁻¹)</w:t>
                  </w:r>
                </w:p>
              </w:tc>
              <w:tc>
                <w:tcPr>
                  <w:tcW w:w="863" w:type="dxa"/>
                </w:tcPr>
                <w:p>
                  <w:pPr>
                    <w:pStyle w:val="Compact"/>
                    <w:jc w:val="left"/>
                    <w:rPr>
                      <w:sz w:val="15"/>
                      <w:szCs w:val="15"/>
                    </w:rPr>
                  </w:pPr>
                  <w:r>
                    <w:rPr>
                      <w:sz w:val="15"/>
                      <w:szCs w:val="15"/>
                    </w:rPr>
                    <w:t xml:space="preserve">7.34</w:t>
                  </w:r>
                </w:p>
              </w:tc>
              <w:tc>
                <w:tcPr>
                  <w:tcW w:w="864" w:type="dxa"/>
                </w:tcPr>
                <w:p>
                  <w:pPr>
                    <w:pStyle w:val="Compact"/>
                    <w:jc w:val="left"/>
                    <w:rPr>
                      <w:sz w:val="15"/>
                      <w:szCs w:val="15"/>
                    </w:rPr>
                  </w:pPr>
                  <w:r>
                    <w:rPr>
                      <w:sz w:val="15"/>
                      <w:szCs w:val="15"/>
                    </w:rPr>
                    <w:t xml:space="preserve">9.87</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3.42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+1.53</w:t>
                  </w:r>
                </w:p>
              </w:tc>
              <w:tc>
                <w:tcPr>
                  <w:tcW w:w="864" w:type="dxa"/>
                </w:tcPr>
                <w:p>
                  <w:pPr>
                    <w:pStyle w:val="Compact"/>
                    <w:jc w:val="left"/>
                    <w:rPr>
                      <w:sz w:val="15"/>
                      <w:szCs w:val="15"/>
                    </w:rPr>
                  </w:pPr>
                  <w:r>
                    <w:rPr>
                      <w:sz w:val="15"/>
                      <w:szCs w:val="15"/>
                    </w:rPr>
                    <w:t xml:space="preserve">+1.86</w:t>
                  </w:r>
                </w:p>
              </w:tc>
            </w:tr>
          </w:tbl>
          <w:bookmarkEnd w:id="188"/>
          <w:p/>
        </w:tc>
      </w:tr>
    </w:tbl>
    <w:p>
      <w:r>
        <w:br w:type="page"/>
      </w:r>
    </w:p>
    <w:tbl>
      <w:tblPr>
        <w:tblStyle w:val="Table"/>
        <w:tblW w:type="pct" w:w="5000"/>
        <w:tblLayout w:type="fixed"/>
        <w:tblLook w:firstRow="0" w:lastRow="0" w:firstColumn="0" w:lastColumn="0" w:noHBand="0" w:noVBand="0" w:val="0000"/>
      </w:tblPr>
      <w:tblGrid>
        <w:gridCol w:w="7920"/>
      </w:tblGrid>
      <w:tr>
        <w:tc>
          <w:tcPr/>
          <w:bookmarkStart w:id="189" w:name="tbl-classifier"/>
          <w:p>
            <w:pPr>
              <w:jc w:val="center"/>
            </w:pPr>
            <w:pPr>
              <w:jc w:val="start"/>
              <w:spacing w:before="200"/>
              <w:pStyle w:val="ImageCaption"/>
            </w:pPr>
            <w:r>
              <w:t xml:space="preserve">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1800"/>
              <w:gridCol w:w="1079"/>
              <w:gridCol w:w="1079"/>
              <w:gridCol w:w="1079"/>
              <w:gridCol w:w="1079"/>
              <w:gridCol w:w="1079"/>
              <w:gridCol w:w="1079"/>
              <w:gridCol w:w="1080"/>
            </w:tblGrid>
            <w:tr>
              <w:trPr>
                <w:tblHeader w:val="on"/>
                <w:trHeight w:val="397" w:hRule="exact"/>
              </w:trPr>
              <w:tc>
                <w:tcPr>
                  <w:tcW w:w="1800" w:type="dxa"/>
                  <w:vAlign w:val="center"/>
                </w:tcPr>
                <w:p>
                  <w:pPr>
                    <w:pStyle w:val="Compact"/>
                    <w:jc w:val="left"/>
                    <w:rPr>
                      <w:sz w:val="16"/>
                      <w:szCs w:val="16"/>
                    </w:rPr>
                  </w:pPr>
                  <w:r>
                    <w:rPr>
                      <w:b/>
                      <w:sz w:val="16"/>
                      <w:szCs w:val="16"/>
                    </w:rPr>
                    <w:t xml:space="preserve">Model</w:t>
                  </w:r>
                </w:p>
              </w:tc>
              <w:tc>
                <w:tcPr>
                  <w:tcW w:w="1079" w:type="dxa"/>
                  <w:vAlign w:val="center"/>
                </w:tcPr>
                <w:p>
                  <w:pPr>
                    <w:pStyle w:val="Compact"/>
                    <w:jc w:val="left"/>
                    <w:rPr>
                      <w:sz w:val="16"/>
                      <w:szCs w:val="16"/>
                    </w:rPr>
                  </w:pPr>
                  <w:r>
                    <w:rPr>
                      <w:b/>
                      <w:sz w:val="16"/>
                      <w:szCs w:val="16"/>
                    </w:rPr>
                    <w:t xml:space="preserve">Accuracy</w:t>
                  </w:r>
                </w:p>
              </w:tc>
              <w:tc>
                <w:tcPr>
                  <w:tcW w:w="1079" w:type="dxa"/>
                  <w:vAlign w:val="center"/>
                </w:tcPr>
                <w:p>
                  <w:pPr>
                    <w:pStyle w:val="Compact"/>
                    <w:jc w:val="left"/>
                    <w:rPr>
                      <w:sz w:val="16"/>
                      <w:szCs w:val="16"/>
                    </w:rPr>
                  </w:pPr>
                  <w:r>
                    <w:rPr>
                      <w:b/>
                      <w:sz w:val="16"/>
                      <w:szCs w:val="16"/>
                    </w:rPr>
                    <w:t xml:space="preserve">Accuracy 95%</w:t>
                  </w:r>
                </w:p>
              </w:tc>
              <w:tc>
                <w:tcPr>
                  <w:tcW w:w="1079" w:type="dxa"/>
                  <w:vAlign w:val="center"/>
                </w:tcPr>
                <w:p>
                  <w:pPr>
                    <w:pStyle w:val="Compact"/>
                    <w:jc w:val="left"/>
                    <w:rPr>
                      <w:sz w:val="16"/>
                      <w:szCs w:val="16"/>
                    </w:rPr>
                  </w:pPr>
                  <w:r>
                    <w:rPr>
                      <w:b/>
                      <w:sz w:val="16"/>
                      <w:szCs w:val="16"/>
                    </w:rPr>
                    <w:t xml:space="preserve">Kappa</w:t>
                  </w:r>
                </w:p>
              </w:tc>
              <w:tc>
                <w:tcPr>
                  <w:tcW w:w="1079" w:type="dxa"/>
                  <w:vAlign w:val="center"/>
                </w:tcPr>
                <w:p>
                  <w:pPr>
                    <w:pStyle w:val="Compact"/>
                    <w:jc w:val="left"/>
                    <w:rPr>
                      <w:sz w:val="16"/>
                      <w:szCs w:val="16"/>
                    </w:rPr>
                  </w:pPr>
                  <w:r>
                    <w:rPr>
                      <w:b/>
                      <w:sz w:val="16"/>
                      <w:szCs w:val="16"/>
                    </w:rPr>
                    <w:t xml:space="preserve">Kappa 95%</w:t>
                  </w:r>
                </w:p>
              </w:tc>
              <w:tc>
                <w:tcPr>
                  <w:tcW w:w="1079" w:type="dxa"/>
                  <w:vAlign w:val="center"/>
                </w:tcPr>
                <w:p>
                  <w:pPr>
                    <w:pStyle w:val="Compact"/>
                    <w:jc w:val="left"/>
                    <w:rPr>
                      <w:sz w:val="16"/>
                      <w:szCs w:val="16"/>
                    </w:rPr>
                  </w:pPr>
                  <w:r>
                    <w:rPr>
                      <w:b/>
                      <w:sz w:val="16"/>
                      <w:szCs w:val="16"/>
                    </w:rPr>
                    <w:t xml:space="preserve">Sensitivity</w:t>
                  </w:r>
                </w:p>
              </w:tc>
              <w:tc>
                <w:tcPr>
                  <w:tcW w:w="1079" w:type="dxa"/>
                  <w:vAlign w:val="center"/>
                </w:tcPr>
                <w:p>
                  <w:pPr>
                    <w:pStyle w:val="Compact"/>
                    <w:jc w:val="left"/>
                    <w:rPr>
                      <w:sz w:val="16"/>
                      <w:szCs w:val="16"/>
                    </w:rPr>
                  </w:pPr>
                  <w:r>
                    <w:rPr>
                      <w:b/>
                      <w:sz w:val="16"/>
                      <w:szCs w:val="16"/>
                    </w:rPr>
                    <w:t xml:space="preserve">Specificity</w:t>
                  </w:r>
                </w:p>
              </w:tc>
              <w:tc>
                <w:tcPr>
                  <w:tcW w:w="1080" w:type="dxa"/>
                  <w:vAlign w:val="center"/>
                </w:tcPr>
                <w:p>
                  <w:pPr>
                    <w:pStyle w:val="Compact"/>
                    <w:jc w:val="left"/>
                    <w:rPr>
                      <w:sz w:val="16"/>
                      <w:szCs w:val="16"/>
                    </w:rPr>
                  </w:pPr>
                  <w:r>
                    <w:rPr>
                      <w:b/>
                      <w:sz w:val="16"/>
                      <w:szCs w:val="16"/>
                    </w:rPr>
                    <w:t xml:space="preserve">Chosen</w:t>
                  </w:r>
                </w:p>
              </w:tc>
            </w:tr>
            <w:tr>
              <w:trPr>
                <w:trHeight w:val="624" w:hRule="exact"/>
              </w:trPr>
              <w:tc>
                <w:tcPr>
                  <w:tcW w:w="1800" w:type="dxa"/>
                  <w:vAlign w:val="center"/>
                </w:tcPr>
                <w:p>
                  <w:pPr>
                    <w:pStyle w:val="Compact"/>
                    <w:jc w:val="left"/>
                    <w:rPr>
                      <w:sz w:val="16"/>
                      <w:szCs w:val="16"/>
                    </w:rPr>
                  </w:pPr>
                  <w:r>
                    <w:rPr>
                      <w:sz w:val="16"/>
                      <w:szCs w:val="16"/>
                    </w:rPr>
                    <w:t xml:space="preserve">gradient boosting</w:t>
                  </w:r>
                </w:p>
              </w:tc>
              <w:tc>
                <w:tcPr>
                  <w:tcW w:w="1079" w:type="dxa"/>
                  <w:vAlign w:val="center"/>
                </w:tcPr>
                <w:p>
                  <w:pPr>
                    <w:pStyle w:val="Compact"/>
                    <w:jc w:val="left"/>
                    <w:rPr>
                      <w:sz w:val="16"/>
                      <w:szCs w:val="16"/>
                    </w:rPr>
                  </w:pPr>
                  <w:r>
                    <w:rPr>
                      <w:sz w:val="16"/>
                      <w:szCs w:val="16"/>
                    </w:rPr>
                    <w:t xml:space="preserve">0.912 ± 0.049</w:t>
                  </w:r>
                </w:p>
              </w:tc>
              <w:tc>
                <w:tcPr>
                  <w:tcW w:w="1079" w:type="dxa"/>
                  <w:vAlign w:val="center"/>
                </w:tcPr>
                <w:p>
                  <w:pPr>
                    <w:pStyle w:val="Compact"/>
                    <w:jc w:val="left"/>
                    <w:rPr>
                      <w:sz w:val="16"/>
                      <w:szCs w:val="16"/>
                    </w:rPr>
                  </w:pPr>
                  <w:r>
                    <w:rPr>
                      <w:sz w:val="16"/>
                      <w:szCs w:val="16"/>
                    </w:rPr>
                    <w:t xml:space="preserve">0.820 to 1.000</w:t>
                  </w:r>
                </w:p>
              </w:tc>
              <w:tc>
                <w:tcPr>
                  <w:tcW w:w="1079" w:type="dxa"/>
                  <w:vAlign w:val="center"/>
                </w:tcPr>
                <w:p>
                  <w:pPr>
                    <w:pStyle w:val="Compact"/>
                    <w:jc w:val="left"/>
                    <w:rPr>
                      <w:sz w:val="16"/>
                      <w:szCs w:val="16"/>
                    </w:rPr>
                  </w:pPr>
                  <w:r>
                    <w:rPr>
                      <w:sz w:val="16"/>
                      <w:szCs w:val="16"/>
                    </w:rPr>
                    <w:t xml:space="preserve">0.810 ± 0.106</w:t>
                  </w:r>
                </w:p>
              </w:tc>
              <w:tc>
                <w:tcPr>
                  <w:tcW w:w="1079" w:type="dxa"/>
                  <w:vAlign w:val="center"/>
                </w:tcPr>
                <w:p>
                  <w:pPr>
                    <w:pStyle w:val="Compact"/>
                    <w:jc w:val="left"/>
                    <w:rPr>
                      <w:sz w:val="16"/>
                      <w:szCs w:val="16"/>
                    </w:rPr>
                  </w:pPr>
                  <w:r>
                    <w:rPr>
                      <w:sz w:val="16"/>
                      <w:szCs w:val="16"/>
                    </w:rPr>
                    <w:t xml:space="preserve">0.614 to 1.000</w:t>
                  </w:r>
                </w:p>
              </w:tc>
              <w:tc>
                <w:tcPr>
                  <w:tcW w:w="1079" w:type="dxa"/>
                  <w:vAlign w:val="center"/>
                </w:tcPr>
                <w:p>
                  <w:pPr>
                    <w:pStyle w:val="Compact"/>
                    <w:jc w:val="left"/>
                    <w:rPr>
                      <w:sz w:val="16"/>
                      <w:szCs w:val="16"/>
                    </w:rPr>
                  </w:pPr>
                  <w:r>
                    <w:rPr>
                      <w:sz w:val="16"/>
                      <w:szCs w:val="16"/>
                    </w:rPr>
                    <w:t xml:space="preserve">0.920</w:t>
                  </w:r>
                </w:p>
              </w:tc>
              <w:tc>
                <w:tcPr>
                  <w:tcW w:w="1079" w:type="dxa"/>
                  <w:vAlign w:val="center"/>
                </w:tcPr>
                <w:p>
                  <w:pPr>
                    <w:pStyle w:val="Compact"/>
                    <w:jc w:val="left"/>
                    <w:rPr>
                      <w:sz w:val="16"/>
                      <w:szCs w:val="16"/>
                    </w:rPr>
                  </w:pPr>
                  <w:r>
                    <w:rPr>
                      <w:sz w:val="16"/>
                      <w:szCs w:val="16"/>
                    </w:rPr>
                    <w:t xml:space="preserve">0.899</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random forest</w:t>
                  </w:r>
                </w:p>
              </w:tc>
              <w:tc>
                <w:tcPr>
                  <w:tcW w:w="1079" w:type="dxa"/>
                  <w:vAlign w:val="center"/>
                </w:tcPr>
                <w:p>
                  <w:pPr>
                    <w:pStyle w:val="Compact"/>
                    <w:jc w:val="left"/>
                    <w:rPr>
                      <w:sz w:val="16"/>
                      <w:szCs w:val="16"/>
                    </w:rPr>
                  </w:pPr>
                  <w:r>
                    <w:rPr>
                      <w:sz w:val="16"/>
                      <w:szCs w:val="16"/>
                    </w:rPr>
                    <w:t xml:space="preserve">0.898 ± 0.046</w:t>
                  </w:r>
                </w:p>
              </w:tc>
              <w:tc>
                <w:tcPr>
                  <w:tcW w:w="1079" w:type="dxa"/>
                  <w:vAlign w:val="center"/>
                </w:tcPr>
                <w:p>
                  <w:pPr>
                    <w:pStyle w:val="Compact"/>
                    <w:jc w:val="left"/>
                    <w:rPr>
                      <w:sz w:val="16"/>
                      <w:szCs w:val="16"/>
                    </w:rPr>
                  </w:pPr>
                  <w:r>
                    <w:rPr>
                      <w:sz w:val="16"/>
                      <w:szCs w:val="16"/>
                    </w:rPr>
                    <w:t xml:space="preserve">0.810 to 0.976</w:t>
                  </w:r>
                </w:p>
              </w:tc>
              <w:tc>
                <w:tcPr>
                  <w:tcW w:w="1079" w:type="dxa"/>
                  <w:vAlign w:val="center"/>
                </w:tcPr>
                <w:p>
                  <w:pPr>
                    <w:pStyle w:val="Compact"/>
                    <w:jc w:val="left"/>
                    <w:rPr>
                      <w:sz w:val="16"/>
                      <w:szCs w:val="16"/>
                    </w:rPr>
                  </w:pPr>
                  <w:r>
                    <w:rPr>
                      <w:sz w:val="16"/>
                      <w:szCs w:val="16"/>
                    </w:rPr>
                    <w:t xml:space="preserve">0.778 ± 0.099</w:t>
                  </w:r>
                </w:p>
              </w:tc>
              <w:tc>
                <w:tcPr>
                  <w:tcW w:w="1079" w:type="dxa"/>
                  <w:vAlign w:val="center"/>
                </w:tcPr>
                <w:p>
                  <w:pPr>
                    <w:pStyle w:val="Compact"/>
                    <w:jc w:val="left"/>
                    <w:rPr>
                      <w:sz w:val="16"/>
                      <w:szCs w:val="16"/>
                    </w:rPr>
                  </w:pPr>
                  <w:r>
                    <w:rPr>
                      <w:sz w:val="16"/>
                      <w:szCs w:val="16"/>
                    </w:rPr>
                    <w:t xml:space="preserve">0.585 to 0.948</w:t>
                  </w:r>
                </w:p>
              </w:tc>
              <w:tc>
                <w:tcPr>
                  <w:tcW w:w="1079" w:type="dxa"/>
                  <w:vAlign w:val="center"/>
                </w:tcPr>
                <w:p>
                  <w:pPr>
                    <w:pStyle w:val="Compact"/>
                    <w:jc w:val="left"/>
                    <w:rPr>
                      <w:sz w:val="16"/>
                      <w:szCs w:val="16"/>
                    </w:rPr>
                  </w:pPr>
                  <w:r>
                    <w:rPr>
                      <w:sz w:val="16"/>
                      <w:szCs w:val="16"/>
                    </w:rPr>
                    <w:t xml:space="preserve">0.925</w:t>
                  </w:r>
                </w:p>
              </w:tc>
              <w:tc>
                <w:tcPr>
                  <w:tcW w:w="1079" w:type="dxa"/>
                  <w:vAlign w:val="center"/>
                </w:tcPr>
                <w:p>
                  <w:pPr>
                    <w:pStyle w:val="Compact"/>
                    <w:jc w:val="left"/>
                    <w:rPr>
                      <w:sz w:val="16"/>
                      <w:szCs w:val="16"/>
                    </w:rPr>
                  </w:pPr>
                  <w:r>
                    <w:rPr>
                      <w:sz w:val="16"/>
                      <w:szCs w:val="16"/>
                    </w:rPr>
                    <w:t xml:space="preserve">0.854</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radial support vector machine</w:t>
                  </w:r>
                </w:p>
              </w:tc>
              <w:tc>
                <w:tcPr>
                  <w:tcW w:w="1079" w:type="dxa"/>
                  <w:vAlign w:val="center"/>
                </w:tcPr>
                <w:p>
                  <w:pPr>
                    <w:pStyle w:val="Compact"/>
                    <w:jc w:val="left"/>
                    <w:rPr>
                      <w:sz w:val="16"/>
                      <w:szCs w:val="16"/>
                    </w:rPr>
                  </w:pPr>
                  <w:r>
                    <w:rPr>
                      <w:sz w:val="16"/>
                      <w:szCs w:val="16"/>
                    </w:rPr>
                    <w:t xml:space="preserve">0.934 ± 0.037</w:t>
                  </w:r>
                </w:p>
              </w:tc>
              <w:tc>
                <w:tcPr>
                  <w:tcW w:w="1079" w:type="dxa"/>
                  <w:vAlign w:val="center"/>
                </w:tcPr>
                <w:p>
                  <w:pPr>
                    <w:pStyle w:val="Compact"/>
                    <w:jc w:val="left"/>
                    <w:rPr>
                      <w:sz w:val="16"/>
                      <w:szCs w:val="16"/>
                    </w:rPr>
                  </w:pPr>
                  <w:r>
                    <w:rPr>
                      <w:sz w:val="16"/>
                      <w:szCs w:val="16"/>
                    </w:rPr>
                    <w:t xml:space="preserve">0.859 to 1.000</w:t>
                  </w:r>
                </w:p>
              </w:tc>
              <w:tc>
                <w:tcPr>
                  <w:tcW w:w="1079" w:type="dxa"/>
                  <w:vAlign w:val="center"/>
                </w:tcPr>
                <w:p>
                  <w:pPr>
                    <w:pStyle w:val="Compact"/>
                    <w:jc w:val="left"/>
                    <w:rPr>
                      <w:sz w:val="16"/>
                      <w:szCs w:val="16"/>
                    </w:rPr>
                  </w:pPr>
                  <w:r>
                    <w:rPr>
                      <w:sz w:val="16"/>
                      <w:szCs w:val="16"/>
                    </w:rPr>
                    <w:t xml:space="preserve">0.859 ± 0.081</w:t>
                  </w:r>
                </w:p>
              </w:tc>
              <w:tc>
                <w:tcPr>
                  <w:tcW w:w="1079" w:type="dxa"/>
                  <w:vAlign w:val="center"/>
                </w:tcPr>
                <w:p>
                  <w:pPr>
                    <w:pStyle w:val="Compact"/>
                    <w:jc w:val="left"/>
                    <w:rPr>
                      <w:sz w:val="16"/>
                      <w:szCs w:val="16"/>
                    </w:rPr>
                  </w:pPr>
                  <w:r>
                    <w:rPr>
                      <w:sz w:val="16"/>
                      <w:szCs w:val="16"/>
                    </w:rPr>
                    <w:t xml:space="preserve">0.682 to 1.000</w:t>
                  </w:r>
                </w:p>
              </w:tc>
              <w:tc>
                <w:tcPr>
                  <w:tcW w:w="1079" w:type="dxa"/>
                  <w:vAlign w:val="center"/>
                </w:tcPr>
                <w:p>
                  <w:pPr>
                    <w:pStyle w:val="Compact"/>
                    <w:jc w:val="left"/>
                    <w:rPr>
                      <w:sz w:val="16"/>
                      <w:szCs w:val="16"/>
                    </w:rPr>
                  </w:pPr>
                  <w:r>
                    <w:rPr>
                      <w:sz w:val="16"/>
                      <w:szCs w:val="16"/>
                    </w:rPr>
                    <w:t xml:space="preserve">0.913</w:t>
                  </w:r>
                </w:p>
              </w:tc>
              <w:tc>
                <w:tcPr>
                  <w:tcW w:w="1079" w:type="dxa"/>
                  <w:vAlign w:val="center"/>
                </w:tcPr>
                <w:p>
                  <w:pPr>
                    <w:pStyle w:val="Compact"/>
                    <w:jc w:val="left"/>
                    <w:rPr>
                      <w:sz w:val="16"/>
                      <w:szCs w:val="16"/>
                    </w:rPr>
                  </w:pPr>
                  <w:r>
                    <w:rPr>
                      <w:sz w:val="16"/>
                      <w:szCs w:val="16"/>
                    </w:rPr>
                    <w:t xml:space="preserve">0.968</w:t>
                  </w:r>
                </w:p>
              </w:tc>
              <w:tc>
                <w:tcPr>
                  <w:tcW w:w="1080" w:type="dxa"/>
                  <w:vAlign w:val="center"/>
                </w:tcPr>
                <w:p>
                  <w:pPr>
                    <w:pStyle w:val="Compact"/>
                    <w:jc w:val="left"/>
                    <w:rPr>
                      <w:sz w:val="16"/>
                      <w:szCs w:val="16"/>
                    </w:rPr>
                  </w:pPr>
                  <w:r>
                    <w:rPr>
                      <w:sz w:val="16"/>
                      <w:szCs w:val="16"/>
                    </w:rPr>
                    <w:t xml:space="preserve">yes</w:t>
                  </w:r>
                </w:p>
              </w:tc>
            </w:tr>
          </w:tbl>
          <w:bookmarkEnd w:id="18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0" w:name="tbl-dependence"/>
          <w:p>
            <w:pPr>
              <w:jc w:val="center"/>
            </w:pPr>
            <w:pPr>
              <w:jc w:val="start"/>
              <w:spacing w:before="200"/>
              <w:pStyle w:val="ImageCaption"/>
            </w:pPr>
            <w:r>
              <w:t xml:space="preserve">Table 3: 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2447"/>
              <w:gridCol w:w="2302"/>
              <w:gridCol w:w="2302"/>
              <w:gridCol w:w="2303"/>
            </w:tblGrid>
            <w:tr>
              <w:trPr>
                <w:tblHeader w:val="on"/>
                <w:trHeight w:val="567" w:hRule="auto"/>
              </w:trPr>
              <w:tc>
                <w:tcPr>
                  <w:tcW w:w="2447" w:type="dxa"/>
                  <w:vAlign w:val="center"/>
                </w:tcPr>
                <w:p>
                  <w:pPr>
                    <w:pStyle w:val="Compact"/>
                    <w:jc w:val="left"/>
                    <w:rPr>
                      <w:sz w:val="16"/>
                      <w:szCs w:val="16"/>
                    </w:rPr>
                  </w:pPr>
                  <w:r>
                    <w:rPr>
                      <w:b/>
                      <w:sz w:val="16"/>
                      <w:szCs w:val="16"/>
                    </w:rPr>
                    <w:t xml:space="preserve">Terms</w:t>
                  </w:r>
                </w:p>
              </w:tc>
              <w:tc>
                <w:tcPr>
                  <w:tcW w:w="2302" w:type="dxa"/>
                  <w:vAlign w:val="center"/>
                </w:tcPr>
                <w:p>
                  <w:pPr>
                    <w:pStyle w:val="Compact"/>
                    <w:jc w:val="left"/>
                    <w:rPr>
                      <w:sz w:val="16"/>
                      <w:szCs w:val="16"/>
                    </w:rPr>
                  </w:pPr>
                  <w:r>
                    <w:rPr>
                      <w:b/>
                      <w:sz w:val="16"/>
                      <w:szCs w:val="16"/>
                    </w:rPr>
                    <w:t xml:space="preserve">k</w:t>
                  </w:r>
                </w:p>
              </w:tc>
              <w:tc>
                <w:tcPr>
                  <w:tcW w:w="2302" w:type="dxa"/>
                  <w:vAlign w:val="center"/>
                </w:tcPr>
                <w:p>
                  <w:pPr>
                    <w:pStyle w:val="Compact"/>
                    <w:jc w:val="left"/>
                    <w:rPr>
                      <w:sz w:val="16"/>
                      <w:szCs w:val="16"/>
                    </w:rPr>
                  </w:pPr>
                  <w:r>
                    <w:rPr>
                      <w:b/>
                      <w:sz w:val="16"/>
                      <w:szCs w:val="16"/>
                    </w:rPr>
                    <w:t xml:space="preserve">AIC</w:t>
                  </w:r>
                </w:p>
              </w:tc>
              <w:tc>
                <w:tcPr>
                  <w:tcW w:w="2303" w:type="dxa"/>
                  <w:vAlign w:val="center"/>
                </w:tcPr>
                <w:p>
                  <w:pPr>
                    <w:pStyle w:val="Compact"/>
                    <w:jc w:val="left"/>
                    <w:rPr>
                      <w:sz w:val="16"/>
                      <w:szCs w:val="16"/>
                    </w:rPr>
                  </w:pPr>
                  <w:r>
                    <w:rPr>
                      <w:b/>
                      <w:sz w:val="16"/>
                      <w:szCs w:val="16"/>
                    </w:rPr>
                    <w:t xml:space="preserve">Delta AIC</w:t>
                  </w:r>
                </w:p>
              </w:tc>
            </w:tr>
            <w:tr>
              <w:trPr>
                <w:trHeight w:val="397" w:hRule="auto"/>
              </w:trPr>
              <w:tc>
                <w:tcPr>
                  <w:tcW w:w="2447" w:type="dxa"/>
                  <w:vAlign w:val="center"/>
                </w:tcPr>
                <w:p>
                  <w:pPr>
                    <w:pStyle w:val="Compact"/>
                    <w:jc w:val="left"/>
                    <w:rPr>
                      <w:sz w:val="16"/>
                      <w:szCs w:val="16"/>
                    </w:rPr>
                  </w:pPr>
                  <w:r>
                    <w:rPr>
                      <w:sz w:val="16"/>
                      <w:szCs w:val="16"/>
                    </w:rPr>
                    <w:t xml:space="preserve">epoch</w:t>
                  </w:r>
                </w:p>
              </w:tc>
              <w:tc>
                <w:tcPr>
                  <w:tcW w:w="2302" w:type="dxa"/>
                  <w:vAlign w:val="center"/>
                </w:tcPr>
                <w:p>
                  <w:pPr>
                    <w:pStyle w:val="Compact"/>
                    <w:jc w:val="left"/>
                    <w:rPr>
                      <w:sz w:val="16"/>
                      <w:szCs w:val="16"/>
                    </w:rPr>
                  </w:pPr>
                  <w:r>
                    <w:rPr>
                      <w:sz w:val="16"/>
                      <w:szCs w:val="16"/>
                    </w:rPr>
                    <w:t xml:space="preserve">32</w:t>
                  </w:r>
                </w:p>
              </w:tc>
              <w:tc>
                <w:tcPr>
                  <w:tcW w:w="2302" w:type="dxa"/>
                  <w:vAlign w:val="center"/>
                </w:tcPr>
                <w:p>
                  <w:pPr>
                    <w:pStyle w:val="Compact"/>
                    <w:jc w:val="left"/>
                    <w:rPr>
                      <w:sz w:val="16"/>
                      <w:szCs w:val="16"/>
                    </w:rPr>
                  </w:pPr>
                  <w:r>
                    <w:rPr>
                      <w:sz w:val="16"/>
                      <w:szCs w:val="16"/>
                    </w:rPr>
                    <w:t xml:space="preserve">63,232</w:t>
                  </w:r>
                </w:p>
              </w:tc>
              <w:tc>
                <w:tcPr>
                  <w:tcW w:w="2303" w:type="dxa"/>
                  <w:vAlign w:val="center"/>
                </w:tcPr>
                <w:p>
                  <w:pPr>
                    <w:pStyle w:val="Compact"/>
                    <w:jc w:val="left"/>
                    <w:rPr>
                      <w:sz w:val="16"/>
                      <w:szCs w:val="16"/>
                    </w:rPr>
                  </w:pPr>
                  <w:r>
                    <w:rPr>
                      <w:sz w:val="16"/>
                      <w:szCs w:val="16"/>
                    </w:rPr>
                    <w:t xml:space="preserve">19,079.7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53,602</w:t>
                  </w:r>
                </w:p>
              </w:tc>
              <w:tc>
                <w:tcPr>
                  <w:tcW w:w="2303" w:type="dxa"/>
                  <w:vAlign w:val="center"/>
                </w:tcPr>
                <w:p>
                  <w:pPr>
                    <w:pStyle w:val="Compact"/>
                    <w:jc w:val="left"/>
                    <w:rPr>
                      <w:sz w:val="16"/>
                      <w:szCs w:val="16"/>
                    </w:rPr>
                  </w:pPr>
                  <w:r>
                    <w:rPr>
                      <w:sz w:val="16"/>
                      <w:szCs w:val="16"/>
                    </w:rPr>
                    <w:t xml:space="preserve">9,450.3</w:t>
                  </w:r>
                </w:p>
              </w:tc>
            </w:tr>
            <w:tr>
              <w:trPr>
                <w:trHeight w:val="397" w:hRule="auto"/>
              </w:trPr>
              <w:tc>
                <w:tcPr>
                  <w:tcW w:w="2447" w:type="dxa"/>
                  <w:vAlign w:val="center"/>
                </w:tcPr>
                <w:p>
                  <w:pPr>
                    <w:pStyle w:val="Compact"/>
                    <w:jc w:val="left"/>
                    <w:rPr>
                      <w:sz w:val="16"/>
                      <w:szCs w:val="16"/>
                    </w:rPr>
                  </w:pPr>
                  <w:r>
                    <w:rPr>
                      <w:sz w:val="16"/>
                      <w:szCs w:val="16"/>
                    </w:rPr>
                    <w:t xml:space="preserve">epoch + previous year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51,494</w:t>
                  </w:r>
                </w:p>
              </w:tc>
              <w:tc>
                <w:tcPr>
                  <w:tcW w:w="2303" w:type="dxa"/>
                  <w:vAlign w:val="center"/>
                </w:tcPr>
                <w:p>
                  <w:pPr>
                    <w:pStyle w:val="Compact"/>
                    <w:jc w:val="left"/>
                    <w:rPr>
                      <w:sz w:val="16"/>
                      <w:szCs w:val="16"/>
                    </w:rPr>
                  </w:pPr>
                  <w:r>
                    <w:rPr>
                      <w:sz w:val="16"/>
                      <w:szCs w:val="16"/>
                    </w:rPr>
                    <w:t xml:space="preserve">7,342.3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w:t>
                  </w:r>
                </w:p>
              </w:tc>
              <w:tc>
                <w:tcPr>
                  <w:tcW w:w="2302" w:type="dxa"/>
                  <w:vAlign w:val="center"/>
                </w:tcPr>
                <w:p>
                  <w:pPr>
                    <w:pStyle w:val="Compact"/>
                    <w:jc w:val="left"/>
                    <w:rPr>
                      <w:sz w:val="16"/>
                      <w:szCs w:val="16"/>
                    </w:rPr>
                  </w:pPr>
                  <w:r>
                    <w:rPr>
                      <w:sz w:val="16"/>
                      <w:szCs w:val="16"/>
                    </w:rPr>
                    <w:t xml:space="preserve">34</w:t>
                  </w:r>
                </w:p>
              </w:tc>
              <w:tc>
                <w:tcPr>
                  <w:tcW w:w="2302" w:type="dxa"/>
                  <w:vAlign w:val="center"/>
                </w:tcPr>
                <w:p>
                  <w:pPr>
                    <w:pStyle w:val="Compact"/>
                    <w:jc w:val="left"/>
                    <w:rPr>
                      <w:sz w:val="16"/>
                      <w:szCs w:val="16"/>
                    </w:rPr>
                  </w:pPr>
                  <w:r>
                    <w:rPr>
                      <w:sz w:val="16"/>
                      <w:szCs w:val="16"/>
                    </w:rPr>
                    <w:t xml:space="preserve">46,575</w:t>
                  </w:r>
                </w:p>
              </w:tc>
              <w:tc>
                <w:tcPr>
                  <w:tcW w:w="2303" w:type="dxa"/>
                  <w:vAlign w:val="center"/>
                </w:tcPr>
                <w:p>
                  <w:pPr>
                    <w:pStyle w:val="Compact"/>
                    <w:jc w:val="left"/>
                    <w:rPr>
                      <w:sz w:val="16"/>
                      <w:szCs w:val="16"/>
                    </w:rPr>
                  </w:pPr>
                  <w:r>
                    <w:rPr>
                      <w:sz w:val="16"/>
                      <w:szCs w:val="16"/>
                    </w:rPr>
                    <w:t xml:space="preserve">2,423.1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44,848</w:t>
                  </w:r>
                </w:p>
              </w:tc>
              <w:tc>
                <w:tcPr>
                  <w:tcW w:w="2303" w:type="dxa"/>
                  <w:vAlign w:val="center"/>
                </w:tcPr>
                <w:p>
                  <w:pPr>
                    <w:pStyle w:val="Compact"/>
                    <w:jc w:val="left"/>
                    <w:rPr>
                      <w:sz w:val="16"/>
                      <w:szCs w:val="16"/>
                    </w:rPr>
                  </w:pPr>
                  <w:r>
                    <w:rPr>
                      <w:sz w:val="16"/>
                      <w:szCs w:val="16"/>
                    </w:rPr>
                    <w:t xml:space="preserve">696.1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44,556</w:t>
                  </w:r>
                </w:p>
              </w:tc>
              <w:tc>
                <w:tcPr>
                  <w:tcW w:w="2303" w:type="dxa"/>
                  <w:vAlign w:val="center"/>
                </w:tcPr>
                <w:p>
                  <w:pPr>
                    <w:pStyle w:val="Compact"/>
                    <w:jc w:val="left"/>
                    <w:rPr>
                      <w:sz w:val="16"/>
                      <w:szCs w:val="16"/>
                    </w:rPr>
                  </w:pPr>
                  <w:r>
                    <w:rPr>
                      <w:sz w:val="16"/>
                      <w:szCs w:val="16"/>
                    </w:rPr>
                    <w:t xml:space="preserve">404.0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44,751</w:t>
                  </w:r>
                </w:p>
              </w:tc>
              <w:tc>
                <w:tcPr>
                  <w:tcW w:w="2303" w:type="dxa"/>
                  <w:vAlign w:val="center"/>
                </w:tcPr>
                <w:p>
                  <w:pPr>
                    <w:pStyle w:val="Compact"/>
                    <w:jc w:val="left"/>
                    <w:rPr>
                      <w:sz w:val="16"/>
                      <w:szCs w:val="16"/>
                    </w:rPr>
                  </w:pPr>
                  <w:r>
                    <w:rPr>
                      <w:sz w:val="16"/>
                      <w:szCs w:val="16"/>
                    </w:rPr>
                    <w:t xml:space="preserve">598.8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44,975</w:t>
                  </w:r>
                </w:p>
              </w:tc>
              <w:tc>
                <w:tcPr>
                  <w:tcW w:w="2303" w:type="dxa"/>
                  <w:vAlign w:val="center"/>
                </w:tcPr>
                <w:p>
                  <w:pPr>
                    <w:pStyle w:val="Compact"/>
                    <w:jc w:val="left"/>
                    <w:rPr>
                      <w:sz w:val="16"/>
                      <w:szCs w:val="16"/>
                    </w:rPr>
                  </w:pPr>
                  <w:r>
                    <w:rPr>
                      <w:sz w:val="16"/>
                      <w:szCs w:val="16"/>
                    </w:rPr>
                    <w:t xml:space="preserve">823.3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45,726</w:t>
                  </w:r>
                </w:p>
              </w:tc>
              <w:tc>
                <w:tcPr>
                  <w:tcW w:w="2303" w:type="dxa"/>
                  <w:vAlign w:val="center"/>
                </w:tcPr>
                <w:p>
                  <w:pPr>
                    <w:pStyle w:val="Compact"/>
                    <w:jc w:val="left"/>
                    <w:rPr>
                      <w:sz w:val="16"/>
                      <w:szCs w:val="16"/>
                    </w:rPr>
                  </w:pPr>
                  <w:r>
                    <w:rPr>
                      <w:sz w:val="16"/>
                      <w:szCs w:val="16"/>
                    </w:rPr>
                    <w:t xml:space="preserve">1,574.1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46,152</w:t>
                  </w:r>
                </w:p>
              </w:tc>
              <w:tc>
                <w:tcPr>
                  <w:tcW w:w="2303" w:type="dxa"/>
                  <w:vAlign w:val="center"/>
                </w:tcPr>
                <w:p>
                  <w:pPr>
                    <w:pStyle w:val="Compact"/>
                    <w:jc w:val="left"/>
                    <w:rPr>
                      <w:sz w:val="16"/>
                      <w:szCs w:val="16"/>
                    </w:rPr>
                  </w:pPr>
                  <w:r>
                    <w:rPr>
                      <w:sz w:val="16"/>
                      <w:szCs w:val="16"/>
                    </w:rPr>
                    <w:t xml:space="preserve">1,999.7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44,555</w:t>
                  </w:r>
                </w:p>
              </w:tc>
              <w:tc>
                <w:tcPr>
                  <w:tcW w:w="2303" w:type="dxa"/>
                  <w:vAlign w:val="center"/>
                </w:tcPr>
                <w:p>
                  <w:pPr>
                    <w:pStyle w:val="Compact"/>
                    <w:jc w:val="left"/>
                    <w:rPr>
                      <w:sz w:val="16"/>
                      <w:szCs w:val="16"/>
                    </w:rPr>
                  </w:pPr>
                  <w:r>
                    <w:rPr>
                      <w:sz w:val="16"/>
                      <w:szCs w:val="16"/>
                    </w:rPr>
                    <w:t xml:space="preserve">402.7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45,942</w:t>
                  </w:r>
                </w:p>
              </w:tc>
              <w:tc>
                <w:tcPr>
                  <w:tcW w:w="2303" w:type="dxa"/>
                  <w:vAlign w:val="center"/>
                </w:tcPr>
                <w:p>
                  <w:pPr>
                    <w:pStyle w:val="Compact"/>
                    <w:jc w:val="left"/>
                    <w:rPr>
                      <w:sz w:val="16"/>
                      <w:szCs w:val="16"/>
                    </w:rPr>
                  </w:pPr>
                  <w:r>
                    <w:rPr>
                      <w:sz w:val="16"/>
                      <w:szCs w:val="16"/>
                    </w:rPr>
                    <w:t xml:space="preserve">1,790.0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45,615</w:t>
                  </w:r>
                </w:p>
              </w:tc>
              <w:tc>
                <w:tcPr>
                  <w:tcW w:w="2303" w:type="dxa"/>
                  <w:vAlign w:val="center"/>
                </w:tcPr>
                <w:p>
                  <w:pPr>
                    <w:pStyle w:val="Compact"/>
                    <w:jc w:val="left"/>
                    <w:rPr>
                      <w:sz w:val="16"/>
                      <w:szCs w:val="16"/>
                    </w:rPr>
                  </w:pPr>
                  <w:r>
                    <w:rPr>
                      <w:sz w:val="16"/>
                      <w:szCs w:val="16"/>
                    </w:rPr>
                    <w:t xml:space="preserve">1,463.4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45,623</w:t>
                  </w:r>
                </w:p>
              </w:tc>
              <w:tc>
                <w:tcPr>
                  <w:tcW w:w="2303" w:type="dxa"/>
                  <w:vAlign w:val="center"/>
                </w:tcPr>
                <w:p>
                  <w:pPr>
                    <w:pStyle w:val="Compact"/>
                    <w:jc w:val="left"/>
                    <w:rPr>
                      <w:sz w:val="16"/>
                      <w:szCs w:val="16"/>
                    </w:rPr>
                  </w:pPr>
                  <w:r>
                    <w:rPr>
                      <w:sz w:val="16"/>
                      <w:szCs w:val="16"/>
                    </w:rPr>
                    <w:t xml:space="preserve">1,471.4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45,696</w:t>
                  </w:r>
                </w:p>
              </w:tc>
              <w:tc>
                <w:tcPr>
                  <w:tcW w:w="2303" w:type="dxa"/>
                  <w:vAlign w:val="center"/>
                </w:tcPr>
                <w:p>
                  <w:pPr>
                    <w:pStyle w:val="Compact"/>
                    <w:jc w:val="left"/>
                    <w:rPr>
                      <w:sz w:val="16"/>
                      <w:szCs w:val="16"/>
                    </w:rPr>
                  </w:pPr>
                  <w:r>
                    <w:rPr>
                      <w:sz w:val="16"/>
                      <w:szCs w:val="16"/>
                    </w:rPr>
                    <w:t xml:space="preserve">1,543.6</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46,063</w:t>
                  </w:r>
                </w:p>
              </w:tc>
              <w:tc>
                <w:tcPr>
                  <w:tcW w:w="2303" w:type="dxa"/>
                  <w:vAlign w:val="center"/>
                </w:tcPr>
                <w:p>
                  <w:pPr>
                    <w:pStyle w:val="Compact"/>
                    <w:jc w:val="left"/>
                    <w:rPr>
                      <w:sz w:val="16"/>
                      <w:szCs w:val="16"/>
                    </w:rPr>
                  </w:pPr>
                  <w:r>
                    <w:rPr>
                      <w:sz w:val="16"/>
                      <w:szCs w:val="16"/>
                    </w:rPr>
                    <w:t xml:space="preserve">1,911.5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46,270</w:t>
                  </w:r>
                </w:p>
              </w:tc>
              <w:tc>
                <w:tcPr>
                  <w:tcW w:w="2303" w:type="dxa"/>
                  <w:vAlign w:val="center"/>
                </w:tcPr>
                <w:p>
                  <w:pPr>
                    <w:pStyle w:val="Compact"/>
                    <w:jc w:val="left"/>
                    <w:rPr>
                      <w:sz w:val="16"/>
                      <w:szCs w:val="16"/>
                    </w:rPr>
                  </w:pPr>
                  <w:r>
                    <w:rPr>
                      <w:sz w:val="16"/>
                      <w:szCs w:val="16"/>
                    </w:rPr>
                    <w:t xml:space="preserve">2,118.2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45,588</w:t>
                  </w:r>
                </w:p>
              </w:tc>
              <w:tc>
                <w:tcPr>
                  <w:tcW w:w="2303" w:type="dxa"/>
                  <w:vAlign w:val="center"/>
                </w:tcPr>
                <w:p>
                  <w:pPr>
                    <w:pStyle w:val="Compact"/>
                    <w:jc w:val="left"/>
                    <w:rPr>
                      <w:sz w:val="16"/>
                      <w:szCs w:val="16"/>
                    </w:rPr>
                  </w:pPr>
                  <w:r>
                    <w:rPr>
                      <w:sz w:val="16"/>
                      <w:szCs w:val="16"/>
                    </w:rPr>
                    <w:t xml:space="preserve">1,436.2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 + previous year within bandwidth</w:t>
                  </w:r>
                </w:p>
              </w:tc>
              <w:tc>
                <w:tcPr>
                  <w:tcW w:w="2302" w:type="dxa"/>
                  <w:vAlign w:val="center"/>
                </w:tcPr>
                <w:p>
                  <w:pPr>
                    <w:pStyle w:val="Compact"/>
                    <w:jc w:val="left"/>
                    <w:rPr>
                      <w:sz w:val="16"/>
                      <w:szCs w:val="16"/>
                    </w:rPr>
                  </w:pPr>
                  <w:r>
                    <w:rPr>
                      <w:sz w:val="16"/>
                      <w:szCs w:val="16"/>
                    </w:rPr>
                    <w:t xml:space="preserve">36</w:t>
                  </w:r>
                </w:p>
              </w:tc>
              <w:tc>
                <w:tcPr>
                  <w:tcW w:w="2302" w:type="dxa"/>
                  <w:vAlign w:val="center"/>
                </w:tcPr>
                <w:p>
                  <w:pPr>
                    <w:pStyle w:val="Compact"/>
                    <w:jc w:val="left"/>
                    <w:rPr>
                      <w:sz w:val="16"/>
                      <w:szCs w:val="16"/>
                    </w:rPr>
                  </w:pPr>
                  <w:r>
                    <w:rPr>
                      <w:sz w:val="16"/>
                      <w:szCs w:val="16"/>
                    </w:rPr>
                    <w:t xml:space="preserve">44,152</w:t>
                  </w:r>
                </w:p>
              </w:tc>
              <w:tc>
                <w:tcPr>
                  <w:tcW w:w="2303" w:type="dxa"/>
                  <w:vAlign w:val="center"/>
                </w:tcPr>
                <w:p>
                  <w:pPr>
                    <w:pStyle w:val="Compact"/>
                    <w:jc w:val="left"/>
                    <w:rPr>
                      <w:sz w:val="16"/>
                      <w:szCs w:val="16"/>
                    </w:rPr>
                  </w:pPr>
                  <w:r>
                    <w:rPr>
                      <w:sz w:val="16"/>
                      <w:szCs w:val="16"/>
                    </w:rPr>
                    <w:t xml:space="preserve">0.0</w:t>
                  </w:r>
                </w:p>
              </w:tc>
            </w:tr>
          </w:tbl>
          <w:bookmarkEnd w:id="19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1" w:name="tbl-final"/>
          <w:p>
            <w:pPr>
              <w:jc w:val="center"/>
            </w:pPr>
            <w:pPr>
              <w:jc w:val="start"/>
              <w:spacing w:before="200"/>
              <w:pStyle w:val="ImageCaption"/>
            </w:pPr>
            <w:r>
              <w:t xml:space="preserve">Table 4: 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5997"/>
              <w:gridCol w:w="839"/>
              <w:gridCol w:w="839"/>
              <w:gridCol w:w="839"/>
              <w:gridCol w:w="840"/>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839" w:type="dxa"/>
                  <w:vAlign w:val="center"/>
                </w:tcPr>
                <w:p>
                  <w:pPr>
                    <w:pStyle w:val="Compact"/>
                    <w:jc w:val="left"/>
                    <w:rPr>
                      <w:sz w:val="16"/>
                      <w:szCs w:val="16"/>
                    </w:rPr>
                  </w:pPr>
                  <w:r>
                    <w:rPr>
                      <w:b/>
                      <w:sz w:val="16"/>
                      <w:szCs w:val="16"/>
                    </w:rPr>
                    <w:t xml:space="preserve">Estimate</w:t>
                  </w:r>
                </w:p>
              </w:tc>
              <w:tc>
                <w:tcPr>
                  <w:tcW w:w="839" w:type="dxa"/>
                  <w:vAlign w:val="center"/>
                </w:tcPr>
                <w:p>
                  <w:pPr>
                    <w:pStyle w:val="Compact"/>
                    <w:jc w:val="left"/>
                    <w:rPr>
                      <w:sz w:val="16"/>
                      <w:szCs w:val="16"/>
                    </w:rPr>
                  </w:pPr>
                  <w:r>
                    <w:rPr>
                      <w:b/>
                      <w:sz w:val="16"/>
                      <w:szCs w:val="16"/>
                    </w:rPr>
                    <w:t xml:space="preserve">SE</w:t>
                  </w:r>
                </w:p>
              </w:tc>
              <w:tc>
                <w:tcPr>
                  <w:tcW w:w="839" w:type="dxa"/>
                  <w:vAlign w:val="center"/>
                </w:tcPr>
                <w:p>
                  <w:pPr>
                    <w:pStyle w:val="Compact"/>
                    <w:jc w:val="left"/>
                    <w:rPr>
                      <w:sz w:val="16"/>
                      <w:szCs w:val="16"/>
                    </w:rPr>
                  </w:pPr>
                  <w:r>
                    <w:rPr>
                      <w:b/>
                      <w:sz w:val="16"/>
                      <w:szCs w:val="16"/>
                    </w:rPr>
                    <w:t xml:space="preserve">Odds ratio (95% CI)</w:t>
                  </w:r>
                </w:p>
              </w:tc>
              <w:tc>
                <w:tcPr>
                  <w:tcW w:w="840" w:type="dxa"/>
                  <w:vAlign w:val="center"/>
                </w:tcPr>
                <w:p>
                  <w:pPr>
                    <w:pStyle w:val="Compact"/>
                    <w:jc w:val="left"/>
                    <w:rPr>
                      <w:sz w:val="16"/>
                      <w:szCs w:val="16"/>
                    </w:rPr>
                  </w:pPr>
                  <w:r>
                    <w:rPr>
                      <w:b/>
                      <w:sz w:val="16"/>
                      <w:szCs w:val="16"/>
                    </w:rPr>
                    <w:t xml:space="preserve">With spatial field</w:t>
                  </w:r>
                </w:p>
              </w:tc>
            </w:tr>
            <w:tr>
              <w:trPr>
                <w:trHeight w:val="340" w:hRule="exact"/>
              </w:trPr>
              <w:tc>
                <w:tcPr>
                  <w:tcW w:w="5997" w:type="dxa"/>
                </w:tcPr>
                <w:p>
                  <w:pPr>
                    <w:pStyle w:val="Compact"/>
                    <w:jc w:val="left"/>
                    <w:rPr>
                      <w:sz w:val="16"/>
                      <w:szCs w:val="16"/>
                    </w:rPr>
                  </w:pPr>
                  <w:r>
                    <w:rPr>
                      <w:sz w:val="16"/>
                      <w:szCs w:val="16"/>
                    </w:rPr>
                    <w:t xml:space="preserve">Attack in the same cell, previous period</w:t>
                  </w:r>
                </w:p>
              </w:tc>
              <w:tc>
                <w:tcPr>
                  <w:tcW w:w="839" w:type="dxa"/>
                </w:tcPr>
                <w:p>
                  <w:pPr>
                    <w:pStyle w:val="Compact"/>
                    <w:jc w:val="left"/>
                    <w:rPr>
                      <w:sz w:val="16"/>
                      <w:szCs w:val="16"/>
                    </w:rPr>
                  </w:pPr>
                  <w:r>
                    <w:rPr>
                      <w:sz w:val="16"/>
                      <w:szCs w:val="16"/>
                    </w:rPr>
                    <w:t xml:space="preserve">+0.806****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2.24 (2.06 to 2.44)</w:t>
                  </w:r>
                </w:p>
              </w:tc>
              <w:tc>
                <w:tcPr>
                  <w:tcW w:w="840" w:type="dxa"/>
                </w:tcPr>
                <w:p>
                  <w:pPr>
                    <w:pStyle w:val="Compact"/>
                    <w:jc w:val="left"/>
                    <w:rPr>
                      <w:sz w:val="16"/>
                      <w:szCs w:val="16"/>
                    </w:rPr>
                  </w:pPr>
                  <w:r>
                    <w:rPr>
                      <w:sz w:val="16"/>
                      <w:szCs w:val="16"/>
                    </w:rPr>
                    <w:t xml:space="preserve">+0.818****</w:t>
                  </w:r>
                </w:p>
              </w:tc>
            </w:tr>
            <w:tr>
              <w:trPr>
                <w:trHeight w:val="340" w:hRule="exact"/>
              </w:trPr>
              <w:tc>
                <w:tcPr>
                  <w:tcW w:w="5997" w:type="dxa"/>
                </w:tcPr>
                <w:p>
                  <w:pPr>
                    <w:pStyle w:val="Compact"/>
                    <w:jc w:val="left"/>
                    <w:rPr>
                      <w:sz w:val="16"/>
                      <w:szCs w:val="16"/>
                    </w:rPr>
                  </w:pPr>
                  <w:r>
                    <w:rPr>
                      <w:sz w:val="16"/>
                      <w:szCs w:val="16"/>
                    </w:rPr>
                    <w:t xml:space="preserve">Attack in the same cell, previous year</w:t>
                  </w:r>
                </w:p>
              </w:tc>
              <w:tc>
                <w:tcPr>
                  <w:tcW w:w="839" w:type="dxa"/>
                </w:tcPr>
                <w:p>
                  <w:pPr>
                    <w:pStyle w:val="Compact"/>
                    <w:jc w:val="left"/>
                    <w:rPr>
                      <w:sz w:val="16"/>
                      <w:szCs w:val="16"/>
                    </w:rPr>
                  </w:pPr>
                  <w:r>
                    <w:rPr>
                      <w:sz w:val="16"/>
                      <w:szCs w:val="16"/>
                    </w:rPr>
                    <w:t xml:space="preserve">+1.846****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6.33 (5.82 to 6.89)</w:t>
                  </w:r>
                </w:p>
              </w:tc>
              <w:tc>
                <w:tcPr>
                  <w:tcW w:w="840" w:type="dxa"/>
                </w:tcPr>
                <w:p>
                  <w:pPr>
                    <w:pStyle w:val="Compact"/>
                    <w:jc w:val="left"/>
                    <w:rPr>
                      <w:sz w:val="16"/>
                      <w:szCs w:val="16"/>
                    </w:rPr>
                  </w:pPr>
                  <w:r>
                    <w:rPr>
                      <w:sz w:val="16"/>
                      <w:szCs w:val="16"/>
                    </w:rPr>
                    <w:t xml:space="preserve">+1.907****</w:t>
                  </w:r>
                </w:p>
              </w:tc>
            </w:tr>
            <w:tr>
              <w:trPr>
                <w:trHeight w:val="340" w:hRule="exact"/>
              </w:trPr>
              <w:tc>
                <w:tcPr>
                  <w:tcW w:w="5997" w:type="dxa"/>
                </w:tcPr>
                <w:p>
                  <w:pPr>
                    <w:pStyle w:val="Compact"/>
                    <w:jc w:val="left"/>
                    <w:rPr>
                      <w:sz w:val="16"/>
                      <w:szCs w:val="16"/>
                    </w:rPr>
                  </w:pPr>
                  <w:r>
                    <w:rPr>
                      <w:sz w:val="16"/>
                      <w:szCs w:val="16"/>
                    </w:rPr>
                    <w:t xml:space="preserve">Attack nearby at the bandwidth, previous period</w:t>
                  </w:r>
                </w:p>
              </w:tc>
              <w:tc>
                <w:tcPr>
                  <w:tcW w:w="839" w:type="dxa"/>
                </w:tcPr>
                <w:p>
                  <w:pPr>
                    <w:pStyle w:val="Compact"/>
                    <w:jc w:val="left"/>
                    <w:rPr>
                      <w:sz w:val="16"/>
                      <w:szCs w:val="16"/>
                    </w:rPr>
                  </w:pPr>
                  <w:r>
                    <w:rPr>
                      <w:sz w:val="16"/>
                      <w:szCs w:val="16"/>
                    </w:rPr>
                    <w:t xml:space="preserve">+2.419****</w:t>
                  </w:r>
                </w:p>
              </w:tc>
              <w:tc>
                <w:tcPr>
                  <w:tcW w:w="839" w:type="dxa"/>
                </w:tcPr>
                <w:p>
                  <w:pPr>
                    <w:pStyle w:val="Compact"/>
                    <w:jc w:val="left"/>
                    <w:rPr>
                      <w:sz w:val="16"/>
                      <w:szCs w:val="16"/>
                    </w:rPr>
                  </w:pPr>
                  <w:r>
                    <w:rPr>
                      <w:sz w:val="16"/>
                      <w:szCs w:val="16"/>
                    </w:rPr>
                    <w:t xml:space="preserve">0.080</w:t>
                  </w:r>
                </w:p>
              </w:tc>
              <w:tc>
                <w:tcPr>
                  <w:tcW w:w="839" w:type="dxa"/>
                </w:tcPr>
                <w:p>
                  <w:pPr>
                    <w:pStyle w:val="Compact"/>
                    <w:jc w:val="left"/>
                    <w:rPr>
                      <w:sz w:val="16"/>
                      <w:szCs w:val="16"/>
                    </w:rPr>
                  </w:pPr>
                  <w:r>
                    <w:rPr>
                      <w:sz w:val="16"/>
                      <w:szCs w:val="16"/>
                    </w:rPr>
                    <w:t xml:space="preserve">11.23 (9.59 to 13.15)</w:t>
                  </w:r>
                </w:p>
              </w:tc>
              <w:tc>
                <w:tcPr>
                  <w:tcW w:w="840" w:type="dxa"/>
                </w:tcPr>
                <w:p>
                  <w:pPr>
                    <w:pStyle w:val="Compact"/>
                    <w:jc w:val="left"/>
                    <w:rPr>
                      <w:sz w:val="16"/>
                      <w:szCs w:val="16"/>
                    </w:rPr>
                  </w:pPr>
                  <w:r>
                    <w:rPr>
                      <w:sz w:val="16"/>
                      <w:szCs w:val="16"/>
                    </w:rPr>
                    <w:t xml:space="preserve">+2.078****</w:t>
                  </w:r>
                </w:p>
              </w:tc>
            </w:tr>
            <w:tr>
              <w:trPr>
                <w:trHeight w:val="340" w:hRule="exact"/>
              </w:trPr>
              <w:tc>
                <w:tcPr>
                  <w:tcW w:w="5997" w:type="dxa"/>
                </w:tcPr>
                <w:p>
                  <w:pPr>
                    <w:pStyle w:val="Compact"/>
                    <w:jc w:val="left"/>
                    <w:rPr>
                      <w:sz w:val="16"/>
                      <w:szCs w:val="16"/>
                    </w:rPr>
                  </w:pPr>
                  <w:r>
                    <w:rPr>
                      <w:sz w:val="16"/>
                      <w:szCs w:val="16"/>
                    </w:rPr>
                    <w:t xml:space="preserve">Attack nearby at the bandwidth, previous year</w:t>
                  </w:r>
                </w:p>
              </w:tc>
              <w:tc>
                <w:tcPr>
                  <w:tcW w:w="839" w:type="dxa"/>
                </w:tcPr>
                <w:p>
                  <w:pPr>
                    <w:pStyle w:val="Compact"/>
                    <w:jc w:val="left"/>
                    <w:rPr>
                      <w:sz w:val="16"/>
                      <w:szCs w:val="16"/>
                    </w:rPr>
                  </w:pPr>
                  <w:r>
                    <w:rPr>
                      <w:sz w:val="16"/>
                      <w:szCs w:val="16"/>
                    </w:rPr>
                    <w:t xml:space="preserve">+1.383****</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3.99 (3.37 to 4.71)</w:t>
                  </w:r>
                </w:p>
              </w:tc>
              <w:tc>
                <w:tcPr>
                  <w:tcW w:w="840" w:type="dxa"/>
                </w:tcPr>
                <w:p>
                  <w:pPr>
                    <w:pStyle w:val="Compact"/>
                    <w:jc w:val="left"/>
                    <w:rPr>
                      <w:sz w:val="16"/>
                      <w:szCs w:val="16"/>
                    </w:rPr>
                  </w:pPr>
                  <w:r>
                    <w:rPr>
                      <w:sz w:val="16"/>
                      <w:szCs w:val="16"/>
                    </w:rPr>
                    <w:t xml:space="preserve">+1.223****</w:t>
                  </w:r>
                </w:p>
              </w:tc>
            </w:tr>
            <w:tr>
              <w:trPr>
                <w:trHeight w:val="340" w:hRule="exact"/>
              </w:trPr>
              <w:tc>
                <w:tcPr>
                  <w:tcW w:w="5997" w:type="dxa"/>
                </w:tcPr>
                <w:p>
                  <w:pPr>
                    <w:pStyle w:val="Compact"/>
                    <w:jc w:val="left"/>
                    <w:rPr>
                      <w:sz w:val="16"/>
                      <w:szCs w:val="16"/>
                    </w:rPr>
                  </w:pPr>
                  <w:r>
                    <w:rPr>
                      <w:sz w:val="16"/>
                      <w:szCs w:val="16"/>
                    </w:rPr>
                    <w:t xml:space="preserve">Height above valley floor (m)</w:t>
                  </w:r>
                </w:p>
              </w:tc>
              <w:tc>
                <w:tcPr>
                  <w:tcW w:w="839" w:type="dxa"/>
                </w:tcPr>
                <w:p>
                  <w:pPr>
                    <w:pStyle w:val="Compact"/>
                    <w:jc w:val="left"/>
                    <w:rPr>
                      <w:sz w:val="16"/>
                      <w:szCs w:val="16"/>
                    </w:rPr>
                  </w:pPr>
                  <w:r>
                    <w:rPr>
                      <w:sz w:val="16"/>
                      <w:szCs w:val="16"/>
                    </w:rPr>
                    <w:t xml:space="preserve">-0.178****</w:t>
                  </w:r>
                </w:p>
              </w:tc>
              <w:tc>
                <w:tcPr>
                  <w:tcW w:w="839" w:type="dxa"/>
                </w:tcPr>
                <w:p>
                  <w:pPr>
                    <w:pStyle w:val="Compact"/>
                    <w:jc w:val="left"/>
                    <w:rPr>
                      <w:sz w:val="16"/>
                      <w:szCs w:val="16"/>
                    </w:rPr>
                  </w:pPr>
                  <w:r>
                    <w:rPr>
                      <w:sz w:val="16"/>
                      <w:szCs w:val="16"/>
                    </w:rPr>
                    <w:t xml:space="preserve">0.027</w:t>
                  </w:r>
                </w:p>
              </w:tc>
              <w:tc>
                <w:tcPr>
                  <w:tcW w:w="839" w:type="dxa"/>
                </w:tcPr>
                <w:p>
                  <w:pPr>
                    <w:pStyle w:val="Compact"/>
                    <w:jc w:val="left"/>
                    <w:rPr>
                      <w:sz w:val="16"/>
                      <w:szCs w:val="16"/>
                    </w:rPr>
                  </w:pPr>
                  <w:r>
                    <w:rPr>
                      <w:sz w:val="16"/>
                      <w:szCs w:val="16"/>
                    </w:rPr>
                    <w:t xml:space="preserve">0.84 (0.79 to 0.88)</w:t>
                  </w:r>
                </w:p>
              </w:tc>
              <w:tc>
                <w:tcPr>
                  <w:tcW w:w="840" w:type="dxa"/>
                </w:tcPr>
                <w:p>
                  <w:pPr>
                    <w:pStyle w:val="Compact"/>
                    <w:jc w:val="left"/>
                    <w:rPr>
                      <w:sz w:val="16"/>
                      <w:szCs w:val="16"/>
                    </w:rPr>
                  </w:pPr>
                  <w:r>
                    <w:rPr>
                      <w:sz w:val="16"/>
                      <w:szCs w:val="16"/>
                    </w:rPr>
                    <w:t xml:space="preserve">+0.007</w:t>
                  </w:r>
                </w:p>
              </w:tc>
            </w:tr>
            <w:tr>
              <w:trPr>
                <w:trHeight w:val="340" w:hRule="exact"/>
              </w:trPr>
              <w:tc>
                <w:tcPr>
                  <w:tcW w:w="5997" w:type="dxa"/>
                </w:tcPr>
                <w:p>
                  <w:pPr>
                    <w:pStyle w:val="Compact"/>
                    <w:jc w:val="left"/>
                    <w:rPr>
                      <w:sz w:val="16"/>
                      <w:szCs w:val="16"/>
                    </w:rPr>
                  </w:pPr>
                  <w:r>
                    <w:rPr>
                      <w:sz w:val="16"/>
                      <w:szCs w:val="16"/>
                    </w:rPr>
                    <w:t xml:space="preserve">Elevation (m)</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0.020</w:t>
                  </w:r>
                </w:p>
              </w:tc>
              <w:tc>
                <w:tcPr>
                  <w:tcW w:w="839" w:type="dxa"/>
                </w:tcPr>
                <w:p>
                  <w:pPr>
                    <w:pStyle w:val="Compact"/>
                    <w:jc w:val="left"/>
                    <w:rPr>
                      <w:sz w:val="16"/>
                      <w:szCs w:val="16"/>
                    </w:rPr>
                  </w:pPr>
                  <w:r>
                    <w:rPr>
                      <w:sz w:val="16"/>
                      <w:szCs w:val="16"/>
                    </w:rPr>
                    <w:t xml:space="preserve">1.09 (1.05 to 1.13)</w:t>
                  </w:r>
                </w:p>
              </w:tc>
              <w:tc>
                <w:tcPr>
                  <w:tcW w:w="840" w:type="dxa"/>
                </w:tcPr>
                <w:p>
                  <w:pPr>
                    <w:pStyle w:val="Compact"/>
                    <w:jc w:val="left"/>
                    <w:rPr>
                      <w:sz w:val="16"/>
                      <w:szCs w:val="16"/>
                    </w:rPr>
                  </w:pPr>
                  <w:r>
                    <w:rPr>
                      <w:sz w:val="16"/>
                      <w:szCs w:val="16"/>
                    </w:rPr>
                    <w:t xml:space="preserve">+0.261*</w:t>
                  </w:r>
                </w:p>
              </w:tc>
            </w:tr>
            <w:tr>
              <w:trPr>
                <w:trHeight w:val="340" w:hRule="exact"/>
              </w:trPr>
              <w:tc>
                <w:tcPr>
                  <w:tcW w:w="5997" w:type="dxa"/>
                </w:tcPr>
                <w:p>
                  <w:pPr>
                    <w:pStyle w:val="Compact"/>
                    <w:jc w:val="left"/>
                    <w:rPr>
                      <w:sz w:val="16"/>
                      <w:szCs w:val="16"/>
                    </w:rPr>
                  </w:pPr>
                  <w:r>
                    <w:rPr>
                      <w:sz w:val="16"/>
                      <w:szCs w:val="16"/>
                    </w:rPr>
                    <w:t xml:space="preserve">Crown closure (%)</w:t>
                  </w:r>
                </w:p>
              </w:tc>
              <w:tc>
                <w:tcPr>
                  <w:tcW w:w="839" w:type="dxa"/>
                </w:tcPr>
                <w:p>
                  <w:pPr>
                    <w:pStyle w:val="Compact"/>
                    <w:jc w:val="left"/>
                    <w:rPr>
                      <w:sz w:val="16"/>
                      <w:szCs w:val="16"/>
                    </w:rPr>
                  </w:pPr>
                  <w:r>
                    <w:rPr>
                      <w:sz w:val="16"/>
                      <w:szCs w:val="16"/>
                    </w:rPr>
                    <w:t xml:space="preserve">+0.130****</w:t>
                  </w:r>
                </w:p>
              </w:tc>
              <w:tc>
                <w:tcPr>
                  <w:tcW w:w="839" w:type="dxa"/>
                </w:tcPr>
                <w:p>
                  <w:pPr>
                    <w:pStyle w:val="Compact"/>
                    <w:jc w:val="left"/>
                    <w:rPr>
                      <w:sz w:val="16"/>
                      <w:szCs w:val="16"/>
                    </w:rPr>
                  </w:pPr>
                  <w:r>
                    <w:rPr>
                      <w:sz w:val="16"/>
                      <w:szCs w:val="16"/>
                    </w:rPr>
                    <w:t xml:space="preserve">0.018</w:t>
                  </w:r>
                </w:p>
              </w:tc>
              <w:tc>
                <w:tcPr>
                  <w:tcW w:w="839" w:type="dxa"/>
                </w:tcPr>
                <w:p>
                  <w:pPr>
                    <w:pStyle w:val="Compact"/>
                    <w:jc w:val="left"/>
                    <w:rPr>
                      <w:sz w:val="16"/>
                      <w:szCs w:val="16"/>
                    </w:rPr>
                  </w:pPr>
                  <w:r>
                    <w:rPr>
                      <w:sz w:val="16"/>
                      <w:szCs w:val="16"/>
                    </w:rPr>
                    <w:t xml:space="preserve">1.14 (1.10 to 1.18)</w:t>
                  </w:r>
                </w:p>
              </w:tc>
              <w:tc>
                <w:tcPr>
                  <w:tcW w:w="840" w:type="dxa"/>
                </w:tcPr>
                <w:p>
                  <w:pPr>
                    <w:pStyle w:val="Compact"/>
                    <w:jc w:val="left"/>
                    <w:rPr>
                      <w:sz w:val="16"/>
                      <w:szCs w:val="16"/>
                    </w:rPr>
                  </w:pPr>
                  <w:r>
                    <w:rPr>
                      <w:sz w:val="16"/>
                      <w:szCs w:val="16"/>
                    </w:rPr>
                    <w:t xml:space="preserve">+0.050*</w:t>
                  </w:r>
                </w:p>
              </w:tc>
            </w:tr>
            <w:tr>
              <w:trPr>
                <w:trHeight w:val="340" w:hRule="exact"/>
              </w:trPr>
              <w:tc>
                <w:tcPr>
                  <w:tcW w:w="5997" w:type="dxa"/>
                </w:tcPr>
                <w:p>
                  <w:pPr>
                    <w:pStyle w:val="Compact"/>
                    <w:jc w:val="left"/>
                    <w:rPr>
                      <w:sz w:val="16"/>
                      <w:szCs w:val="16"/>
                    </w:rPr>
                  </w:pPr>
                  <w:r>
                    <w:rPr>
                      <w:sz w:val="16"/>
                      <w:szCs w:val="16"/>
                    </w:rPr>
                    <w:t xml:space="preserve">Susceptible pine basal area (m² ha⁻¹)</w:t>
                  </w:r>
                </w:p>
              </w:tc>
              <w:tc>
                <w:tcPr>
                  <w:tcW w:w="839" w:type="dxa"/>
                </w:tcPr>
                <w:p>
                  <w:pPr>
                    <w:pStyle w:val="Compact"/>
                    <w:jc w:val="left"/>
                    <w:rPr>
                      <w:sz w:val="16"/>
                      <w:szCs w:val="16"/>
                    </w:rPr>
                  </w:pPr>
                  <w:r>
                    <w:rPr>
                      <w:sz w:val="16"/>
                      <w:szCs w:val="16"/>
                    </w:rPr>
                    <w:t xml:space="preserve">+0.064***</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1.07 (1.03 to 1.10)</w:t>
                  </w:r>
                </w:p>
              </w:tc>
              <w:tc>
                <w:tcPr>
                  <w:tcW w:w="840" w:type="dxa"/>
                </w:tcPr>
                <w:p>
                  <w:pPr>
                    <w:pStyle w:val="Compact"/>
                    <w:jc w:val="left"/>
                    <w:rPr>
                      <w:sz w:val="16"/>
                      <w:szCs w:val="16"/>
                    </w:rPr>
                  </w:pPr>
                  <w:r>
                    <w:rPr>
                      <w:sz w:val="16"/>
                      <w:szCs w:val="16"/>
                    </w:rPr>
                    <w:t xml:space="preserve">+0.104****</w:t>
                  </w:r>
                </w:p>
              </w:tc>
            </w:tr>
            <w:tr>
              <w:trPr>
                <w:trHeight w:val="340" w:hRule="exact"/>
              </w:trPr>
              <w:tc>
                <w:tcPr>
                  <w:tcW w:w="5997" w:type="dxa"/>
                </w:tcPr>
                <w:p>
                  <w:pPr>
                    <w:pStyle w:val="Compact"/>
                    <w:jc w:val="left"/>
                    <w:rPr>
                      <w:sz w:val="16"/>
                      <w:szCs w:val="16"/>
                    </w:rPr>
                  </w:pPr>
                  <w:r>
                    <w:rPr>
                      <w:sz w:val="16"/>
                      <w:szCs w:val="16"/>
                    </w:rPr>
                    <w:t xml:space="preserve">Normalised height</w:t>
                  </w:r>
                </w:p>
              </w:tc>
              <w:tc>
                <w:tcPr>
                  <w:tcW w:w="839" w:type="dxa"/>
                </w:tcPr>
                <w:p>
                  <w:pPr>
                    <w:pStyle w:val="Compact"/>
                    <w:jc w:val="left"/>
                    <w:rPr>
                      <w:sz w:val="16"/>
                      <w:szCs w:val="16"/>
                    </w:rPr>
                  </w:pPr>
                  <w:r>
                    <w:rPr>
                      <w:sz w:val="16"/>
                      <w:szCs w:val="16"/>
                    </w:rPr>
                    <w:t xml:space="preserve">+0.037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1.04 (1.00 to 1.08)</w:t>
                  </w:r>
                </w:p>
              </w:tc>
              <w:tc>
                <w:tcPr>
                  <w:tcW w:w="840" w:type="dxa"/>
                </w:tcPr>
                <w:p>
                  <w:pPr>
                    <w:pStyle w:val="Compact"/>
                    <w:jc w:val="left"/>
                    <w:rPr>
                      <w:sz w:val="16"/>
                      <w:szCs w:val="16"/>
                    </w:rPr>
                  </w:pPr>
                  <w:r>
                    <w:rPr>
                      <w:sz w:val="16"/>
                      <w:szCs w:val="16"/>
                    </w:rPr>
                    <w:t xml:space="preserve">+0.090*</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839" w:type="dxa"/>
                </w:tcPr>
                <w:p>
                  <w:pPr>
                    <w:pStyle w:val="Compact"/>
                    <w:jc w:val="left"/>
                    <w:rPr>
                      <w:sz w:val="16"/>
                      <w:szCs w:val="16"/>
                    </w:rPr>
                  </w:pPr>
                  <w:r>
                    <w:rPr>
                      <w:sz w:val="16"/>
                      <w:szCs w:val="16"/>
                    </w:rPr>
                    <w:t xml:space="preserve">+0.118****</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1.12 (1.09 to 1.16)</w:t>
                  </w:r>
                </w:p>
              </w:tc>
              <w:tc>
                <w:tcPr>
                  <w:tcW w:w="840" w:type="dxa"/>
                </w:tcPr>
                <w:p>
                  <w:pPr>
                    <w:pStyle w:val="Compact"/>
                    <w:jc w:val="left"/>
                    <w:rPr>
                      <w:sz w:val="16"/>
                      <w:szCs w:val="16"/>
                    </w:rPr>
                  </w:pPr>
                  <w:r>
                    <w:rPr>
                      <w:sz w:val="16"/>
                      <w:szCs w:val="16"/>
                    </w:rPr>
                    <w:t xml:space="preserve">+0.124****</w:t>
                  </w:r>
                </w:p>
              </w:tc>
            </w:tr>
            <w:tr>
              <w:trPr>
                <w:trHeight w:val="340" w:hRule="exact"/>
              </w:trPr>
              <w:tc>
                <w:tcPr>
                  <w:tcW w:w="5997" w:type="dxa"/>
                </w:tcPr>
                <w:p>
                  <w:pPr>
                    <w:pStyle w:val="Compact"/>
                    <w:jc w:val="left"/>
                    <w:rPr>
                      <w:sz w:val="16"/>
                      <w:szCs w:val="16"/>
                    </w:rPr>
                  </w:pPr>
                  <w:r>
                    <w:rPr>
                      <w:sz w:val="16"/>
                      <w:szCs w:val="16"/>
                    </w:rPr>
                    <w:t xml:space="preserve">Live stems (n/ha)</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1.03 (0.99 to 1.06)</w:t>
                  </w:r>
                </w:p>
              </w:tc>
              <w:tc>
                <w:tcPr>
                  <w:tcW w:w="840" w:type="dxa"/>
                </w:tcPr>
                <w:p>
                  <w:pPr>
                    <w:pStyle w:val="Compact"/>
                    <w:jc w:val="left"/>
                    <w:rPr>
                      <w:sz w:val="16"/>
                      <w:szCs w:val="16"/>
                    </w:rPr>
                  </w:pPr>
                  <w:r>
                    <w:rPr>
                      <w:sz w:val="16"/>
                      <w:szCs w:val="16"/>
                    </w:rPr>
                    <w:t xml:space="preserve">+0.026</w:t>
                  </w:r>
                </w:p>
              </w:tc>
            </w:tr>
            <w:tr>
              <w:trPr>
                <w:trHeight w:val="340" w:hRule="exact"/>
              </w:trPr>
              <w:tc>
                <w:tcPr>
                  <w:tcW w:w="5997" w:type="dxa"/>
                </w:tcPr>
                <w:p>
                  <w:pPr>
                    <w:pStyle w:val="Compact"/>
                    <w:jc w:val="left"/>
                    <w:rPr>
                      <w:sz w:val="16"/>
                      <w:szCs w:val="16"/>
                    </w:rPr>
                  </w:pPr>
                  <w:r>
                    <w:rPr>
                      <w:sz w:val="16"/>
                      <w:szCs w:val="16"/>
                    </w:rPr>
                    <w:t xml:space="preserve">Northness</w:t>
                  </w:r>
                </w:p>
              </w:tc>
              <w:tc>
                <w:tcPr>
                  <w:tcW w:w="839" w:type="dxa"/>
                </w:tcPr>
                <w:p>
                  <w:pPr>
                    <w:pStyle w:val="Compact"/>
                    <w:jc w:val="left"/>
                    <w:rPr>
                      <w:sz w:val="16"/>
                      <w:szCs w:val="16"/>
                    </w:rPr>
                  </w:pPr>
                  <w:r>
                    <w:rPr>
                      <w:sz w:val="16"/>
                      <w:szCs w:val="16"/>
                    </w:rPr>
                    <w:t xml:space="preserve">+0.039*</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1.04 (1.01 to 1.07)</w:t>
                  </w:r>
                </w:p>
              </w:tc>
              <w:tc>
                <w:tcPr>
                  <w:tcW w:w="840" w:type="dxa"/>
                </w:tcPr>
                <w:p>
                  <w:pPr>
                    <w:pStyle w:val="Compact"/>
                    <w:jc w:val="left"/>
                    <w:rPr>
                      <w:sz w:val="16"/>
                      <w:szCs w:val="16"/>
                    </w:rPr>
                  </w:pPr>
                  <w:r>
                    <w:rPr>
                      <w:sz w:val="16"/>
                      <w:szCs w:val="16"/>
                    </w:rPr>
                    <w:t xml:space="preserve">+0.073*</w:t>
                  </w:r>
                </w:p>
              </w:tc>
            </w:tr>
            <w:tr>
              <w:trPr>
                <w:trHeight w:val="340" w:hRule="exact"/>
              </w:trPr>
              <w:tc>
                <w:tcPr>
                  <w:tcW w:w="5997" w:type="dxa"/>
                </w:tcPr>
                <w:p>
                  <w:pPr>
                    <w:pStyle w:val="Compact"/>
                    <w:jc w:val="left"/>
                    <w:rPr>
                      <w:sz w:val="16"/>
                      <w:szCs w:val="16"/>
                    </w:rPr>
                  </w:pPr>
                  <w:r>
                    <w:rPr>
                      <w:sz w:val="16"/>
                      <w:szCs w:val="16"/>
                    </w:rPr>
                    <w:t xml:space="preserve">Stand height (m)</w:t>
                  </w:r>
                </w:p>
              </w:tc>
              <w:tc>
                <w:tcPr>
                  <w:tcW w:w="839" w:type="dxa"/>
                </w:tcPr>
                <w:p>
                  <w:pPr>
                    <w:pStyle w:val="Compact"/>
                    <w:jc w:val="left"/>
                    <w:rPr>
                      <w:sz w:val="16"/>
                      <w:szCs w:val="16"/>
                    </w:rPr>
                  </w:pPr>
                  <w:r>
                    <w:rPr>
                      <w:sz w:val="16"/>
                      <w:szCs w:val="16"/>
                    </w:rPr>
                    <w:t xml:space="preserve">-0.067****</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0.94 (0.91 to 0.97)</w:t>
                  </w:r>
                </w:p>
              </w:tc>
              <w:tc>
                <w:tcPr>
                  <w:tcW w:w="840" w:type="dxa"/>
                </w:tcPr>
                <w:p>
                  <w:pPr>
                    <w:pStyle w:val="Compact"/>
                    <w:jc w:val="left"/>
                    <w:rPr>
                      <w:sz w:val="16"/>
                      <w:szCs w:val="16"/>
                    </w:rPr>
                  </w:pPr>
                  <w:r>
                    <w:rPr>
                      <w:sz w:val="16"/>
                      <w:szCs w:val="16"/>
                    </w:rPr>
                    <w:t xml:space="preserve">-0.018</w:t>
                  </w:r>
                </w:p>
              </w:tc>
            </w:tr>
            <w:tr>
              <w:trPr>
                <w:trHeight w:val="340" w:hRule="exact"/>
              </w:trPr>
              <w:tc>
                <w:tcPr>
                  <w:tcW w:w="5997" w:type="dxa"/>
                </w:tcPr>
                <w:p>
                  <w:pPr>
                    <w:pStyle w:val="Compact"/>
                    <w:jc w:val="left"/>
                    <w:rPr>
                      <w:sz w:val="16"/>
                      <w:szCs w:val="16"/>
                    </w:rPr>
                  </w:pPr>
                  <w:r>
                    <w:rPr>
                      <w:sz w:val="16"/>
                      <w:szCs w:val="16"/>
                    </w:rPr>
                    <w:t xml:space="preserve">Topographic wetness index</w:t>
                  </w:r>
                </w:p>
              </w:tc>
              <w:tc>
                <w:tcPr>
                  <w:tcW w:w="839" w:type="dxa"/>
                </w:tcPr>
                <w:p>
                  <w:pPr>
                    <w:pStyle w:val="Compact"/>
                    <w:jc w:val="left"/>
                    <w:rPr>
                      <w:sz w:val="16"/>
                      <w:szCs w:val="16"/>
                    </w:rPr>
                  </w:pPr>
                  <w:r>
                    <w:rPr>
                      <w:sz w:val="16"/>
                      <w:szCs w:val="16"/>
                    </w:rPr>
                    <w:t xml:space="preserve">+0.087****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1.09 (1.05 to 1.14)</w:t>
                  </w:r>
                </w:p>
              </w:tc>
              <w:tc>
                <w:tcPr>
                  <w:tcW w:w="840" w:type="dxa"/>
                </w:tcPr>
                <w:p>
                  <w:pPr>
                    <w:pStyle w:val="Compact"/>
                    <w:jc w:val="left"/>
                    <w:rPr>
                      <w:sz w:val="16"/>
                      <w:szCs w:val="16"/>
                    </w:rPr>
                  </w:pPr>
                  <w:r>
                    <w:rPr>
                      <w:sz w:val="16"/>
                      <w:szCs w:val="16"/>
                    </w:rPr>
                    <w:t xml:space="preserve">+0.011</w:t>
                  </w:r>
                </w:p>
              </w:tc>
            </w:tr>
            <w:tr>
              <w:trPr>
                <w:trHeight w:val="340" w:hRule="exact"/>
              </w:trPr>
              <w:tc>
                <w:tcPr>
                  <w:tcW w:w="5997" w:type="dxa"/>
                </w:tcPr>
                <w:p>
                  <w:pPr>
                    <w:pStyle w:val="Compact"/>
                    <w:jc w:val="left"/>
                    <w:rPr>
                      <w:sz w:val="16"/>
                      <w:szCs w:val="16"/>
                    </w:rPr>
                  </w:pPr>
                  <w:r>
                    <w:rPr>
                      <w:sz w:val="16"/>
                      <w:szCs w:val="16"/>
                    </w:rPr>
                    <w:t xml:space="preserve">Plan curvature</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1.03 (1.00 to 1.05)</w:t>
                  </w:r>
                </w:p>
              </w:tc>
              <w:tc>
                <w:tcPr>
                  <w:tcW w:w="840" w:type="dxa"/>
                </w:tcPr>
                <w:p>
                  <w:pPr>
                    <w:pStyle w:val="Compact"/>
                    <w:jc w:val="left"/>
                    <w:rPr>
                      <w:sz w:val="16"/>
                      <w:szCs w:val="16"/>
                    </w:rPr>
                  </w:pPr>
                  <w:r>
                    <w:rPr>
                      <w:sz w:val="16"/>
                      <w:szCs w:val="16"/>
                    </w:rPr>
                    <w:t xml:space="preserve">+0.009</w:t>
                  </w:r>
                </w:p>
              </w:tc>
            </w:tr>
          </w:tbl>
          <w:bookmarkEnd w:id="191"/>
          <w:p/>
        </w:tc>
      </w:tr>
    </w:tbl>
    <w:p>
      <w:r>
        <w:br w:type="page"/>
      </w:r>
    </w:p>
    <w:bookmarkEnd w:id="192"/>
    <w:bookmarkStart w:id="21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96" w:name="fig-study-area"/>
          <w:p>
            <w:pPr>
              <w:pStyle w:val="Compact"/>
              <w:jc w:val="center"/>
            </w:pPr>
            <w:r>
              <w:drawing>
                <wp:inline>
                  <wp:extent cx="5943600" cy="6656832"/>
                  <wp:effectExtent b="0" l="0" r="0" t="0"/>
                  <wp:docPr descr="" title="" id="194" name="Picture"/>
                  <a:graphic>
                    <a:graphicData uri="http://schemas.openxmlformats.org/drawingml/2006/picture">
                      <pic:pic>
                        <pic:nvPicPr>
                          <pic:cNvPr descr="Manuscript_files/figure-docx/fig-study-area-1.png" id="195" name="Picture"/>
                          <pic:cNvPicPr>
                            <a:picLocks noChangeArrowheads="1" noChangeAspect="1"/>
                          </pic:cNvPicPr>
                        </pic:nvPicPr>
                        <pic:blipFill>
                          <a:blip r:embed="rId193"/>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bookmarkEnd w:id="196"/>
        </w:tc>
      </w:tr>
    </w:tbl>
    <w:p>
      <w:r>
        <w:br w:type="page"/>
      </w:r>
    </w:p>
    <w:tbl>
      <w:tblPr>
        <w:tblStyle w:val="Table"/>
        <w:tblW w:type="pct" w:w="5000"/>
        <w:tblLayout w:type="fixed"/>
        <w:tblLook w:firstRow="0" w:lastRow="0" w:firstColumn="0" w:lastColumn="0" w:noHBand="0" w:noVBand="0" w:val="0000"/>
      </w:tblPr>
      <w:tblGrid>
        <w:gridCol w:w="7920"/>
      </w:tblGrid>
      <w:tr>
        <w:tc>
          <w:tcPr/>
          <w:bookmarkStart w:id="200" w:name="fig-spread"/>
          <w:p>
            <w:pPr>
              <w:pStyle w:val="Compact"/>
              <w:jc w:val="center"/>
            </w:pPr>
            <w:r>
              <w:drawing>
                <wp:inline>
                  <wp:extent cx="5943600" cy="4279392"/>
                  <wp:effectExtent b="0" l="0" r="0" t="0"/>
                  <wp:docPr descr="" title="" id="198" name="Picture"/>
                  <a:graphic>
                    <a:graphicData uri="http://schemas.openxmlformats.org/drawingml/2006/picture">
                      <pic:pic>
                        <pic:nvPicPr>
                          <pic:cNvPr descr="Manuscript_files/figure-docx/fig-spread-1.png" id="199" name="Picture"/>
                          <pic:cNvPicPr>
                            <a:picLocks noChangeArrowheads="1" noChangeAspect="1"/>
                          </pic:cNvPicPr>
                        </pic:nvPicPr>
                        <pic:blipFill>
                          <a:blip r:embed="rId197"/>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Red-stage attack across the study perimeter. (a) The first year in which each cell was classed as attacked in any sixteen-day period, over shaded relief with the perimeter in white and the 2015 Mt Midgeley burn in red. The panel combines periods for display only, and every model used each period separately. (b) The share of the cells seen in each period that were classed as attacked, one point per period.</w:t>
            </w:r>
          </w:p>
          <w:bookmarkEnd w:id="200"/>
        </w:tc>
      </w:tr>
    </w:tbl>
    <w:p>
      <w:r>
        <w:br w:type="page"/>
      </w:r>
    </w:p>
    <w:tbl>
      <w:tblPr>
        <w:tblStyle w:val="Table"/>
        <w:tblW w:type="pct" w:w="5000"/>
        <w:tblLayout w:type="fixed"/>
        <w:tblLook w:firstRow="0" w:lastRow="0" w:firstColumn="0" w:lastColumn="0" w:noHBand="0" w:noVBand="0" w:val="0000"/>
      </w:tblPr>
      <w:tblGrid>
        <w:gridCol w:w="7920"/>
      </w:tblGrid>
      <w:tr>
        <w:tc>
          <w:tcPr/>
          <w:bookmarkStart w:id="204" w:name="fig-clustering"/>
          <w:p>
            <w:pPr>
              <w:pStyle w:val="Compact"/>
              <w:jc w:val="center"/>
            </w:pPr>
            <w:r>
              <w:drawing>
                <wp:inline>
                  <wp:extent cx="5943600" cy="4437888"/>
                  <wp:effectExtent b="0" l="0" r="0" t="0"/>
                  <wp:docPr descr="" title="" id="202" name="Picture"/>
                  <a:graphic>
                    <a:graphicData uri="http://schemas.openxmlformats.org/drawingml/2006/picture">
                      <pic:pic>
                        <pic:nvPicPr>
                          <pic:cNvPr descr="Manuscript_files/figure-docx/fig-clustering-1.png" id="203" name="Picture"/>
                          <pic:cNvPicPr>
                            <a:picLocks noChangeArrowheads="1" noChangeAspect="1"/>
                          </pic:cNvPicPr>
                        </pic:nvPicPr>
                        <pic:blipFill>
                          <a:blip r:embed="rId201"/>
                          <a:stretch>
                            <a:fillRect/>
                          </a:stretch>
                        </pic:blipFill>
                        <pic:spPr bwMode="auto">
                          <a:xfrm>
                            <a:off x="0" y="0"/>
                            <a:ext cx="5943600" cy="4437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Clustering of red-stage attack. (a) The L function, as L(r) - r, in the four periods with the most attacked cells, against the global envelope of 999 random relabellings of the cells seen in that period, the grey band. (b) The clustering range, the largest distance at which the observed L function lay above the envelope, and the likelihood cross-validated bandwidth in every period.</w:t>
            </w:r>
          </w:p>
          <w:bookmarkEnd w:id="204"/>
        </w:tc>
      </w:tr>
    </w:tbl>
    <w:p>
      <w:r>
        <w:br w:type="page"/>
      </w:r>
    </w:p>
    <w:tbl>
      <w:tblPr>
        <w:tblStyle w:val="Table"/>
        <w:tblW w:type="pct" w:w="5000"/>
        <w:tblLayout w:type="fixed"/>
        <w:tblLook w:firstRow="0" w:lastRow="0" w:firstColumn="0" w:lastColumn="0" w:noHBand="0" w:noVBand="0" w:val="0000"/>
      </w:tblPr>
      <w:tblGrid>
        <w:gridCol w:w="7920"/>
      </w:tblGrid>
      <w:tr>
        <w:tc>
          <w:tcPr/>
          <w:bookmarkStart w:id="208" w:name="fig-interaction"/>
          <w:p>
            <w:pPr>
              <w:pStyle w:val="Compact"/>
              <w:jc w:val="center"/>
            </w:pPr>
            <w:r>
              <w:drawing>
                <wp:inline>
                  <wp:extent cx="5943600" cy="2852928"/>
                  <wp:effectExtent b="0" l="0" r="0" t="0"/>
                  <wp:docPr descr="" title="" id="206" name="Picture"/>
                  <a:graphic>
                    <a:graphicData uri="http://schemas.openxmlformats.org/drawingml/2006/picture">
                      <pic:pic>
                        <pic:nvPicPr>
                          <pic:cNvPr descr="Manuscript_files/figure-docx/fig-interaction-1.png" id="207" name="Picture"/>
                          <pic:cNvPicPr>
                            <a:picLocks noChangeArrowheads="1" noChangeAspect="1"/>
                          </pic:cNvPicPr>
                        </pic:nvPicPr>
                        <pic:blipFill>
                          <a:blip r:embed="rId205"/>
                          <a:stretch>
                            <a:fillRect/>
                          </a:stretch>
                        </pic:blipFill>
                        <pic:spPr bwMode="auto">
                          <a:xfrm>
                            <a:off x="0" y="0"/>
                            <a:ext cx="5943600" cy="28529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probability of attack against flight-hour wind, in standard deviations, at one standard deviation below and above the mean of (a) live stems and (b) standing volume, with every other term at its mean and the period effect at the most sampled period. The model was fitted on equal numbers of attacked and unattacked cells in each period, so the level of the curves is not the landscape probability and only their slopes are read. Plume disruption predicts the lowest attack in thin, windy stands.</w:t>
            </w:r>
          </w:p>
          <w:bookmarkEnd w:id="208"/>
        </w:tc>
      </w:tr>
    </w:tbl>
    <w:p>
      <w:r>
        <w:br w:type="page"/>
      </w:r>
    </w:p>
    <w:tbl>
      <w:tblPr>
        <w:tblStyle w:val="Table"/>
        <w:tblW w:type="pct" w:w="5000"/>
        <w:tblLayout w:type="fixed"/>
        <w:tblLook w:firstRow="0" w:lastRow="0" w:firstColumn="0" w:lastColumn="0" w:noHBand="0" w:noVBand="0" w:val="0000"/>
      </w:tblPr>
      <w:tblGrid>
        <w:gridCol w:w="7920"/>
      </w:tblGrid>
      <w:tr>
        <w:tc>
          <w:tcPr/>
          <w:bookmarkStart w:id="212" w:name="fig-grain"/>
          <w:p>
            <w:pPr>
              <w:pStyle w:val="Compact"/>
              <w:jc w:val="center"/>
            </w:pPr>
            <w:r>
              <w:drawing>
                <wp:inline>
                  <wp:extent cx="5943600" cy="4754880"/>
                  <wp:effectExtent b="0" l="0" r="0" t="0"/>
                  <wp:docPr descr="" title="" id="210" name="Picture"/>
                  <a:graphic>
                    <a:graphicData uri="http://schemas.openxmlformats.org/drawingml/2006/picture">
                      <pic:pic>
                        <pic:nvPicPr>
                          <pic:cNvPr descr="Manuscript_files/figure-docx/fig-grain-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final model’s environmental coefficients refitted at four grains, with their 95 per cent confidence intervals, without the dependence terms (open circles) and with them rebuilt at each grain (filled circles).</w:t>
            </w:r>
          </w:p>
          <w:bookmarkEnd w:id="212"/>
        </w:tc>
      </w:tr>
    </w:tbl>
    <w:bookmarkEnd w:id="21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01" Target="media/rId201.png" /><Relationship Type="http://schemas.openxmlformats.org/officeDocument/2006/relationships/image" Id="rId209" Target="media/rId209.png" /><Relationship Type="http://schemas.openxmlformats.org/officeDocument/2006/relationships/image" Id="rId205" Target="media/rId205.png" /><Relationship Type="http://schemas.openxmlformats.org/officeDocument/2006/relationships/image" Id="rId197" Target="media/rId197.png" /><Relationship Type="http://schemas.openxmlformats.org/officeDocument/2006/relationships/image" Id="rId193" Target="media/rId193.png" /><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2026-09-30T06:11:20Z</dcterms:created>
  <dcterms:modified xsi:type="dcterms:W3CDTF">2026-09-30T06:11:20Z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2026-09-29</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