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30 September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 Resubmission of AFE(2026)5804 as a new manuscript</w:t>
      </w:r>
    </w:p>
    <w:p>
      <w:pPr>
        <w:pStyle w:val="BodyText"/>
      </w:pPr>
      <w:r>
        <w:t xml:space="preserve">Dear Dr Ranger,</w:t>
      </w:r>
    </w:p>
    <w:p>
      <w:pPr>
        <w:pStyle w:val="BodyText"/>
      </w:pPr>
      <w:r>
        <w:t xml:space="preserve">Thank you for the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author response quotes each comment and gives the section of the revised manuscript where it is addressed. In brief, the literature was assembled under a written protocol that screened 1,257 unique records, the reference list grew from 30 to 84 works, the Introduction was rewritten on that literature, and the Discussion was rewritten from the start around dispersal, host defence, crown fade, landing and management.</w:t>
      </w:r>
    </w:p>
    <w:p>
      <w:pPr>
        <w:pStyle w:val="BodyText"/>
      </w:pPr>
      <w:r>
        <w:t xml:space="preserve">The analysis was also rebuilt during the revision, and I want you to know before the manuscript is read that several findings changed. Attack is now mapped in 47 sixteen-day Landsat periods with a classifier tested on field plots held out whole, the models are built in the order of Aukema et al. (2008) with attack nearby and earlier entered first, and the result is checked under a latent spatial field and at four grains. In the revised analysis refugia were stands with little host. The wind interaction took the direction plume disruption predicts but was too weak to establish it, and open ground had more attack, the pattern deposition of wind-borne beetles predicts. The author response lists every change of this kind.</w:t>
      </w:r>
    </w:p>
    <w:p>
      <w:pPr>
        <w:pStyle w:val="BodyText"/>
      </w:pPr>
      <w:r>
        <w:t xml:space="preserve">The novelty of the study is what it did. It entered a terrain-resolved wind field at the sixteen-day interval of the response together with stand density and explicit terms for nearby and earlier attack, so that the terrain main effect deposition predicts could be told apart from the density by wind interaction plume disruption predicts, and it tested the three refugia mechanisms of Krawchuk et al. (2020) beside that contagion.</w:t>
      </w:r>
    </w:p>
    <w:p>
      <w:pPr>
        <w:pStyle w:val="BodyText"/>
      </w:pPr>
      <w:r>
        <w:t xml:space="preserve">The study grew out of my companion study of forest regeneration on the same ground, Murphy, Leslie, Wilson and Banks (2026), Forest Ecology and Management 618, 123985, whose field plots of beetle-killed pine are the ground truth for the attack maps and whose co-authors are acknowledged on the title page.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2026-09-30T16:48:56Z</dcterms:created>
  <dcterms:modified xsi:type="dcterms:W3CDTF">2026-09-30T16:48:56Z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