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52.png" ContentType="image/png"/>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2026-08-29</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spatially. We tested all three over 5,573 ha of</w:t>
      </w:r>
      <w:r>
        <w:t xml:space="preserve"> </w:t>
      </w:r>
      <w:r>
        <w:t xml:space="preserve">the Selkirk Mountains, British Columbia, using Landsat at its 16-day repeat across</w:t>
      </w:r>
      <w:r>
        <w:t xml:space="preserve"> </w:t>
      </w:r>
      <w:r>
        <w:t xml:space="preserve">eight outbreak years, year-matched forest inventory,</w:t>
      </w:r>
      <w:r>
        <w:t xml:space="preserve"> </w:t>
      </w:r>
      <w:r>
        <w:t xml:space="preserve">29 geomorphometric surfaces, and a terrain-resolved wind field from the</w:t>
      </w:r>
      <w:r>
        <w:t xml:space="preserve"> </w:t>
      </w:r>
      <w:r>
        <w:t xml:space="preserve">MicroMet model driven by hourly station data.</w:t>
      </w:r>
    </w:p>
    <w:p>
      <w:pPr>
        <w:pStyle w:val="BodyText"/>
      </w:pPr>
      <w:r>
        <w:t xml:space="preserve">Two of the three mechanisms held. Stand density interacted negatively with wind,</w:t>
      </w:r>
      <w:r>
        <w:t xml:space="preserve"> </w:t>
      </w:r>
      <w:r>
        <w:t xml:space="preserve">-0.049 for stem density (p &lt; 0.001) and -0.017 for standing</w:t>
      </w:r>
      <w:r>
        <w:t xml:space="preserve"> </w:t>
      </w:r>
      <w:r>
        <w:t xml:space="preserve">volume (p &lt; 0.05), both surviving a within-season contagion term. Large-diameter</w:t>
      </w:r>
      <w:r>
        <w:t xml:space="preserve"> </w:t>
      </w:r>
      <w:r>
        <w:t xml:space="preserve">host held as a threshold rather than a gradient, attack peaking at</w:t>
      </w:r>
      <w:r>
        <w:t xml:space="preserve"> </w:t>
      </w:r>
      <w:r>
        <w:t xml:space="preserve">39.7 per cent in the 25 to 30 cm</w:t>
      </w:r>
      <w:r>
        <w:t xml:space="preserve"> </w:t>
      </w:r>
      <w:r>
        <w:t xml:space="preserve">class, at the source-sink boundary. Topographic shading failed, and failed backwards: shaded</w:t>
      </w:r>
      <w:r>
        <w:t xml:space="preserve"> </w:t>
      </w:r>
      <w:r>
        <w:t xml:space="preserve">ground carried more attack, not less.</w:t>
      </w:r>
    </w:p>
    <w:p>
      <w:pPr>
        <w:pStyle w:val="BodyText"/>
      </w:pPr>
      <w:r>
        <w:t xml:space="preserve">Windier ground carried slightly more attack, not less, +0.022. Wind reduced</w:t>
      </w:r>
      <w:r>
        <w:t xml:space="preserve"> </w:t>
      </w:r>
      <w:r>
        <w:t xml:space="preserve">attack only where the stand was thin. Low stand density and wind during the flight period</w:t>
      </w:r>
      <w:r>
        <w:t xml:space="preserve"> </w:t>
      </w:r>
      <w:r>
        <w:t xml:space="preserve">were therefore both required, and neither predicted attack on its own.</w:t>
      </w:r>
    </w:p>
    <w:p>
      <w:pPr>
        <w:pStyle w:val="BodyText"/>
      </w:pPr>
      <w:r>
        <w:t xml:space="preserve">Two results affect measurement in studies of this kind. Terrain wind indices are correlated</w:t>
      </w:r>
      <w:r>
        <w:t xml:space="preserve"> </w:t>
      </w:r>
      <w:r>
        <w:t xml:space="preserve">with insolation: adding flight-window radiation reduced the density by exposure interaction</w:t>
      </w:r>
      <w:r>
        <w:t xml:space="preserve"> </w:t>
      </w:r>
      <w:r>
        <w:t xml:space="preserve">from -0.068 to -0.040. Inventory vintage affected detection: stand structure</w:t>
      </w:r>
      <w:r>
        <w:t xml:space="preserve"> </w:t>
      </w:r>
      <w:r>
        <w:t xml:space="preserve">taken from the current projection rather than matched to each year halved the interaction</w:t>
      </w:r>
      <w:r>
        <w:t xml:space="preserve"> </w:t>
      </w:r>
      <w:r>
        <w:t xml:space="preserve">and reduced the univariate discrimination of basal area from 0.602 to 0.517.</w:t>
      </w:r>
    </w:p>
    <w:bookmarkEnd w:id="20"/>
    <w:bookmarkStart w:id="21" w:name="keywords"/>
    <w:p>
      <w:pPr>
        <w:pStyle w:val="Heading1"/>
      </w:pPr>
      <w:r>
        <w:t xml:space="preserve">Keywords</w:t>
      </w:r>
    </w:p>
    <w:p>
      <w:pPr>
        <w:pStyle w:val="FirstParagraph"/>
      </w:pPr>
      <w:r>
        <w:t xml:space="preserve">Dendroctonus ponderosae, Landsat time series, stand density, geomorphometry, temporal</w:t>
      </w:r>
      <w:r>
        <w:t xml:space="preserve"> </w:t>
      </w:r>
      <w:r>
        <w:t xml:space="preserve">resolution, pheromone communication</w:t>
      </w:r>
    </w:p>
    <w:bookmarkEnd w:id="21"/>
    <w:bookmarkStart w:id="23"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(Sambaraju &amp; Goodsman, 2021; Taylor &amp; Carroll, 2003)</w:t>
      </w:r>
      <w:r>
        <w:t xml:space="preserve">. An outbreak never kills a landscape evenly. The patches that survive carry the forest’s</w:t>
      </w:r>
      <w:r>
        <w:t xml:space="preserve"> </w:t>
      </w:r>
      <w:r>
        <w:t xml:space="preserve">structure and seed into whatever comes next, and those patches have a name: disturbance</w:t>
      </w:r>
      <w:r>
        <w:t xml:space="preserve"> </w:t>
      </w:r>
      <w:r>
        <w:t xml:space="preserve">refugia, places buffered from disturbance over time</w:t>
      </w:r>
      <w:r>
        <w:t xml:space="preserve"> </w:t>
      </w:r>
      <w:r>
        <w:t xml:space="preserve">(Krawchuk et al., 2020)</w:t>
      </w:r>
      <w:r>
        <w:t xml:space="preserve">. Finding a refugium is</w:t>
      </w:r>
      <w:r>
        <w:t xml:space="preserve"> </w:t>
      </w:r>
      <w:r>
        <w:t xml:space="preserve">not the same as explaining one. Explanation needs a mechanism that ties survival to</w:t>
      </w:r>
      <w:r>
        <w:t xml:space="preserve"> </w:t>
      </w:r>
      <w:r>
        <w:t xml:space="preserve">something measurable on the ground, such as terrain, soil or the structure of the stand</w:t>
      </w:r>
      <w:r>
        <w:t xml:space="preserve"> </w:t>
      </w:r>
      <w:r>
        <w:t xml:space="preserve">itself</w:t>
      </w:r>
      <w:r>
        <w:t xml:space="preserve"> </w:t>
      </w:r>
      <w:r>
        <w:t xml:space="preserve">(Cartwright, 2018)</w:t>
      </w:r>
      <w:r>
        <w:t xml:space="preserve">.</w:t>
      </w:r>
    </w:p>
    <w:p>
      <w:pPr>
        <w:pStyle w:val="BodyText"/>
      </w:pPr>
      <w:r>
        <w:t xml:space="preserve">Krawchuk et al. (2020)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w:t>
      </w:r>
      <w:r>
        <w:t xml:space="preserve">(p. 239). We treat these as three testable hypotheses. Under H1, topographic shading reduces attack</w:t>
      </w:r>
      <w:r>
        <w:t xml:space="preserve"> </w:t>
      </w:r>
      <w:r>
        <w:t xml:space="preserve">by relieving water stress on cool ground. Under H2, low host density reduces attack by</w:t>
      </w:r>
      <w:r>
        <w:t xml:space="preserve"> </w:t>
      </w:r>
      <w:r>
        <w:t xml:space="preserve">admitting the wind that disperses the aggregation pheromone. Under H3, a scarcity of</w:t>
      </w:r>
      <w:r>
        <w:t xml:space="preserve"> </w:t>
      </w:r>
      <w:r>
        <w:t xml:space="preserve">large-diameter hosts reduces attack by limiting brood production. Two of the three act</w:t>
      </w:r>
      <w:r>
        <w:t xml:space="preserve"> </w:t>
      </w:r>
      <w:r>
        <w:t xml:space="preserve">through terrain, and none has been fitted to a map.</w:t>
      </w:r>
      <w:r>
        <w:t xml:space="preserve"> </w:t>
      </w:r>
      <w:r>
        <w:t xml:space="preserve">Of the studies our screen retained, one enters a wind term at all, and it is a companion</w:t>
      </w:r>
      <w:r>
        <w:t xml:space="preserve"> </w:t>
      </w:r>
      <w:r>
        <w:t xml:space="preserve">study on this same landscape whose response is conifer regeneration rather than beetle</w:t>
      </w:r>
      <w:r>
        <w:t xml:space="preserve"> </w:t>
      </w:r>
      <w:r>
        <w:t xml:space="preserve">attack</w:t>
      </w:r>
      <w:r>
        <w:t xml:space="preserve"> </w:t>
      </w:r>
      <w:r>
        <w:t xml:space="preserve">(Murphy, Leslie, Wilson, &amp; Banks, 2026)</w:t>
      </w:r>
      <w:r>
        <w:t xml:space="preserve">.</w:t>
      </w:r>
    </w:p>
    <w:p>
      <w:pPr>
        <w:pStyle w:val="BodyText"/>
      </w:pPr>
      <w:r>
        <w:t xml:space="preserve">The wind half is a claim about canopy, not open air.</w:t>
      </w:r>
      <w:r>
        <w:t xml:space="preserve"> </w:t>
      </w:r>
      <w:r>
        <w:t xml:space="preserve">Cartwright (2018)</w:t>
      </w:r>
      <w:r>
        <w:t xml:space="preserve"> </w:t>
      </w:r>
      <w:r>
        <w:t xml:space="preserve">is the one retained study designed</w:t>
      </w:r>
      <w:r>
        <w:t xml:space="preserve"> </w:t>
      </w:r>
      <w:r>
        <w:t xml:space="preserve">to model what controls an insect refugium, and it located refugia in stands of low basal</w:t>
      </w:r>
      <w:r>
        <w:t xml:space="preserve"> </w:t>
      </w:r>
      <w:r>
        <w:t xml:space="preserve">area, reasoning that</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&amp; Bentz (2014)</w:t>
      </w:r>
      <w:r>
        <w:t xml:space="preserve"> </w:t>
      </w:r>
      <w:r>
        <w:t xml:space="preserve">state the converse as the</w:t>
      </w:r>
      <w:r>
        <w:t xml:space="preserve"> </w:t>
      </w:r>
      <w:r>
        <w:t xml:space="preserve">condition for outbreak:</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has a temperature window: the beetle flies</w:t>
      </w:r>
      <w:r>
        <w:t xml:space="preserve"> </w:t>
      </w:r>
      <w:r>
        <w:t xml:space="preserve">between 19 and 41 degrees C, and mostly between 22 and 32, and</w:t>
      </w:r>
      <w:r>
        <w:t xml:space="preserve"> </w:t>
      </w:r>
      <w:r>
        <w:t xml:space="preserve">“most flights occur on bright sunny days, and peak flight is in</w:t>
      </w:r>
      <w:r>
        <w:t xml:space="preserve"> </w:t>
      </w:r>
      <w:r>
        <w:t xml:space="preserve">the early to mid afternoon”</w:t>
      </w:r>
      <w:r>
        <w:t xml:space="preserve"> </w:t>
      </w:r>
      <w:r>
        <w:t xml:space="preserve">(McCambridge, 1971; Safranyik &amp; Carroll, 2006)</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not</w:t>
      </w:r>
      <w:r>
        <w:t xml:space="preserve"> </w:t>
      </w:r>
      <w:r>
        <w:t xml:space="preserve">competing explanations but one bundle. Stand density governs</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&amp; Carroll, 2006)</w:t>
      </w:r>
      <w:r>
        <w:t xml:space="preserve">;</w:t>
      </w:r>
      <w:r>
        <w:t xml:space="preserve"> </w:t>
      </w:r>
      <w:r>
        <w:t xml:space="preserve">Bartos &amp; Amman (1989)</w:t>
      </w:r>
      <w:r>
        <w:t xml:space="preserve"> </w:t>
      </w:r>
      <w:r>
        <w:t xml:space="preserve">set the two halves of that bundle</w:t>
      </w:r>
      <w:r>
        <w:t xml:space="preserve"> </w:t>
      </w:r>
      <w:r>
        <w:t xml:space="preserve">against each other in their own title, microclimate against tree vigour. A third route leads</w:t>
      </w:r>
      <w:r>
        <w:t xml:space="preserve"> </w:t>
      </w:r>
      <w:r>
        <w:t xml:space="preserve">to the same place. Cool sites slow development enough to push the beetle onto a two-year</w:t>
      </w:r>
      <w:r>
        <w:t xml:space="preserve"> </w:t>
      </w:r>
      <w:r>
        <w:t xml:space="preserve">cycle</w:t>
      </w:r>
      <w:r>
        <w:t xml:space="preserve"> </w:t>
      </w:r>
      <w:r>
        <w:t xml:space="preserve">(Sambaraju &amp; Goodsman, 2021)</w:t>
      </w:r>
      <w:r>
        <w:t xml:space="preserve">. So shade and vigour both predict less attack on cool ground, by</w:t>
      </w:r>
      <w:r>
        <w:t xml:space="preserve"> </w:t>
      </w:r>
      <w:r>
        <w:t xml:space="preserve">routes this design cannot separate.</w:t>
      </w:r>
    </w:p>
    <w:p>
      <w:pPr>
        <w:pStyle w:val="BodyText"/>
      </w:pPr>
      <w:r>
        <w:t xml:space="preserve">Two further constraints decide what a wind term can be measured over, and both are</w:t>
      </w:r>
      <w:r>
        <w:t xml:space="preserve"> </w:t>
      </w:r>
      <w:r>
        <w:t xml:space="preserve">temporal rather than spatial. The first is the day.</w:t>
      </w:r>
      <w:r>
        <w:t xml:space="preserve"> </w:t>
      </w:r>
      <w:r>
        <w:t xml:space="preserve">Gray, Billings, Gara, &amp; Johnsey (1972)</w:t>
      </w:r>
      <w:r>
        <w:t xml:space="preserve"> </w:t>
      </w:r>
      <w:r>
        <w:t xml:space="preserve">recorded emergence in</w:t>
      </w:r>
      <w:r>
        <w:t xml:space="preserve"> </w:t>
      </w:r>
      <w:r>
        <w:rPr>
          <w:i/>
          <w:iCs/>
        </w:rPr>
        <w:t xml:space="preserve">D. ponderosae</w:t>
      </w:r>
      <w:r>
        <w:t xml:space="preserve"> </w:t>
      </w:r>
      <w:r>
        <w:t xml:space="preserve">against ambient temperature and found that on days whose maximum stayed</w:t>
      </w:r>
      <w:r>
        <w:t xml:space="preserve"> </w:t>
      </w:r>
      <w:r>
        <w:t xml:space="preserve">within optimal limits, emergence</w:t>
      </w:r>
      <w:r>
        <w:t xml:space="preserve"> </w:t>
      </w:r>
      <w:r>
        <w:t xml:space="preserve">“began when temperatures rose above 20’ C, then increased</w:t>
      </w:r>
      <w:r>
        <w:t xml:space="preserve"> </w:t>
      </w:r>
      <w:r>
        <w:t xml:space="preserve">in the morning hours with increasing temperatures, and ceased in the afternoon at about the</w:t>
      </w:r>
      <w:r>
        <w:t xml:space="preserve"> </w:t>
      </w:r>
      <w:r>
        <w:t xml:space="preserve">same threshold temperature”</w:t>
      </w:r>
      <w:r>
        <w:t xml:space="preserve">, with</w:t>
      </w:r>
      <w:r>
        <w:t xml:space="preserve"> </w:t>
      </w:r>
      <w:r>
        <w:t xml:space="preserve">“Peak emergence occurred between 11 a. m. and 2 p. m.</w:t>
      </w:r>
      <w:r>
        <w:t xml:space="preserve"> </w:t>
      </w:r>
      <w:r>
        <w:t xml:space="preserve">when 61 percent (232 out of 379) of the beetles were collected”</w:t>
      </w:r>
      <w:r>
        <w:t xml:space="preserve">. They also record</w:t>
      </w:r>
      <w:r>
        <w:t xml:space="preserve"> </w:t>
      </w:r>
      <w:r>
        <w:t xml:space="preserve">“the</w:t>
      </w:r>
      <w:r>
        <w:t xml:space="preserve"> </w:t>
      </w:r>
      <w:r>
        <w:t xml:space="preserve">sharp decline in activity which occurred when ambient temperatures exceeded 30’ C”</w:t>
      </w:r>
      <w:r>
        <w:t xml:space="preserve">. Flight</w:t>
      </w:r>
      <w:r>
        <w:t xml:space="preserve"> </w:t>
      </w:r>
      <w:r>
        <w:t xml:space="preserve">is therefore gated at both ends and confined to a few hours, and a daily or monthly mean</w:t>
      </w:r>
      <w:r>
        <w:t xml:space="preserve"> </w:t>
      </w:r>
      <w:r>
        <w:t xml:space="preserve">wind speed averages across hours in which no beetle is flying.</w:t>
      </w:r>
    </w:p>
    <w:p>
      <w:pPr>
        <w:pStyle w:val="BodyText"/>
      </w:pPr>
      <w:r>
        <w:t xml:space="preserve">The second is the season, and it is a population constraint rather than an individual one.</w:t>
      </w:r>
      <w:r>
        <w:t xml:space="preserve"> </w:t>
      </w:r>
      <w:r>
        <w:t xml:space="preserve">Mass attack is a threshold phenomenon:</w:t>
      </w:r>
      <w:r>
        <w:t xml:space="preserve"> </w:t>
      </w:r>
      <w:r>
        <w:t xml:space="preserve">Howe, Raffa, Aukema, Gratton, &amp; Carroll (2022)</w:t>
      </w:r>
      <w:r>
        <w:t xml:space="preserve"> </w:t>
      </w:r>
      <w:r>
        <w:t xml:space="preserve">conclude that</w:t>
      </w:r>
      <w:r>
        <w:t xml:space="preserve"> </w:t>
      </w:r>
      <w:r>
        <w:t xml:space="preserve">“a combination of</w:t>
      </w:r>
      <w:r>
        <w:t xml:space="preserve"> </w:t>
      </w:r>
      <w:r>
        <w:t xml:space="preserve">stand-level spatial aggregation, behavioral shifts, and higher quality of attainable hosts</w:t>
      </w:r>
      <w:r>
        <w:t xml:space="preserve"> </w:t>
      </w:r>
      <w:r>
        <w:t xml:space="preserve">defines a critical threshold beyond which continual population growth becomes</w:t>
      </w:r>
      <w:r>
        <w:t xml:space="preserve"> </w:t>
      </w:r>
      <w:r>
        <w:t xml:space="preserve">self-driving”</w:t>
      </w:r>
      <w:r>
        <w:t xml:space="preserve">, and</w:t>
      </w:r>
      <w:r>
        <w:t xml:space="preserve"> </w:t>
      </w:r>
      <w:r>
        <w:t xml:space="preserve">Cooke, MacQuarrie, &amp; Carroll (2025)</w:t>
      </w:r>
      <w:r>
        <w:t xml:space="preserve"> </w:t>
      </w:r>
      <w:r>
        <w:t xml:space="preserve">define the irruption threshold as</w:t>
      </w:r>
      <w:r>
        <w:t xml:space="preserve"> </w:t>
      </w:r>
      <w:r>
        <w:t xml:space="preserve">“the population density at</w:t>
      </w:r>
      <w:r>
        <w:t xml:space="preserve"> </w:t>
      </w:r>
      <w:r>
        <w:t xml:space="preserve">which endemic populations may transition towards the epidemic state”</w:t>
      </w:r>
      <w:r>
        <w:t xml:space="preserve">.</w:t>
      </w:r>
      <w:r>
        <w:t xml:space="preserve"> </w:t>
      </w:r>
      <w:r>
        <w:t xml:space="preserve">Carroll &amp; Safranyik (2004)</w:t>
      </w:r>
      <w:r>
        <w:t xml:space="preserve"> </w:t>
      </w:r>
      <w:r>
        <w:t xml:space="preserve">place the same argument on the thermal side, requiring</w:t>
      </w:r>
      <w:r>
        <w:t xml:space="preserve"> </w:t>
      </w:r>
      <w:r>
        <w:t xml:space="preserve">“thermal environments conducive to</w:t>
      </w:r>
      <w:r>
        <w:t xml:space="preserve"> </w:t>
      </w:r>
      <w:r>
        <w:t xml:space="preserve">overwintering survival and with sufficient heat accumulation to maintain a synchronous</w:t>
      </w:r>
      <w:r>
        <w:t xml:space="preserve"> </w:t>
      </w:r>
      <w:r>
        <w:t xml:space="preserve">univoltine life cycle”</w:t>
      </w:r>
      <w:r>
        <w:t xml:space="preserve">. Two things follow for this design. Attack in one year is not</w:t>
      </w:r>
      <w:r>
        <w:t xml:space="preserve"> </w:t>
      </w:r>
      <w:r>
        <w:t xml:space="preserve">independent of attack in the year before, which is why previous-year and neighbourhood</w:t>
      </w:r>
      <w:r>
        <w:t xml:space="preserve"> </w:t>
      </w:r>
      <w:r>
        <w:t xml:space="preserve">pressure enter the models. And an environmental variable that acts on this system acts by</w:t>
      </w:r>
      <w:r>
        <w:t xml:space="preserve"> </w:t>
      </w:r>
      <w:r>
        <w:t xml:space="preserve">regulating that threshold rather than by adding to attack:</w:t>
      </w:r>
      <w:r>
        <w:t xml:space="preserve"> </w:t>
      </w:r>
      <w:r>
        <w:t xml:space="preserve">Cooke et al. (2025)</w:t>
      </w:r>
      <w:r>
        <w:t xml:space="preserve"> </w:t>
      </w:r>
      <w:r>
        <w:t xml:space="preserve">report that</w:t>
      </w:r>
      <w:r>
        <w:t xml:space="preserve"> </w:t>
      </w:r>
      <w:r>
        <w:t xml:space="preserve">“in every</w:t>
      </w:r>
      <w:r>
        <w:t xml:space="preserve"> </w:t>
      </w:r>
      <w:r>
        <w:t xml:space="preserve">study where an Allee effect was demonstrated, investigators also identified at least one</w:t>
      </w:r>
      <w:r>
        <w:t xml:space="preserve"> </w:t>
      </w:r>
      <w:r>
        <w:t xml:space="preserve">extrinsic environmental factor (e.g., winter weather, summer drought, microclimatic effect)</w:t>
      </w:r>
      <w:r>
        <w:t xml:space="preserve"> </w:t>
      </w:r>
      <w:r>
        <w:t xml:space="preserve">that was regulating its strength”</w:t>
      </w:r>
      <w:r>
        <w:t xml:space="preserve">. A wind effect on mass attack is therefore expected as an</w:t>
      </w:r>
      <w:r>
        <w:t xml:space="preserve"> </w:t>
      </w:r>
      <w:r>
        <w:t xml:space="preserve">interaction with host density, which is what this study fits, and not as a main effect.</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Frank, Hahmann, &amp; Giebel, 2014; Davis et al., 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with the MicroMet</w:t>
      </w:r>
      <w:r>
        <w:t xml:space="preserve"> </w:t>
      </w:r>
      <w:r>
        <w:t xml:space="preserve">model</w:t>
      </w:r>
      <w:r>
        <w:t xml:space="preserve"> </w:t>
      </w:r>
      <w:r>
        <w:t xml:space="preserve">(Liston &amp; Elder, 2006)</w:t>
      </w:r>
      <w:r>
        <w:t xml:space="preserve">, and test the response at Landsat’s own 16-day repeat rather than annually.</w:t>
      </w:r>
    </w:p>
    <w:p>
      <w:pPr>
        <w:pStyle w:val="BodyText"/>
      </w:pPr>
      <w:hyperlink w:anchor="tbl-hypotheses">
        <w:r>
          <w:rPr>
            <w:rStyle w:val="Hyperlink"/>
          </w:rPr>
          <w:t xml:space="preserve">Table 1</w:t>
        </w:r>
      </w:hyperlink>
      <w:r>
        <w:t xml:space="preserve"> </w:t>
      </w:r>
      <w:r>
        <w:t xml:space="preserve">gives the direction expected of each attribute and the reasoning behind it.</w:t>
      </w:r>
      <w:r>
        <w:t xml:space="preserve"> </w:t>
      </w:r>
      <w:r>
        <w:t xml:space="preserve">This study asks five questions. Does stand density predict moderate-to-high disturbance, as</w:t>
      </w:r>
      <w:r>
        <w:t xml:space="preserve"> </w:t>
      </w:r>
      <w:r>
        <w:t xml:space="preserve">the pheromone mechanism requires? Does topographic shading predict it, against the competing</w:t>
      </w:r>
      <w:r>
        <w:t xml:space="preserve"> </w:t>
      </w:r>
      <w:r>
        <w:t xml:space="preserve">microclimate and adaptive-seasonality arguments? Does terrain shape predict it once density</w:t>
      </w:r>
      <w:r>
        <w:t xml:space="preserve"> </w:t>
      </w:r>
      <w:r>
        <w:t xml:space="preserve">and radiation are already in the model? Is the density effect conditional on wind, which is</w:t>
      </w:r>
      <w:r>
        <w:t xml:space="preserve"> </w:t>
      </w:r>
      <w:r>
        <w:t xml:space="preserve">the form the mechanism actually takes? And how much of the answer depends on the interval the</w:t>
      </w:r>
      <w:r>
        <w:t xml:space="preserve"> </w:t>
      </w:r>
      <w:r>
        <w:t xml:space="preserve">response is measured over?</w:t>
      </w:r>
    </w:p>
    <w:tbl>
      <w:tblPr>
        <w:tblStyle w:val="Table"/>
        <w:tblW w:type="pct" w:w="5000"/>
        <w:tblLayout w:type="fixed"/>
        <w:tblLook w:firstRow="0" w:lastRow="0" w:firstColumn="0" w:lastColumn="0" w:noHBand="0" w:noVBand="0" w:val="0000"/>
      </w:tblPr>
      <w:tblGrid>
        <w:gridCol w:w="7920"/>
      </w:tblGrid>
      <w:tr>
        <w:tc>
          <w:tcPr/>
          <w:bookmarkStart w:id="22"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(Cartwright, 2018; Krawchuk et al., 2020; Powell &amp; Bentz, 2014)</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&amp;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&amp;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Shegelski, Marculis, Wijerathna, &amp; Evenden,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&amp; Goodsman, 2021)</w:t>
                  </w:r>
                  <w:r>
                    <w:rPr>
                      <w:sz w:val="16"/>
                      <w:szCs w:val="16"/>
                    </w:rPr>
                    <w:t xml:space="preserve">.</w:t>
                  </w:r>
                </w:p>
              </w:tc>
            </w:tr>
          </w:tbl>
          <w:bookmarkEnd w:id="22"/>
          <w:p/>
        </w:tc>
      </w:tr>
    </w:tbl>
    <w:bookmarkEnd w:id="23"/>
    <w:bookmarkStart w:id="45" w:name="materials"/>
    <w:p>
      <w:pPr>
        <w:pStyle w:val="Heading1"/>
      </w:pPr>
      <w:r>
        <w:t xml:space="preserve">2. Materials</w:t>
      </w:r>
    </w:p>
    <w:bookmarkStart w:id="29" w:name="study-area"/>
    <w:p>
      <w:pPr>
        <w:pStyle w:val="Heading2"/>
      </w:pPr>
      <w:r>
        <w:t xml:space="preserve">2.1 Study area</w:t>
      </w:r>
    </w:p>
    <w:p>
      <w:pPr>
        <w:pStyle w:val="FirstParagraph"/>
      </w:pPr>
      <w:hyperlink w:anchor="tbl-inventory">
        <w:r>
          <w:rPr>
            <w:rStyle w:val="Hyperlink"/>
          </w:rPr>
          <w:t xml:space="preserve">Table 2</w:t>
        </w:r>
      </w:hyperlink>
      <w:r>
        <w:t xml:space="preserve"> </w:t>
      </w:r>
      <w:r>
        <w:t xml:space="preserve">sets out the datasets this study combines and the resolution of each.</w:t>
      </w:r>
      <w:r>
        <w:t xml:space="preserve"> </w:t>
      </w:r>
      <w:r>
        <w:t xml:space="preserve">The asymmetry it shows is the one the analysis turns on: the response varies every sixteen</w:t>
      </w:r>
      <w:r>
        <w:t xml:space="preserve"> </w:t>
      </w:r>
      <w:r>
        <w:t xml:space="preserve">days, the inventory once a year, the station wind every hour, and the terrain not at all.</w:t>
      </w:r>
    </w:p>
    <w:tbl>
      <w:tblPr>
        <w:tblStyle w:val="Table"/>
        <w:tblW w:type="pct" w:w="5000"/>
        <w:tblLayout w:type="fixed"/>
        <w:tblLook w:firstRow="0" w:lastRow="0" w:firstColumn="0" w:lastColumn="0" w:noHBand="0" w:noVBand="0" w:val="0000"/>
      </w:tblPr>
      <w:tblGrid>
        <w:gridCol w:w="7920"/>
      </w:tblGrid>
      <w:tr>
        <w:tc>
          <w:tcPr/>
          <w:bookmarkStart w:id="24" w:name="tbl-inventory"/>
          <w:p>
            <w:pPr>
              <w:jc w:val="center"/>
            </w:pPr>
            <w:pPr>
              <w:jc w:val="start"/>
              <w:spacing w:before="200"/>
              <w:pStyle w:val="ImageCaption"/>
            </w:pPr>
            <w:r>
              <w:t xml:space="preserve">Table 2: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turns on.</w:t>
            </w:r>
          </w:p>
          <w:tbl>
            <w:tblPr>
              <w:tblStyle w:val="Table"/>
              <w:tblLook w:firstRow="1" w:lastRow="0" w:firstColumn="0" w:lastColumn="0" w:noHBand="0" w:noVBand="0" w:val="0020"/>
              <w:tblW w:w="9354" w:type="dxa"/>
              <w:tblLayout w:type="fixed"/>
            </w:tblPr>
            <w:tblGrid>
              <w:gridCol w:w="1018"/>
              <w:gridCol w:w="1772"/>
              <w:gridCol w:w="2414"/>
              <w:gridCol w:w="1056"/>
              <w:gridCol w:w="1170"/>
              <w:gridCol w:w="1056"/>
              <w:gridCol w:w="868"/>
            </w:tblGrid>
            <w:tr>
              <w:trPr>
                <w:tblHeader w:val="on"/>
                <w:trHeight w:val="624" w:hRule="exact"/>
              </w:trPr>
              <w:tc>
                <w:tcPr/>
                <w:p>
                  <w:pPr>
                    <w:pStyle w:val="Compact"/>
                    <w:jc w:val="left"/>
                    <w:rPr>
                      <w:sz w:val="16"/>
                      <w:szCs w:val="16"/>
                    </w:rPr>
                  </w:pPr>
                  <w:r>
                    <w:rPr>
                      <w:sz w:val="16"/>
                      <w:szCs w:val="16"/>
                    </w:rPr>
                    <w:t xml:space="preserve">Dataset</w:t>
                  </w:r>
                </w:p>
              </w:tc>
              <w:tc>
                <w:tcPr/>
                <w:p>
                  <w:pPr>
                    <w:pStyle w:val="Compact"/>
                    <w:jc w:val="left"/>
                    <w:rPr>
                      <w:sz w:val="16"/>
                      <w:szCs w:val="16"/>
                    </w:rPr>
                  </w:pPr>
                  <w:r>
                    <w:rPr>
                      <w:sz w:val="16"/>
                      <w:szCs w:val="16"/>
                    </w:rPr>
                    <w:t xml:space="preserve">Source</w:t>
                  </w:r>
                </w:p>
              </w:tc>
              <w:tc>
                <w:tcPr/>
                <w:p>
                  <w:pPr>
                    <w:pStyle w:val="Compact"/>
                    <w:jc w:val="left"/>
                    <w:rPr>
                      <w:sz w:val="16"/>
                      <w:szCs w:val="16"/>
                    </w:rPr>
                  </w:pPr>
                  <w:r>
                    <w:rPr>
                      <w:sz w:val="16"/>
                      <w:szCs w:val="16"/>
                    </w:rPr>
                    <w:t xml:space="preserve">Variables</w:t>
                  </w:r>
                </w:p>
              </w:tc>
              <w:tc>
                <w:tcPr/>
                <w:p>
                  <w:pPr>
                    <w:pStyle w:val="Compact"/>
                    <w:jc w:val="left"/>
                    <w:rPr>
                      <w:sz w:val="16"/>
                      <w:szCs w:val="16"/>
                    </w:rPr>
                  </w:pPr>
                  <w:r>
                    <w:rPr>
                      <w:sz w:val="16"/>
                      <w:szCs w:val="16"/>
                    </w:rPr>
                    <w:t xml:space="preserve">Spatial resolution</w:t>
                  </w:r>
                </w:p>
              </w:tc>
              <w:tc>
                <w:tcPr/>
                <w:p>
                  <w:pPr>
                    <w:pStyle w:val="Compact"/>
                    <w:jc w:val="left"/>
                    <w:rPr>
                      <w:sz w:val="16"/>
                      <w:szCs w:val="16"/>
                    </w:rPr>
                  </w:pPr>
                  <w:r>
                    <w:rPr>
                      <w:sz w:val="16"/>
                      <w:szCs w:val="16"/>
                    </w:rPr>
                    <w:t xml:space="preserve">Temporal resolution</w:t>
                  </w:r>
                </w:p>
              </w:tc>
              <w:tc>
                <w:tcPr/>
                <w:p>
                  <w:pPr>
                    <w:pStyle w:val="Compact"/>
                    <w:jc w:val="left"/>
                    <w:rPr>
                      <w:sz w:val="16"/>
                      <w:szCs w:val="16"/>
                    </w:rPr>
                  </w:pPr>
                  <w:r>
                    <w:rPr>
                      <w:sz w:val="16"/>
                      <w:szCs w:val="16"/>
                    </w:rPr>
                    <w:t xml:space="preserve">Period</w:t>
                  </w:r>
                </w:p>
              </w:tc>
              <w:tc>
                <w:tcPr/>
                <w:p>
                  <w:pPr>
                    <w:pStyle w:val="Compact"/>
                    <w:jc w:val="left"/>
                    <w:rPr>
                      <w:sz w:val="16"/>
                      <w:szCs w:val="16"/>
                    </w:rPr>
                  </w:pPr>
                  <w:r>
                    <w:rPr>
                      <w:sz w:val="16"/>
                      <w:szCs w:val="16"/>
                    </w:rPr>
                    <w:t xml:space="preserve">n</w:t>
                  </w:r>
                </w:p>
              </w:tc>
            </w:tr>
            <w:tr>
              <w:trPr>
                <w:trHeight w:val="340" w:hRule="exact"/>
              </w:trPr>
              <w:tc>
                <w:tcPr/>
                <w:p>
                  <w:pPr>
                    <w:pStyle w:val="Compact"/>
                    <w:jc w:val="left"/>
                    <w:rPr>
                      <w:sz w:val="16"/>
                      <w:szCs w:val="16"/>
                    </w:rPr>
                  </w:pPr>
                  <w:r>
                    <w:rPr>
                      <w:sz w:val="16"/>
                      <w:szCs w:val="16"/>
                    </w:rPr>
                    <w:t xml:space="preserve">Beetle disturbance, annual</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8 years</w:t>
                  </w:r>
                </w:p>
              </w:tc>
            </w:tr>
            <w:tr>
              <w:trPr>
                <w:trHeight w:val="340" w:hRule="exact"/>
              </w:trPr>
              <w:tc>
                <w:tcPr/>
                <w:p>
                  <w:pPr>
                    <w:pStyle w:val="Compact"/>
                    <w:jc w:val="left"/>
                    <w:rPr>
                      <w:sz w:val="16"/>
                      <w:szCs w:val="16"/>
                    </w:rPr>
                  </w:pPr>
                  <w:r>
                    <w:rPr>
                      <w:sz w:val="16"/>
                      <w:szCs w:val="16"/>
                    </w:rPr>
                    <w:t xml:space="preserve">Beetle disturbance, 16-day</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the sensor’s repeat</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59 epochs</w:t>
                  </w:r>
                </w:p>
              </w:tc>
            </w:tr>
            <w:tr>
              <w:trPr>
                <w:trHeight w:val="340" w:hRule="exact"/>
              </w:trPr>
              <w:tc>
                <w:tcPr/>
                <w:p>
                  <w:pPr>
                    <w:pStyle w:val="Compact"/>
                    <w:jc w:val="left"/>
                    <w:rPr>
                      <w:sz w:val="16"/>
                      <w:szCs w:val="16"/>
                    </w:rPr>
                  </w:pPr>
                  <w:r>
                    <w:rPr>
                      <w:sz w:val="16"/>
                      <w:szCs w:val="16"/>
                    </w:rPr>
                    <w:t xml:space="preserve">Stand structure</w:t>
                  </w:r>
                </w:p>
              </w:tc>
              <w:tc>
                <w:tcPr/>
                <w:p>
                  <w:pPr>
                    <w:pStyle w:val="Compact"/>
                    <w:jc w:val="left"/>
                    <w:rPr>
                      <w:sz w:val="16"/>
                      <w:szCs w:val="16"/>
                    </w:rPr>
                  </w:pPr>
                  <w:r>
                    <w:rPr>
                      <w:sz w:val="16"/>
                      <w:szCs w:val="16"/>
                    </w:rPr>
                    <w:t xml:space="preserve">VRI Historical, BC Data Catalogue</w:t>
                  </w:r>
                </w:p>
              </w:tc>
              <w:tc>
                <w:tcPr/>
                <w:p>
                  <w:pPr>
                    <w:pStyle w:val="Compact"/>
                    <w:jc w:val="left"/>
                    <w:rPr>
                      <w:sz w:val="16"/>
                      <w:szCs w:val="16"/>
                    </w:rPr>
                  </w:pPr>
                  <w:r>
                    <w:rPr>
                      <w:sz w:val="16"/>
                      <w:szCs w:val="16"/>
                    </w:rPr>
                    <w:t xml:space="preserve">Basal area, volume, stems, quadratic mean diameter, age, height</w:t>
                  </w:r>
                </w:p>
              </w:tc>
              <w:tc>
                <w:tcPr/>
                <w:p>
                  <w:pPr>
                    <w:pStyle w:val="Compact"/>
                    <w:jc w:val="left"/>
                    <w:rPr>
                      <w:sz w:val="16"/>
                      <w:szCs w:val="16"/>
                    </w:rPr>
                  </w:pPr>
                  <w:r>
                    <w:rPr>
                      <w:sz w:val="16"/>
                      <w:szCs w:val="16"/>
                    </w:rPr>
                    <w:t xml:space="preserve">Polygon, rasterised to 30 m</w:t>
                  </w:r>
                </w:p>
              </w:tc>
              <w:tc>
                <w:tcPr/>
                <w:p>
                  <w:pPr>
                    <w:pStyle w:val="Compact"/>
                    <w:jc w:val="left"/>
                    <w:rPr>
                      <w:sz w:val="16"/>
                      <w:szCs w:val="16"/>
                    </w:rPr>
                  </w:pPr>
                  <w:r>
                    <w:rPr>
                      <w:sz w:val="16"/>
                      <w:szCs w:val="16"/>
                    </w:rPr>
                    <w:t xml:space="preserve">1 year, projected to each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9 snapshots</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NRCan High Resolution DEM, indices by SAGA GIS</w:t>
                  </w:r>
                </w:p>
              </w:tc>
              <w:tc>
                <w:tcPr/>
                <w:p>
                  <w:pPr>
                    <w:pStyle w:val="Compact"/>
                    <w:jc w:val="left"/>
                    <w:rPr>
                      <w:sz w:val="16"/>
                      <w:szCs w:val="16"/>
                    </w:rPr>
                  </w:pPr>
                  <w:r>
                    <w:rPr>
                      <w:sz w:val="16"/>
                      <w:szCs w:val="16"/>
                    </w:rPr>
                    <w:t xml:space="preserve">29 geomorphometric surfaces incl. radiation, exposure, landform</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Static</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29 surfaces</w:t>
                  </w:r>
                </w:p>
              </w:tc>
            </w:tr>
            <w:tr>
              <w:trPr>
                <w:trHeight w:val="340" w:hRule="exact"/>
              </w:trPr>
              <w:tc>
                <w:tcPr/>
                <w:p>
                  <w:pPr>
                    <w:pStyle w:val="Compact"/>
                    <w:jc w:val="left"/>
                    <w:rPr>
                      <w:sz w:val="16"/>
                      <w:szCs w:val="16"/>
                    </w:rPr>
                  </w:pPr>
                  <w:r>
                    <w:rPr>
                      <w:sz w:val="16"/>
                      <w:szCs w:val="16"/>
                    </w:rPr>
                    <w:t xml:space="preserve">Station wind</w:t>
                  </w:r>
                </w:p>
              </w:tc>
              <w:tc>
                <w:tcPr/>
                <w:p>
                  <w:pPr>
                    <w:pStyle w:val="Compact"/>
                    <w:jc w:val="left"/>
                    <w:rPr>
                      <w:sz w:val="16"/>
                      <w:szCs w:val="16"/>
                    </w:rPr>
                  </w:pPr>
                  <w:r>
                    <w:rPr>
                      <w:sz w:val="16"/>
                      <w:szCs w:val="16"/>
                    </w:rPr>
                    <w:t xml:space="preserve">Environment and Climate Change Canada</w:t>
                  </w:r>
                </w:p>
              </w:tc>
              <w:tc>
                <w:tcPr/>
                <w:p>
                  <w:pPr>
                    <w:pStyle w:val="Compact"/>
                    <w:jc w:val="left"/>
                    <w:rPr>
                      <w:sz w:val="16"/>
                      <w:szCs w:val="16"/>
                    </w:rPr>
                  </w:pPr>
                  <w:r>
                    <w:rPr>
                      <w:sz w:val="16"/>
                      <w:szCs w:val="16"/>
                    </w:rPr>
                    <w:t xml:space="preserve">Speed and direction</w:t>
                  </w:r>
                </w:p>
              </w:tc>
              <w:tc>
                <w:tcPr/>
                <w:p>
                  <w:pPr>
                    <w:pStyle w:val="Compact"/>
                    <w:jc w:val="left"/>
                    <w:rPr>
                      <w:sz w:val="16"/>
                      <w:szCs w:val="16"/>
                    </w:rPr>
                  </w:pPr>
                  <w:r>
                    <w:rPr>
                      <w:sz w:val="16"/>
                      <w:szCs w:val="16"/>
                    </w:rPr>
                    <w:t xml:space="preserve">4 to 7 valley stations</w:t>
                  </w:r>
                </w:p>
              </w:tc>
              <w:tc>
                <w:tcPr/>
                <w:p>
                  <w:pPr>
                    <w:pStyle w:val="Compact"/>
                    <w:jc w:val="left"/>
                    <w:rPr>
                      <w:sz w:val="16"/>
                      <w:szCs w:val="16"/>
                    </w:rPr>
                  </w:pPr>
                  <w:r>
                    <w:rPr>
                      <w:sz w:val="16"/>
                      <w:szCs w:val="16"/>
                    </w:rPr>
                    <w:t xml:space="preserve">1 hour</w:t>
                  </w:r>
                </w:p>
              </w:tc>
              <w:tc>
                <w:tcPr/>
                <w:p>
                  <w:pPr>
                    <w:pStyle w:val="Compact"/>
                    <w:jc w:val="left"/>
                    <w:rPr>
                      <w:sz w:val="16"/>
                      <w:szCs w:val="16"/>
                    </w:rPr>
                  </w:pPr>
                  <w:r>
                    <w:rPr>
                      <w:sz w:val="16"/>
                      <w:szCs w:val="16"/>
                    </w:rPr>
                    <w:t xml:space="preserve">2005-2014, May to September</w:t>
                  </w:r>
                </w:p>
              </w:tc>
              <w:tc>
                <w:tcPr/>
                <w:p>
                  <w:pPr>
                    <w:pStyle w:val="Compact"/>
                    <w:jc w:val="left"/>
                    <w:rPr>
                      <w:sz w:val="16"/>
                      <w:szCs w:val="16"/>
                    </w:rPr>
                  </w:pPr>
                  <w:r>
                    <w:rPr>
                      <w:sz w:val="16"/>
                      <w:szCs w:val="16"/>
                    </w:rPr>
                    <w:t xml:space="preserve">236,079 hourly records</w:t>
                  </w:r>
                </w:p>
              </w:tc>
            </w:tr>
            <w:tr>
              <w:trPr>
                <w:trHeight w:val="340" w:hRule="exact"/>
              </w:trPr>
              <w:tc>
                <w:tcPr/>
                <w:p>
                  <w:pPr>
                    <w:pStyle w:val="Compact"/>
                    <w:jc w:val="left"/>
                    <w:rPr>
                      <w:sz w:val="16"/>
                      <w:szCs w:val="16"/>
                    </w:rPr>
                  </w:pPr>
                  <w:r>
                    <w:rPr>
                      <w:sz w:val="16"/>
                      <w:szCs w:val="16"/>
                    </w:rPr>
                    <w:t xml:space="preserve">Terrain-resolved wind</w:t>
                  </w:r>
                </w:p>
              </w:tc>
              <w:tc>
                <w:tcPr/>
                <w:p>
                  <w:pPr>
                    <w:pStyle w:val="Compact"/>
                    <w:jc w:val="left"/>
                    <w:rPr>
                      <w:sz w:val="16"/>
                      <w:szCs w:val="16"/>
                    </w:rPr>
                  </w:pPr>
                  <w:r>
                    <w:rPr>
                      <w:sz w:val="16"/>
                      <w:szCs w:val="16"/>
                    </w:rPr>
                    <w:t xml:space="preserve">MicroMet over the DEM, driven by station wind</w:t>
                  </w:r>
                </w:p>
              </w:tc>
              <w:tc>
                <w:tcPr/>
                <w:p>
                  <w:pPr>
                    <w:pStyle w:val="Compact"/>
                    <w:jc w:val="left"/>
                    <w:rPr>
                      <w:sz w:val="16"/>
                      <w:szCs w:val="16"/>
                    </w:rPr>
                  </w:pPr>
                  <w:r>
                    <w:rPr>
                      <w:sz w:val="16"/>
                      <w:szCs w:val="16"/>
                    </w:rPr>
                    <w:t xml:space="preserve">Weighting factor, modified speed, diverted direction</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and 1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16 direction bins</w:t>
                  </w:r>
                </w:p>
              </w:tc>
            </w:tr>
            <w:tr>
              <w:trPr>
                <w:trHeight w:val="340" w:hRule="exact"/>
              </w:trPr>
              <w:tc>
                <w:tcPr/>
                <w:p>
                  <w:pPr>
                    <w:pStyle w:val="Compact"/>
                    <w:jc w:val="left"/>
                    <w:rPr>
                      <w:sz w:val="16"/>
                      <w:szCs w:val="16"/>
                    </w:rPr>
                  </w:pPr>
                  <w:r>
                    <w:rPr>
                      <w:sz w:val="16"/>
                      <w:szCs w:val="16"/>
                    </w:rPr>
                    <w:t xml:space="preserve">Modelling table, annual</w:t>
                  </w:r>
                </w:p>
              </w:tc>
              <w:tc>
                <w:tcPr/>
                <w:p>
                  <w:pPr>
                    <w:pStyle w:val="Compact"/>
                    <w:jc w:val="left"/>
                    <w:rPr>
                      <w:sz w:val="16"/>
                      <w:szCs w:val="16"/>
                    </w:rPr>
                  </w:pPr>
                  <w:r>
                    <w:rPr>
                      <w:sz w:val="16"/>
                      <w:szCs w:val="16"/>
                    </w:rPr>
                    <w:t xml:space="preserve">Assembled by 38-assemble-model-data.R</w:t>
                  </w:r>
                </w:p>
              </w:tc>
              <w:tc>
                <w:tcPr/>
                <w:p>
                  <w:pPr>
                    <w:pStyle w:val="Compact"/>
                    <w:jc w:val="left"/>
                    <w:rPr>
                      <w:sz w:val="16"/>
                      <w:szCs w:val="16"/>
                    </w:rPr>
                  </w:pPr>
                  <w:r>
                    <w:rPr>
                      <w:sz w:val="16"/>
                      <w:szCs w:val="16"/>
                    </w:rPr>
                    <w:t xml:space="preserve">Response and every covariate, one row per cell-year</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111,707 cell-years</w:t>
                  </w:r>
                </w:p>
              </w:tc>
            </w:tr>
            <w:tr>
              <w:trPr>
                <w:trHeight w:val="340" w:hRule="exact"/>
              </w:trPr>
              <w:tc>
                <w:tcPr/>
                <w:p>
                  <w:pPr>
                    <w:pStyle w:val="Compact"/>
                    <w:jc w:val="left"/>
                    <w:rPr>
                      <w:sz w:val="16"/>
                      <w:szCs w:val="16"/>
                    </w:rPr>
                  </w:pPr>
                  <w:r>
                    <w:rPr>
                      <w:sz w:val="16"/>
                      <w:szCs w:val="16"/>
                    </w:rPr>
                    <w:t xml:space="preserve">Modelling table, 16-day</w:t>
                  </w:r>
                </w:p>
              </w:tc>
              <w:tc>
                <w:tcPr/>
                <w:p>
                  <w:pPr>
                    <w:pStyle w:val="Compact"/>
                    <w:jc w:val="left"/>
                    <w:rPr>
                      <w:sz w:val="16"/>
                      <w:szCs w:val="16"/>
                    </w:rPr>
                  </w:pPr>
                  <w:r>
                    <w:rPr>
                      <w:sz w:val="16"/>
                      <w:szCs w:val="16"/>
                    </w:rPr>
                    <w:t xml:space="preserve">Assembled by 45-epoch-model-data.R</w:t>
                  </w:r>
                </w:p>
              </w:tc>
              <w:tc>
                <w:tcPr/>
                <w:p>
                  <w:pPr>
                    <w:pStyle w:val="Compact"/>
                    <w:jc w:val="left"/>
                    <w:rPr>
                      <w:sz w:val="16"/>
                      <w:szCs w:val="16"/>
                    </w:rPr>
                  </w:pPr>
                  <w:r>
                    <w:rPr>
                      <w:sz w:val="16"/>
                      <w:szCs w:val="16"/>
                    </w:rPr>
                    <w:t xml:space="preserve">Response and every covariate, one row per cell-epoch</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66,302 cell-epochs</w:t>
                  </w:r>
                </w:p>
              </w:tc>
            </w:tr>
          </w:tbl>
          <w:bookmarkEnd w:id="24"/>
          <w:p/>
        </w:tc>
      </w:tr>
    </w:tbl>
    <w:p>
      <w:pPr>
        <w:pStyle w:val="BodyText"/>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6656832"/>
                  <wp:effectExtent b="0" l="0" r="0" t="0"/>
                  <wp:docPr descr="" title="" id="26" name="Picture"/>
                  <a:graphic>
                    <a:graphicData uri="http://schemas.openxmlformats.org/drawingml/2006/picture">
                      <pic:pic>
                        <pic:nvPicPr>
                          <pic:cNvPr descr="beetle-topography-wind-study-vri-timeseries_files/figure-docx/fig-study-area-1.png" id="27" name="Picture"/>
                          <pic:cNvPicPr>
                            <a:picLocks noChangeArrowheads="1" noChangeAspect="1"/>
                          </pic:cNvPicPr>
                        </pic:nvPicPr>
                        <pic:blipFill>
                          <a:blip r:embed="rId25"/>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w:t>
            </w:r>
          </w:p>
          <w:bookmarkEnd w:id="28"/>
        </w:tc>
      </w:tr>
    </w:tbl>
    <w:bookmarkEnd w:id="29"/>
    <w:bookmarkStart w:id="31" w:name="beetle-disturbance"/>
    <w:p>
      <w:pPr>
        <w:pStyle w:val="Heading2"/>
      </w:pPr>
      <w:r>
        <w:t xml:space="preserve">2.2 Beetle disturbance</w:t>
      </w:r>
    </w:p>
    <w:p>
      <w:pPr>
        <w:pStyle w:val="FirstParagraph"/>
      </w:pPr>
      <w:r>
        <w:t xml:space="preserve">We took the response as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eight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4.9 to 19.2 per</w:t>
      </w:r>
      <w:r>
        <w:t xml:space="preserve"> </w:t>
      </w:r>
      <w:r>
        <w:t xml:space="preserve">cent, pooled 12.9 per cent over 111,707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30"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13,224</w:t>
                  </w:r>
                </w:p>
              </w:tc>
              <w:tc>
                <w:tcPr/>
                <w:p>
                  <w:pPr>
                    <w:pStyle w:val="Compact"/>
                    <w:jc w:val="left"/>
                    <w:rPr>
                      <w:sz w:val="16"/>
                      <w:szCs w:val="16"/>
                    </w:rPr>
                  </w:pPr>
                  <w:r>
                    <w:rPr>
                      <w:sz w:val="16"/>
                      <w:szCs w:val="16"/>
                    </w:rPr>
                    <w:t xml:space="preserve">4.9</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13,225</w:t>
                  </w:r>
                </w:p>
              </w:tc>
              <w:tc>
                <w:tcPr/>
                <w:p>
                  <w:pPr>
                    <w:pStyle w:val="Compact"/>
                    <w:jc w:val="left"/>
                    <w:rPr>
                      <w:sz w:val="16"/>
                      <w:szCs w:val="16"/>
                    </w:rPr>
                  </w:pPr>
                  <w:r>
                    <w:rPr>
                      <w:sz w:val="16"/>
                      <w:szCs w:val="16"/>
                    </w:rPr>
                    <w:t xml:space="preserve">6.0</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13,285</w:t>
                  </w:r>
                </w:p>
              </w:tc>
              <w:tc>
                <w:tcPr/>
                <w:p>
                  <w:pPr>
                    <w:pStyle w:val="Compact"/>
                    <w:jc w:val="left"/>
                    <w:rPr>
                      <w:sz w:val="16"/>
                      <w:szCs w:val="16"/>
                    </w:rPr>
                  </w:pPr>
                  <w:r>
                    <w:rPr>
                      <w:sz w:val="16"/>
                      <w:szCs w:val="16"/>
                    </w:rPr>
                    <w:t xml:space="preserve">19.2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13,556</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13,538</w:t>
                  </w:r>
                </w:p>
              </w:tc>
              <w:tc>
                <w:tcPr/>
                <w:p>
                  <w:pPr>
                    <w:pStyle w:val="Compact"/>
                    <w:jc w:val="left"/>
                    <w:rPr>
                      <w:sz w:val="16"/>
                      <w:szCs w:val="16"/>
                    </w:rPr>
                  </w:pPr>
                  <w:r>
                    <w:rPr>
                      <w:sz w:val="16"/>
                      <w:szCs w:val="16"/>
                    </w:rPr>
                    <w:t xml:space="preserve">16.5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14,944</w:t>
                  </w:r>
                </w:p>
              </w:tc>
              <w:tc>
                <w:tcPr/>
                <w:p>
                  <w:pPr>
                    <w:pStyle w:val="Compact"/>
                    <w:jc w:val="left"/>
                    <w:rPr>
                      <w:sz w:val="16"/>
                      <w:szCs w:val="16"/>
                    </w:rPr>
                  </w:pPr>
                  <w:r>
                    <w:rPr>
                      <w:sz w:val="16"/>
                      <w:szCs w:val="16"/>
                    </w:rPr>
                    <w:t xml:space="preserve">13.5</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14,943</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14,992</w:t>
                  </w:r>
                </w:p>
              </w:tc>
              <w:tc>
                <w:tcPr/>
                <w:p>
                  <w:pPr>
                    <w:pStyle w:val="Compact"/>
                    <w:jc w:val="left"/>
                    <w:rPr>
                      <w:sz w:val="16"/>
                      <w:szCs w:val="16"/>
                    </w:rPr>
                  </w:pPr>
                  <w:r>
                    <w:rPr>
                      <w:sz w:val="16"/>
                      <w:szCs w:val="16"/>
                    </w:rPr>
                    <w:t xml:space="preserve">15.2</w:t>
                  </w:r>
                </w:p>
              </w:tc>
            </w:tr>
          </w:tbl>
          <w:bookmarkEnd w:id="30"/>
          <w:p/>
        </w:tc>
      </w:tr>
    </w:tbl>
    <w:bookmarkEnd w:id="31"/>
    <w:bookmarkStart w:id="33"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67.1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2"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35.56</w:t>
                  </w:r>
                </w:p>
              </w:tc>
              <w:tc>
                <w:tcPr/>
                <w:p>
                  <w:pPr>
                    <w:pStyle w:val="Compact"/>
                    <w:jc w:val="left"/>
                    <w:rPr>
                      <w:sz w:val="16"/>
                      <w:szCs w:val="16"/>
                    </w:rPr>
                  </w:pPr>
                  <w:r>
                    <w:rPr>
                      <w:sz w:val="16"/>
                      <w:szCs w:val="16"/>
                    </w:rPr>
                    <w:t xml:space="preserve">11.60</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37.39</w:t>
                  </w:r>
                </w:p>
              </w:tc>
              <w:tc>
                <w:tcPr/>
                <w:p>
                  <w:pPr>
                    <w:pStyle w:val="Compact"/>
                    <w:jc w:val="left"/>
                    <w:rPr>
                      <w:sz w:val="16"/>
                      <w:szCs w:val="16"/>
                    </w:rPr>
                  </w:pPr>
                  <w:r>
                    <w:rPr>
                      <w:sz w:val="16"/>
                      <w:szCs w:val="16"/>
                    </w:rPr>
                    <w:t xml:space="preserve">0.98</w:t>
                  </w:r>
                </w:p>
              </w:tc>
              <w:tc>
                <w:tcPr/>
                <w:p>
                  <w:pPr>
                    <w:pStyle w:val="Compact"/>
                    <w:jc w:val="left"/>
                    <w:rPr>
                      <w:sz w:val="16"/>
                      <w:szCs w:val="16"/>
                    </w:rPr>
                  </w:pPr>
                  <w:r>
                    <w:rPr>
                      <w:sz w:val="16"/>
                      <w:szCs w:val="16"/>
                    </w:rPr>
                    <w:t xml:space="preserve">62.43</w:t>
                  </w:r>
                </w:p>
              </w:tc>
              <w:tc>
                <w:tcPr/>
                <w:p>
                  <w:pPr>
                    <w:pStyle w:val="Compact"/>
                    <w:jc w:val="left"/>
                    <w:rPr>
                      <w:sz w:val="16"/>
                      <w:szCs w:val="16"/>
                    </w:rPr>
                  </w:pPr>
                  <w:r>
                    <w:rPr>
                      <w:sz w:val="16"/>
                      <w:szCs w:val="16"/>
                    </w:rPr>
                    <w:t xml:space="preserve">-1.01</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50.10</w:t>
                  </w:r>
                </w:p>
              </w:tc>
              <w:tc>
                <w:tcPr/>
                <w:p>
                  <w:pPr>
                    <w:pStyle w:val="Compact"/>
                    <w:jc w:val="left"/>
                    <w:rPr>
                      <w:sz w:val="16"/>
                      <w:szCs w:val="16"/>
                    </w:rPr>
                  </w:pPr>
                  <w:r>
                    <w:rPr>
                      <w:sz w:val="16"/>
                      <w:szCs w:val="16"/>
                    </w:rPr>
                    <w:t xml:space="preserve">13.54</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50.00</w:t>
                  </w:r>
                </w:p>
              </w:tc>
              <w:tc>
                <w:tcPr/>
                <w:p>
                  <w:pPr>
                    <w:pStyle w:val="Compact"/>
                    <w:jc w:val="left"/>
                    <w:rPr>
                      <w:sz w:val="16"/>
                      <w:szCs w:val="16"/>
                    </w:rPr>
                  </w:pPr>
                  <w:r>
                    <w:rPr>
                      <w:sz w:val="16"/>
                      <w:szCs w:val="16"/>
                    </w:rPr>
                    <w:t xml:space="preserve">3.00</w:t>
                  </w:r>
                </w:p>
              </w:tc>
              <w:tc>
                <w:tcPr/>
                <w:p>
                  <w:pPr>
                    <w:pStyle w:val="Compact"/>
                    <w:jc w:val="left"/>
                    <w:rPr>
                      <w:sz w:val="16"/>
                      <w:szCs w:val="16"/>
                    </w:rPr>
                  </w:pPr>
                  <w:r>
                    <w:rPr>
                      <w:sz w:val="16"/>
                      <w:szCs w:val="16"/>
                    </w:rPr>
                    <w:t xml:space="preserve">70.00</w:t>
                  </w:r>
                </w:p>
              </w:tc>
              <w:tc>
                <w:tcPr/>
                <w:p>
                  <w:pPr>
                    <w:pStyle w:val="Compact"/>
                    <w:jc w:val="left"/>
                    <w:rPr>
                      <w:sz w:val="16"/>
                      <w:szCs w:val="16"/>
                    </w:rPr>
                  </w:pPr>
                  <w:r>
                    <w:rPr>
                      <w:sz w:val="16"/>
                      <w:szCs w:val="16"/>
                    </w:rPr>
                    <w:t xml:space="preserve">-1.74</w:t>
                  </w:r>
                </w:p>
              </w:tc>
              <w:tc>
                <w:tcPr/>
                <w:p>
                  <w:pPr>
                    <w:pStyle w:val="Compact"/>
                    <w:jc w:val="left"/>
                    <w:rPr>
                      <w:sz w:val="16"/>
                      <w:szCs w:val="16"/>
                    </w:rPr>
                  </w:pPr>
                  <w:r>
                    <w:rPr>
                      <w:sz w:val="16"/>
                      <w:szCs w:val="16"/>
                    </w:rPr>
                    <w:t xml:space="preserve">+3.37</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772.75</w:t>
                  </w:r>
                </w:p>
              </w:tc>
              <w:tc>
                <w:tcPr/>
                <w:p>
                  <w:pPr>
                    <w:pStyle w:val="Compact"/>
                    <w:jc w:val="left"/>
                    <w:rPr>
                      <w:sz w:val="16"/>
                      <w:szCs w:val="16"/>
                    </w:rPr>
                  </w:pPr>
                  <w:r>
                    <w:rPr>
                      <w:sz w:val="16"/>
                      <w:szCs w:val="16"/>
                    </w:rPr>
                    <w:t xml:space="preserve">312.80</w:t>
                  </w:r>
                </w:p>
              </w:tc>
              <w:tc>
                <w:tcPr/>
                <w:p>
                  <w:pPr>
                    <w:pStyle w:val="Compact"/>
                    <w:jc w:val="left"/>
                    <w:rPr>
                      <w:sz w:val="16"/>
                      <w:szCs w:val="16"/>
                    </w:rPr>
                  </w:pPr>
                  <w:r>
                    <w:rPr>
                      <w:sz w:val="16"/>
                      <w:szCs w:val="16"/>
                    </w:rPr>
                    <w:t xml:space="preserve">0.936</w:t>
                  </w:r>
                </w:p>
              </w:tc>
              <w:tc>
                <w:tcPr/>
                <w:p>
                  <w:pPr>
                    <w:pStyle w:val="Compact"/>
                    <w:jc w:val="left"/>
                    <w:rPr>
                      <w:sz w:val="16"/>
                      <w:szCs w:val="16"/>
                    </w:rPr>
                  </w:pPr>
                  <w:r>
                    <w:rPr>
                      <w:sz w:val="16"/>
                      <w:szCs w:val="16"/>
                    </w:rPr>
                    <w:t xml:space="preserve">775.00</w:t>
                  </w:r>
                </w:p>
              </w:tc>
              <w:tc>
                <w:tcPr/>
                <w:p>
                  <w:pPr>
                    <w:pStyle w:val="Compact"/>
                    <w:jc w:val="left"/>
                    <w:rPr>
                      <w:sz w:val="16"/>
                      <w:szCs w:val="16"/>
                    </w:rPr>
                  </w:pPr>
                  <w:r>
                    <w:rPr>
                      <w:sz w:val="16"/>
                      <w:szCs w:val="16"/>
                    </w:rPr>
                    <w:t xml:space="preserve">23.00</w:t>
                  </w:r>
                </w:p>
              </w:tc>
              <w:tc>
                <w:tcPr/>
                <w:p>
                  <w:pPr>
                    <w:pStyle w:val="Compact"/>
                    <w:jc w:val="left"/>
                    <w:rPr>
                      <w:sz w:val="16"/>
                      <w:szCs w:val="16"/>
                    </w:rPr>
                  </w:pPr>
                  <w:r>
                    <w:rPr>
                      <w:sz w:val="16"/>
                      <w:szCs w:val="16"/>
                    </w:rPr>
                    <w:t xml:space="preserve">4600.00</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+19.51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27.38</w:t>
                  </w:r>
                </w:p>
              </w:tc>
              <w:tc>
                <w:tcPr/>
                <w:p>
                  <w:pPr>
                    <w:pStyle w:val="Compact"/>
                    <w:jc w:val="left"/>
                    <w:rPr>
                      <w:sz w:val="16"/>
                      <w:szCs w:val="16"/>
                    </w:rPr>
                  </w:pPr>
                  <w:r>
                    <w:rPr>
                      <w:sz w:val="16"/>
                      <w:szCs w:val="16"/>
                    </w:rPr>
                    <w:t xml:space="preserve">6.40</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26.95</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58.90</w:t>
                  </w:r>
                </w:p>
              </w:tc>
              <w:tc>
                <w:tcPr/>
                <w:p>
                  <w:pPr>
                    <w:pStyle w:val="Compact"/>
                    <w:jc w:val="left"/>
                    <w:rPr>
                      <w:sz w:val="16"/>
                      <w:szCs w:val="16"/>
                    </w:rPr>
                  </w:pPr>
                  <w:r>
                    <w:rPr>
                      <w:sz w:val="16"/>
                      <w:szCs w:val="16"/>
                    </w:rPr>
                    <w:t xml:space="preserve">+0.73</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115.46</w:t>
                  </w:r>
                </w:p>
              </w:tc>
              <w:tc>
                <w:tcPr/>
                <w:p>
                  <w:pPr>
                    <w:pStyle w:val="Compact"/>
                    <w:jc w:val="left"/>
                    <w:rPr>
                      <w:sz w:val="16"/>
                      <w:szCs w:val="16"/>
                    </w:rPr>
                  </w:pPr>
                  <w:r>
                    <w:rPr>
                      <w:sz w:val="16"/>
                      <w:szCs w:val="16"/>
                    </w:rPr>
                    <w:t xml:space="preserve">20.88</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116.00</w:t>
                  </w:r>
                </w:p>
              </w:tc>
              <w:tc>
                <w:tcPr/>
                <w:p>
                  <w:pPr>
                    <w:pStyle w:val="Compact"/>
                    <w:jc w:val="left"/>
                    <w:rPr>
                      <w:sz w:val="16"/>
                      <w:szCs w:val="16"/>
                    </w:rPr>
                  </w:pPr>
                  <w:r>
                    <w:rPr>
                      <w:sz w:val="16"/>
                      <w:szCs w:val="16"/>
                    </w:rPr>
                    <w:t xml:space="preserve">22.00</w:t>
                  </w:r>
                </w:p>
              </w:tc>
              <w:tc>
                <w:tcPr/>
                <w:p>
                  <w:pPr>
                    <w:pStyle w:val="Compact"/>
                    <w:jc w:val="left"/>
                    <w:rPr>
                      <w:sz w:val="16"/>
                      <w:szCs w:val="16"/>
                    </w:rPr>
                  </w:pPr>
                  <w:r>
                    <w:rPr>
                      <w:sz w:val="16"/>
                      <w:szCs w:val="16"/>
                    </w:rPr>
                    <w:t xml:space="preserve">237.00</w:t>
                  </w:r>
                </w:p>
              </w:tc>
              <w:tc>
                <w:tcPr/>
                <w:p>
                  <w:pPr>
                    <w:pStyle w:val="Compact"/>
                    <w:jc w:val="left"/>
                    <w:rPr>
                      <w:sz w:val="16"/>
                      <w:szCs w:val="16"/>
                    </w:rPr>
                  </w:pPr>
                  <w:r>
                    <w:rPr>
                      <w:sz w:val="16"/>
                      <w:szCs w:val="16"/>
                    </w:rPr>
                    <w:t xml:space="preserve">-0.78</w:t>
                  </w:r>
                </w:p>
              </w:tc>
              <w:tc>
                <w:tcPr/>
                <w:p>
                  <w:pPr>
                    <w:pStyle w:val="Compact"/>
                    <w:jc w:val="left"/>
                    <w:rPr>
                      <w:sz w:val="16"/>
                      <w:szCs w:val="16"/>
                    </w:rPr>
                  </w:pPr>
                  <w:r>
                    <w:rPr>
                      <w:sz w:val="16"/>
                      <w:szCs w:val="16"/>
                    </w:rPr>
                    <w:t xml:space="preserve">+1.97</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26.97</w:t>
                  </w:r>
                </w:p>
              </w:tc>
              <w:tc>
                <w:tcPr/>
                <w:p>
                  <w:pPr>
                    <w:pStyle w:val="Compact"/>
                    <w:jc w:val="left"/>
                    <w:rPr>
                      <w:sz w:val="16"/>
                      <w:szCs w:val="16"/>
                    </w:rPr>
                  </w:pPr>
                  <w:r>
                    <w:rPr>
                      <w:sz w:val="16"/>
                      <w:szCs w:val="16"/>
                    </w:rPr>
                    <w:t xml:space="preserve">6.27</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27.90</w:t>
                  </w:r>
                </w:p>
              </w:tc>
              <w:tc>
                <w:tcPr/>
                <w:p>
                  <w:pPr>
                    <w:pStyle w:val="Compact"/>
                    <w:jc w:val="left"/>
                    <w:rPr>
                      <w:sz w:val="16"/>
                      <w:szCs w:val="16"/>
                    </w:rPr>
                  </w:pPr>
                  <w:r>
                    <w:rPr>
                      <w:sz w:val="16"/>
                      <w:szCs w:val="16"/>
                    </w:rPr>
                    <w:t xml:space="preserve">7.00</w:t>
                  </w:r>
                </w:p>
              </w:tc>
              <w:tc>
                <w:tcPr/>
                <w:p>
                  <w:pPr>
                    <w:pStyle w:val="Compact"/>
                    <w:jc w:val="left"/>
                    <w:rPr>
                      <w:sz w:val="16"/>
                      <w:szCs w:val="16"/>
                    </w:rPr>
                  </w:pPr>
                  <w:r>
                    <w:rPr>
                      <w:sz w:val="16"/>
                      <w:szCs w:val="16"/>
                    </w:rPr>
                    <w:t xml:space="preserve">40.30</w:t>
                  </w:r>
                </w:p>
              </w:tc>
              <w:tc>
                <w:tcPr/>
                <w:p>
                  <w:pPr>
                    <w:pStyle w:val="Compact"/>
                    <w:jc w:val="left"/>
                    <w:rPr>
                      <w:sz w:val="16"/>
                      <w:szCs w:val="16"/>
                    </w:rPr>
                  </w:pPr>
                  <w:r>
                    <w:rPr>
                      <w:sz w:val="16"/>
                      <w:szCs w:val="16"/>
                    </w:rPr>
                    <w:t xml:space="preserve">-0.26</w:t>
                  </w:r>
                </w:p>
              </w:tc>
              <w:tc>
                <w:tcPr/>
                <w:p>
                  <w:pPr>
                    <w:pStyle w:val="Compact"/>
                    <w:jc w:val="left"/>
                    <w:rPr>
                      <w:sz w:val="16"/>
                      <w:szCs w:val="16"/>
                    </w:rPr>
                  </w:pPr>
                  <w:r>
                    <w:rPr>
                      <w:sz w:val="16"/>
                      <w:szCs w:val="16"/>
                    </w:rPr>
                    <w:t xml:space="preserve">+0.23</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272.33</w:t>
                  </w:r>
                </w:p>
              </w:tc>
              <w:tc>
                <w:tcPr/>
                <w:p>
                  <w:pPr>
                    <w:pStyle w:val="Compact"/>
                    <w:jc w:val="left"/>
                    <w:rPr>
                      <w:sz w:val="16"/>
                      <w:szCs w:val="16"/>
                    </w:rPr>
                  </w:pPr>
                  <w:r>
                    <w:rPr>
                      <w:sz w:val="16"/>
                      <w:szCs w:val="16"/>
                    </w:rPr>
                    <w:t xml:space="preserve">131.38</w:t>
                  </w:r>
                </w:p>
              </w:tc>
              <w:tc>
                <w:tcPr/>
                <w:p>
                  <w:pPr>
                    <w:pStyle w:val="Compact"/>
                    <w:jc w:val="left"/>
                    <w:rPr>
                      <w:sz w:val="16"/>
                      <w:szCs w:val="16"/>
                    </w:rPr>
                  </w:pPr>
                  <w:r>
                    <w:rPr>
                      <w:sz w:val="16"/>
                      <w:szCs w:val="16"/>
                    </w:rPr>
                    <w:t xml:space="preserve">0.393</w:t>
                  </w:r>
                </w:p>
              </w:tc>
              <w:tc>
                <w:tcPr/>
                <w:p>
                  <w:pPr>
                    <w:pStyle w:val="Compact"/>
                    <w:jc w:val="left"/>
                    <w:rPr>
                      <w:sz w:val="16"/>
                      <w:szCs w:val="16"/>
                    </w:rPr>
                  </w:pPr>
                  <w:r>
                    <w:rPr>
                      <w:sz w:val="16"/>
                      <w:szCs w:val="16"/>
                    </w:rPr>
                    <w:t xml:space="preserve">281.47</w:t>
                  </w:r>
                </w:p>
              </w:tc>
              <w:tc>
                <w:tcPr/>
                <w:p>
                  <w:pPr>
                    <w:pStyle w:val="Compact"/>
                    <w:jc w:val="left"/>
                    <w:rPr>
                      <w:sz w:val="16"/>
                      <w:szCs w:val="16"/>
                    </w:rPr>
                  </w:pPr>
                  <w:r>
                    <w:rPr>
                      <w:sz w:val="16"/>
                      <w:szCs w:val="16"/>
                    </w:rPr>
                    <w:t xml:space="preserve">0.82</w:t>
                  </w:r>
                </w:p>
              </w:tc>
              <w:tc>
                <w:tcPr/>
                <w:p>
                  <w:pPr>
                    <w:pStyle w:val="Compact"/>
                    <w:jc w:val="left"/>
                    <w:rPr>
                      <w:sz w:val="16"/>
                      <w:szCs w:val="16"/>
                    </w:rPr>
                  </w:pPr>
                  <w:r>
                    <w:rPr>
                      <w:sz w:val="16"/>
                      <w:szCs w:val="16"/>
                    </w:rPr>
                    <w:t xml:space="preserve">586.61</w:t>
                  </w:r>
                </w:p>
              </w:tc>
              <w:tc>
                <w:tcPr/>
                <w:p>
                  <w:pPr>
                    <w:pStyle w:val="Compact"/>
                    <w:jc w:val="left"/>
                    <w:rPr>
                      <w:sz w:val="16"/>
                      <w:szCs w:val="16"/>
                    </w:rPr>
                  </w:pPr>
                  <w:r>
                    <w:rPr>
                      <w:sz w:val="16"/>
                      <w:szCs w:val="16"/>
                    </w:rPr>
                    <w:t xml:space="preserve">+0.01</w:t>
                  </w:r>
                </w:p>
              </w:tc>
              <w:tc>
                <w:tcPr/>
                <w:p>
                  <w:pPr>
                    <w:pStyle w:val="Compact"/>
                    <w:jc w:val="left"/>
                    <w:rPr>
                      <w:sz w:val="16"/>
                      <w:szCs w:val="16"/>
                    </w:rPr>
                  </w:pPr>
                  <w:r>
                    <w:rPr>
                      <w:sz w:val="16"/>
                      <w:szCs w:val="16"/>
                    </w:rPr>
                    <w:t xml:space="preserve">-0.35</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23.93</w:t>
                  </w:r>
                </w:p>
              </w:tc>
              <w:tc>
                <w:tcPr/>
                <w:p>
                  <w:pPr>
                    <w:pStyle w:val="Compact"/>
                    <w:jc w:val="left"/>
                    <w:rPr>
                      <w:sz w:val="16"/>
                      <w:szCs w:val="16"/>
                    </w:rPr>
                  </w:pPr>
                  <w:r>
                    <w:rPr>
                      <w:sz w:val="16"/>
                      <w:szCs w:val="16"/>
                    </w:rPr>
                    <w:t xml:space="preserve">0.072</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+1.45</w:t>
                  </w:r>
                </w:p>
              </w:tc>
              <w:tc>
                <w:tcPr/>
                <w:p>
                  <w:pPr>
                    <w:pStyle w:val="Compact"/>
                    <w:jc w:val="left"/>
                    <w:rPr>
                      <w:sz w:val="16"/>
                      <w:szCs w:val="16"/>
                    </w:rPr>
                  </w:pPr>
                  <w:r>
                    <w:rPr>
                      <w:sz w:val="16"/>
                      <w:szCs w:val="16"/>
                    </w:rPr>
                    <w:t xml:space="preserve">+1.56</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7.07</w:t>
                  </w:r>
                </w:p>
              </w:tc>
              <w:tc>
                <w:tcPr/>
                <w:p>
                  <w:pPr>
                    <w:pStyle w:val="Compact"/>
                    <w:jc w:val="left"/>
                    <w:rPr>
                      <w:sz w:val="16"/>
                      <w:szCs w:val="16"/>
                    </w:rPr>
                  </w:pPr>
                  <w:r>
                    <w:rPr>
                      <w:sz w:val="16"/>
                      <w:szCs w:val="16"/>
                    </w:rPr>
                    <w:t xml:space="preserve">8.85</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48.30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+2.63</w:t>
                  </w:r>
                </w:p>
              </w:tc>
            </w:tr>
          </w:tbl>
          <w:bookmarkEnd w:id="32"/>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3"/>
    <w:bookmarkStart w:id="34"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sees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&amp;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&amp; Carroll, 2006)</w:t>
      </w:r>
      <w:r>
        <w:t xml:space="preserve">. Aspect enters as its northward and</w:t>
      </w:r>
      <w:r>
        <w:t xml:space="preserve"> </w:t>
      </w:r>
      <w:r>
        <w:t xml:space="preserve">eastward components with the heat load index of</w:t>
      </w:r>
      <w:r>
        <w:t xml:space="preserve"> </w:t>
      </w:r>
      <w:r>
        <w:t xml:space="preserve">McCune &amp; Keon (2002)</w:t>
      </w:r>
      <w:r>
        <w:t xml:space="preserve">.</w:t>
      </w:r>
    </w:p>
    <w:p>
      <w:pPr>
        <w:pStyle w:val="BodyText"/>
      </w:pPr>
      <w:r>
        <w:t xml:space="preserve">One distinction matters. The strongest aspect statements in</w:t>
      </w:r>
      <w:r>
        <w:t xml:space="preserve"> </w:t>
      </w:r>
      <w:r>
        <w:t xml:space="preserve">Safranyik &amp;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4"/>
    <w:bookmarkStart w:id="39"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&amp;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&amp;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5"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5"/>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6"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6"/>
    </w:p>
    <w:p>
      <w:pPr>
        <w:pStyle w:val="FirstParagraph"/>
      </w:pPr>
      <w:r>
        <w:t xml:space="preserve">giving the terrain-modified speed</w:t>
      </w:r>
    </w:p>
    <w:p>
      <w:pPr>
        <w:pStyle w:val="BodyText"/>
      </w:pPr>
      <w:bookmarkStart w:id="37"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7"/>
    </w:p>
    <w:p>
      <w:pPr>
        <w:pStyle w:val="FirstParagraph"/>
      </w:pPr>
      <w:r>
        <w:t xml:space="preserve">and a diversion of the wind direction of</w:t>
      </w:r>
    </w:p>
    <w:p>
      <w:pPr>
        <w:pStyle w:val="BodyText"/>
      </w:pPr>
      <w:bookmarkStart w:id="38"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38"/>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+0.148 with the</w:t>
      </w:r>
      <w:r>
        <w:t xml:space="preserve"> </w:t>
      </w:r>
      <w:r>
        <w:t xml:space="preserve">windward-leeward index and +0.123 with flight</w:t>
      </w:r>
      <w:r>
        <w:t xml:space="preserve"> </w:t>
      </w:r>
      <w:r>
        <w:t xml:space="preserve">radiation. Its strongest association is with elevation,</w:t>
      </w:r>
      <w:r>
        <w:t xml:space="preserve"> </w:t>
      </w:r>
      <w:r>
        <w:t xml:space="preserve">+0.320.</w:t>
      </w:r>
    </w:p>
    <w:bookmarkEnd w:id="39"/>
    <w:bookmarkStart w:id="44" w:name="flight-window-wind"/>
    <w:p>
      <w:pPr>
        <w:pStyle w:val="Heading2"/>
      </w:pPr>
      <w:r>
        <w:t xml:space="preserve">2.6 Flight-window wind</w:t>
      </w:r>
    </w:p>
    <w:p>
      <w:pPr>
        <w:pStyle w:val="FirstParagraph"/>
      </w:pPr>
      <w:r>
        <w:t xml:space="preserve">The flight window is 1 July to 15 August and the hours 12:00 to 17:00, and neither bound</w:t>
      </w:r>
      <w:r>
        <w:t xml:space="preserve"> </w:t>
      </w:r>
      <w:r>
        <w:t xml:space="preserve">was chosen from these data. The dates are the flight period</w:t>
      </w:r>
      <w:r>
        <w:t xml:space="preserve"> </w:t>
      </w:r>
      <w:r>
        <w:t xml:space="preserve">Safranyik &amp; Carroll (2006)</w:t>
      </w:r>
      <w:r>
        <w:t xml:space="preserve"> </w:t>
      </w:r>
      <w:r>
        <w:t xml:space="preserve">give for</w:t>
      </w:r>
      <w:r>
        <w:t xml:space="preserve"> </w:t>
      </w:r>
      <w:r>
        <w:t xml:space="preserve">this region; the hours follow their</w:t>
      </w:r>
      <w:r>
        <w:t xml:space="preserve"> </w:t>
      </w:r>
      <w:r>
        <w:t xml:space="preserve">“peak flight is in the early to mid afternoon”</w:t>
      </w:r>
      <w:r>
        <w:t xml:space="preserve"> </w:t>
      </w:r>
      <w:r>
        <w:t xml:space="preserve">and</w:t>
      </w:r>
      <w:r>
        <w:t xml:space="preserve"> </w:t>
      </w:r>
      <w:r>
        <w:t xml:space="preserve">Gray et al. (1972)</w:t>
      </w:r>
      <w:r>
        <w:t xml:space="preserve">’s 11:00 to 14:00 emergence peak, taken here to the later side because emergence</w:t>
      </w:r>
      <w:r>
        <w:t xml:space="preserve"> </w:t>
      </w:r>
      <w:r>
        <w:t xml:space="preserve">precedes the flight it initiates. Because the window is fixed a priori it can be checked</w:t>
      </w:r>
      <w:r>
        <w:t xml:space="preserve"> </w:t>
      </w:r>
      <w:r>
        <w:t xml:space="preserve">against the landscape’s own climate, and</w:t>
      </w:r>
      <w:r>
        <w:t xml:space="preserve"> </w:t>
      </w:r>
      <w:hyperlink w:anchor="fig-flight-window">
        <w:r>
          <w:rPr>
            <w:rStyle w:val="Hyperlink"/>
          </w:rPr>
          <w:t xml:space="preserve">Figure 2</w:t>
        </w:r>
      </w:hyperlink>
      <w:r>
        <w:t xml:space="preserve"> </w:t>
      </w:r>
      <w:r>
        <w:t xml:space="preserve">does that. Across</w:t>
      </w:r>
      <w:r>
        <w:t xml:space="preserve"> </w:t>
      </w:r>
      <w:r>
        <w:t xml:space="preserve">236,079 hourly station records from May to September of the nine study years,</w:t>
      </w:r>
      <w:r>
        <w:t xml:space="preserve"> </w:t>
      </w:r>
      <w:r>
        <w:t xml:space="preserve">89.5 per cent of afternoon hours inside the window fall within</w:t>
      </w:r>
      <w:r>
        <w:t xml:space="preserve"> </w:t>
      </w:r>
      <w:r>
        <w:t xml:space="preserve">the 19 to 41 degrees C flight gate, against 51.4 per cent</w:t>
      </w:r>
      <w:r>
        <w:t xml:space="preserve"> </w:t>
      </w:r>
      <w:r>
        <w:t xml:space="preserve">outside it, and the afternoon mean is 26.0 against</w:t>
      </w:r>
      <w:r>
        <w:t xml:space="preserve"> </w:t>
      </w:r>
      <w:r>
        <w:t xml:space="preserve">19.2 degrees C. The window therefore roughly doubles the share</w:t>
      </w:r>
      <w:r>
        <w:t xml:space="preserve"> </w:t>
      </w:r>
      <w:r>
        <w:t xml:space="preserve">of hours in which flight is thermally possible. It is worth noting what the same figure</w:t>
      </w:r>
      <w:r>
        <w:t xml:space="preserve"> </w:t>
      </w:r>
      <w:r>
        <w:t xml:space="preserve">shows about wind: mean speed peaks in the same hours as temperature, at</w:t>
      </w:r>
      <w:r>
        <w:t xml:space="preserve"> </w:t>
      </w:r>
      <w:r>
        <w:t xml:space="preserve">10.4 km/h in mid-afternoon against</w:t>
      </w:r>
      <w:r>
        <w:t xml:space="preserve"> </w:t>
      </w:r>
      <w:r>
        <w:t xml:space="preserve">4.6 km/h at dawn, so the hours the beetle can fly are also the</w:t>
      </w:r>
      <w:r>
        <w:t xml:space="preserve"> </w:t>
      </w:r>
      <w:r>
        <w:t xml:space="preserve">windiest of the day. That is a coincidence of timing the mechanism depends on and no</w:t>
      </w:r>
      <w:r>
        <w:t xml:space="preserve"> </w:t>
      </w:r>
      <w:r>
        <w:t xml:space="preserve">annual summary can express.</w:t>
      </w:r>
    </w:p>
    <w:p>
      <w:pPr>
        <w:pStyle w:val="BodyText"/>
      </w:pPr>
      <w:r>
        <w:t xml:space="preserve">Station wind is Environment and Climate Change Canada hourly records. We reduced them only</w:t>
      </w:r>
      <w:r>
        <w:t xml:space="preserve"> </w:t>
      </w:r>
      <w:r>
        <w:t xml:space="preserve">at the last step, into monthly means for June, July and August and four flight-window</w:t>
      </w:r>
      <w:r>
        <w:t xml:space="preserve"> </w:t>
      </w:r>
      <w:r>
        <w:t xml:space="preserve">metrics for 1 July to 15 August. Those four are the mean speed, the 95th percentile, and the</w:t>
      </w:r>
      <w:r>
        <w:t xml:space="preserve"> </w:t>
      </w:r>
      <w:r>
        <w:t xml:space="preserve">fractions of hours below 5 km/h and above 15 km/h.</w:t>
      </w:r>
    </w:p>
    <w:p>
      <w:pPr>
        <w:pStyle w:val="BodyText"/>
      </w:pPr>
      <w:r>
        <w:t xml:space="preserve">Hourly readings buy detail, not independent observations. With one map a year, every hour</w:t>
      </w:r>
      <w:r>
        <w:t xml:space="preserve"> </w:t>
      </w:r>
      <w:r>
        <w:t xml:space="preserve">of wind collapses into one of eight numbers per metric, so the model has</w:t>
      </w:r>
      <w:r>
        <w:t xml:space="preserve"> </w:t>
      </w:r>
      <w:r>
        <w:t xml:space="preserve">only eight distinct wind values to work with and a wind coefficient rests on those</w:t>
      </w:r>
      <w:r>
        <w:t xml:space="preserve"> </w:t>
      </w:r>
      <w:r>
        <w:t xml:space="preserve">alone. Its standard error will look small and should not be believed. Stand</w:t>
      </w:r>
      <w:r>
        <w:t xml:space="preserve"> </w:t>
      </w:r>
      <w:r>
        <w:t xml:space="preserve">density varies cell to cell; a season’s wind does not. That asymmetry is why the annual</w:t>
      </w:r>
      <w:r>
        <w:t xml:space="preserve"> </w:t>
      </w:r>
      <w:r>
        <w:t xml:space="preserve">models report an interaction rather than a main effect, and why the response was rebuilt at</w:t>
      </w:r>
      <w:r>
        <w:t xml:space="preserve"> </w:t>
      </w:r>
      <w:r>
        <w:t xml:space="preserve">16 days.</w:t>
      </w:r>
    </w:p>
    <w:tbl>
      <w:tblPr>
        <w:tblStyle w:val="Table"/>
        <w:tblW w:type="pct" w:w="5000"/>
        <w:tblLayout w:type="fixed"/>
        <w:tblLook w:firstRow="0" w:lastRow="0" w:firstColumn="0" w:lastColumn="0" w:noHBand="0" w:noVBand="0" w:val="0000"/>
      </w:tblPr>
      <w:tblGrid>
        <w:gridCol w:w="7920"/>
      </w:tblGrid>
      <w:tr>
        <w:tc>
          <w:tcPr/>
          <w:bookmarkStart w:id="43" w:name="fig-flight-window"/>
          <w:p>
            <w:pPr>
              <w:pStyle w:val="Compact"/>
              <w:jc w:val="center"/>
            </w:pPr>
            <w:r>
              <w:drawing>
                <wp:inline>
                  <wp:extent cx="5943600" cy="4913376"/>
                  <wp:effectExtent b="0" l="0" r="0" t="0"/>
                  <wp:docPr descr="" title="" id="41" name="Picture"/>
                  <a:graphic>
                    <a:graphicData uri="http://schemas.openxmlformats.org/drawingml/2006/picture">
                      <pic:pic>
                        <pic:nvPicPr>
                          <pic:cNvPr descr="beetle-topography-wind-study-vri-timeseries_files/figure-docx/fig-flight-window-1.png" id="42" name="Picture"/>
                          <pic:cNvPicPr>
                            <a:picLocks noChangeArrowheads="1" noChangeAspect="1"/>
                          </pic:cNvPicPr>
                        </pic:nvPicPr>
                        <pic:blipFill>
                          <a:blip r:embed="rId40"/>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bookmarkEnd w:id="43"/>
        </w:tc>
      </w:tr>
    </w:tbl>
    <w:bookmarkEnd w:id="44"/>
    <w:bookmarkEnd w:id="45"/>
    <w:bookmarkStart w:id="49" w:name="methods"/>
    <w:p>
      <w:pPr>
        <w:pStyle w:val="Heading1"/>
      </w:pPr>
      <w:r>
        <w:t xml:space="preserve">3. Methods</w:t>
      </w:r>
    </w:p>
    <w:bookmarkStart w:id="46"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46,359 cell-years, 4,000 of each</w:t>
      </w:r>
      <w:r>
        <w:t xml:space="preserve"> </w:t>
      </w:r>
      <w:r>
        <w:t xml:space="preserve">class per year. Landscape prevalence is about 13 per cent, and an</w:t>
      </w:r>
      <w:r>
        <w:t xml:space="preserve"> </w:t>
      </w:r>
      <w:r>
        <w:t xml:space="preserve">unbalanced fit at that prevalence reports the intercept rather than the covariates.</w:t>
      </w:r>
    </w:p>
    <w:bookmarkEnd w:id="46"/>
    <w:bookmarkStart w:id="48"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7"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7"/>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48"/>
    <w:bookmarkEnd w:id="49"/>
    <w:bookmarkStart w:id="64"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50" w:name="tbl-aic"/>
          <w:p>
            <w:pPr>
              <w:jc w:val="center"/>
            </w:pPr>
            <w:pPr>
              <w:jc w:val="start"/>
              <w:spacing w:before="200"/>
              <w:pStyle w:val="ImageCaption"/>
            </w:pPr>
            <w:r>
              <w:t xml:space="preserve">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46,964</w:t>
                  </w:r>
                </w:p>
              </w:tc>
              <w:tc>
                <w:tcPr/>
                <w:p>
                  <w:pPr>
                    <w:pStyle w:val="Compact"/>
                    <w:jc w:val="left"/>
                    <w:rPr>
                      <w:sz w:val="16"/>
                      <w:szCs w:val="16"/>
                    </w:rPr>
                  </w:pPr>
                  <w:r>
                    <w:rPr>
                      <w:sz w:val="16"/>
                      <w:szCs w:val="16"/>
                    </w:rPr>
                    <w:t xml:space="preserve">1,734</w:t>
                  </w:r>
                </w:p>
              </w:tc>
              <w:tc>
                <w:tcPr/>
                <w:p>
                  <w:pPr>
                    <w:pStyle w:val="Compact"/>
                    <w:jc w:val="left"/>
                    <w:rPr>
                      <w:sz w:val="16"/>
                      <w:szCs w:val="16"/>
                    </w:rPr>
                  </w:pPr>
                  <w:r>
                    <w:rPr>
                      <w:sz w:val="16"/>
                      <w:szCs w:val="16"/>
                    </w:rPr>
                    <w:t xml:space="preserve">0.407</w:t>
                  </w:r>
                </w:p>
              </w:tc>
              <w:tc>
                <w:tcPr/>
                <w:p>
                  <w:pPr>
                    <w:pStyle w:val="Compact"/>
                    <w:jc w:val="left"/>
                    <w:rPr>
                      <w:sz w:val="16"/>
                      <w:szCs w:val="16"/>
                    </w:rPr>
                  </w:pPr>
                  <w:r>
                    <w:rPr>
                      <w:sz w:val="16"/>
                      <w:szCs w:val="16"/>
                    </w:rPr>
                    <w:t xml:space="preserve">131.5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0.166</w:t>
                  </w:r>
                </w:p>
              </w:tc>
              <w:tc>
                <w:tcPr/>
                <w:p>
                  <w:pPr>
                    <w:pStyle w:val="Compact"/>
                    <w:jc w:val="left"/>
                    <w:rPr>
                      <w:sz w:val="16"/>
                      <w:szCs w:val="16"/>
                    </w:rPr>
                  </w:pPr>
                  <w:r>
                    <w:rPr>
                      <w:sz w:val="16"/>
                      <w:szCs w:val="16"/>
                    </w:rPr>
                    <w:t xml:space="preserve">0.506</w:t>
                  </w:r>
                </w:p>
              </w:tc>
              <w:tc>
                <w:tcPr/>
                <w:p>
                  <w:pPr>
                    <w:pStyle w:val="Compact"/>
                    <w:jc w:val="left"/>
                    <w:rPr>
                      <w:sz w:val="16"/>
                      <w:szCs w:val="16"/>
                    </w:rPr>
                  </w:pPr>
                  <w:r>
                    <w:rPr>
                      <w:sz w:val="16"/>
                      <w:szCs w:val="16"/>
                    </w:rPr>
                    <w:t xml:space="preserve">0.776</w:t>
                  </w:r>
                </w:p>
              </w:tc>
              <w:tc>
                <w:tcPr/>
                <w:p>
                  <w:pPr>
                    <w:pStyle w:val="Compact"/>
                    <w:jc w:val="left"/>
                    <w:rPr>
                      <w:sz w:val="16"/>
                      <w:szCs w:val="16"/>
                    </w:rPr>
                  </w:pPr>
                  <w:r>
                    <w:rPr>
                      <w:sz w:val="16"/>
                      <w:szCs w:val="16"/>
                    </w:rPr>
                    <w:t xml:space="preserve">0.224</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46,507</w:t>
                  </w:r>
                </w:p>
              </w:tc>
              <w:tc>
                <w:tcPr/>
                <w:p>
                  <w:pPr>
                    <w:pStyle w:val="Compact"/>
                    <w:jc w:val="left"/>
                    <w:rPr>
                      <w:sz w:val="16"/>
                      <w:szCs w:val="16"/>
                    </w:rPr>
                  </w:pPr>
                  <w:r>
                    <w:rPr>
                      <w:sz w:val="16"/>
                      <w:szCs w:val="16"/>
                    </w:rPr>
                    <w:t xml:space="preserve">1,277</w:t>
                  </w:r>
                </w:p>
              </w:tc>
              <w:tc>
                <w:tcPr/>
                <w:p>
                  <w:pPr>
                    <w:pStyle w:val="Compact"/>
                    <w:jc w:val="left"/>
                    <w:rPr>
                      <w:sz w:val="16"/>
                      <w:szCs w:val="16"/>
                    </w:rPr>
                  </w:pPr>
                  <w:r>
                    <w:rPr>
                      <w:sz w:val="16"/>
                      <w:szCs w:val="16"/>
                    </w:rPr>
                    <w:t xml:space="preserve">0.405</w:t>
                  </w:r>
                </w:p>
              </w:tc>
              <w:tc>
                <w:tcPr/>
                <w:p>
                  <w:pPr>
                    <w:pStyle w:val="Compact"/>
                    <w:jc w:val="left"/>
                    <w:rPr>
                      <w:sz w:val="16"/>
                      <w:szCs w:val="16"/>
                    </w:rPr>
                  </w:pPr>
                  <w:r>
                    <w:rPr>
                      <w:sz w:val="16"/>
                      <w:szCs w:val="16"/>
                    </w:rPr>
                    <w:t xml:space="preserve">130.6</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0.164</w:t>
                  </w:r>
                </w:p>
              </w:tc>
              <w:tc>
                <w:tcPr/>
                <w:p>
                  <w:pPr>
                    <w:pStyle w:val="Compact"/>
                    <w:jc w:val="left"/>
                    <w:rPr>
                      <w:sz w:val="16"/>
                      <w:szCs w:val="16"/>
                    </w:rPr>
                  </w:pPr>
                  <w:r>
                    <w:rPr>
                      <w:sz w:val="16"/>
                      <w:szCs w:val="16"/>
                    </w:rPr>
                    <w:t xml:space="preserve">0.501</w:t>
                  </w:r>
                </w:p>
              </w:tc>
              <w:tc>
                <w:tcPr/>
                <w:p>
                  <w:pPr>
                    <w:pStyle w:val="Compact"/>
                    <w:jc w:val="left"/>
                    <w:rPr>
                      <w:sz w:val="16"/>
                      <w:szCs w:val="16"/>
                    </w:rPr>
                  </w:pPr>
                  <w:r>
                    <w:rPr>
                      <w:sz w:val="16"/>
                      <w:szCs w:val="16"/>
                    </w:rPr>
                    <w:t xml:space="preserve">0.783</w:t>
                  </w:r>
                </w:p>
              </w:tc>
              <w:tc>
                <w:tcPr/>
                <w:p>
                  <w:pPr>
                    <w:pStyle w:val="Compact"/>
                    <w:jc w:val="left"/>
                    <w:rPr>
                      <w:sz w:val="16"/>
                      <w:szCs w:val="16"/>
                    </w:rPr>
                  </w:pPr>
                  <w:r>
                    <w:rPr>
                      <w:sz w:val="16"/>
                      <w:szCs w:val="16"/>
                    </w:rPr>
                    <w:t xml:space="preserve">0.234</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45,764</w:t>
                  </w:r>
                </w:p>
              </w:tc>
              <w:tc>
                <w:tcPr/>
                <w:p>
                  <w:pPr>
                    <w:pStyle w:val="Compact"/>
                    <w:jc w:val="left"/>
                    <w:rPr>
                      <w:sz w:val="16"/>
                      <w:szCs w:val="16"/>
                    </w:rPr>
                  </w:pPr>
                  <w:r>
                    <w:rPr>
                      <w:sz w:val="16"/>
                      <w:szCs w:val="16"/>
                    </w:rPr>
                    <w:t xml:space="preserve">534</w:t>
                  </w:r>
                </w:p>
              </w:tc>
              <w:tc>
                <w:tcPr/>
                <w:p>
                  <w:pPr>
                    <w:pStyle w:val="Compact"/>
                    <w:jc w:val="left"/>
                    <w:rPr>
                      <w:sz w:val="16"/>
                      <w:szCs w:val="16"/>
                    </w:rPr>
                  </w:pPr>
                  <w:r>
                    <w:rPr>
                      <w:sz w:val="16"/>
                      <w:szCs w:val="16"/>
                    </w:rPr>
                    <w:t xml:space="preserve">0.401</w:t>
                  </w:r>
                </w:p>
              </w:tc>
              <w:tc>
                <w:tcPr/>
                <w:p>
                  <w:pPr>
                    <w:pStyle w:val="Compact"/>
                    <w:jc w:val="left"/>
                    <w:rPr>
                      <w:sz w:val="16"/>
                      <w:szCs w:val="16"/>
                    </w:rPr>
                  </w:pPr>
                  <w:r>
                    <w:rPr>
                      <w:sz w:val="16"/>
                      <w:szCs w:val="16"/>
                    </w:rPr>
                    <w:t xml:space="preserve">129.5</w:t>
                  </w:r>
                </w:p>
              </w:tc>
              <w:tc>
                <w:tcPr/>
                <w:p>
                  <w:pPr>
                    <w:pStyle w:val="Compact"/>
                    <w:jc w:val="left"/>
                    <w:rPr>
                      <w:sz w:val="16"/>
                      <w:szCs w:val="16"/>
                    </w:rPr>
                  </w:pPr>
                  <w:r>
                    <w:rPr>
                      <w:sz w:val="16"/>
                      <w:szCs w:val="16"/>
                    </w:rPr>
                    <w:t xml:space="preserve">0.323</w:t>
                  </w:r>
                </w:p>
              </w:tc>
              <w:tc>
                <w:tcPr/>
                <w:p>
                  <w:pPr>
                    <w:pStyle w:val="Compact"/>
                    <w:jc w:val="left"/>
                    <w:rPr>
                      <w:sz w:val="16"/>
                      <w:szCs w:val="16"/>
                    </w:rPr>
                  </w:pPr>
                  <w:r>
                    <w:rPr>
                      <w:sz w:val="16"/>
                      <w:szCs w:val="16"/>
                    </w:rPr>
                    <w:t xml:space="preserve">0.161</w:t>
                  </w:r>
                </w:p>
              </w:tc>
              <w:tc>
                <w:tcPr/>
                <w:p>
                  <w:pPr>
                    <w:pStyle w:val="Compact"/>
                    <w:jc w:val="left"/>
                    <w:rPr>
                      <w:sz w:val="16"/>
                      <w:szCs w:val="16"/>
                    </w:rPr>
                  </w:pPr>
                  <w:r>
                    <w:rPr>
                      <w:sz w:val="16"/>
                      <w:szCs w:val="16"/>
                    </w:rPr>
                    <w:t xml:space="preserve">0.493</w:t>
                  </w:r>
                </w:p>
              </w:tc>
              <w:tc>
                <w:tcPr/>
                <w:p>
                  <w:pPr>
                    <w:pStyle w:val="Compact"/>
                    <w:jc w:val="left"/>
                    <w:rPr>
                      <w:sz w:val="16"/>
                      <w:szCs w:val="16"/>
                    </w:rPr>
                  </w:pPr>
                  <w:r>
                    <w:rPr>
                      <w:sz w:val="16"/>
                      <w:szCs w:val="16"/>
                    </w:rPr>
                    <w:t xml:space="preserve">0.792</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45,230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0.399</w:t>
                  </w:r>
                </w:p>
              </w:tc>
              <w:tc>
                <w:tcPr/>
                <w:p>
                  <w:pPr>
                    <w:pStyle w:val="Compact"/>
                    <w:jc w:val="left"/>
                    <w:rPr>
                      <w:sz w:val="16"/>
                      <w:szCs w:val="16"/>
                    </w:rPr>
                  </w:pPr>
                  <w:r>
                    <w:rPr>
                      <w:sz w:val="16"/>
                      <w:szCs w:val="16"/>
                    </w:rPr>
                    <w:t xml:space="preserve">128.7</w:t>
                  </w:r>
                </w:p>
              </w:tc>
              <w:tc>
                <w:tcPr/>
                <w:p>
                  <w:pPr>
                    <w:pStyle w:val="Compact"/>
                    <w:jc w:val="left"/>
                    <w:rPr>
                      <w:sz w:val="16"/>
                      <w:szCs w:val="16"/>
                    </w:rPr>
                  </w:pPr>
                  <w:r>
                    <w:rPr>
                      <w:sz w:val="16"/>
                      <w:szCs w:val="16"/>
                    </w:rPr>
                    <w:t xml:space="preserve">0.319</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0.800</w:t>
                  </w:r>
                </w:p>
              </w:tc>
              <w:tc>
                <w:tcPr/>
                <w:p>
                  <w:pPr>
                    <w:pStyle w:val="Compact"/>
                    <w:jc w:val="left"/>
                    <w:rPr>
                      <w:sz w:val="16"/>
                      <w:szCs w:val="16"/>
                    </w:rPr>
                  </w:pPr>
                  <w:r>
                    <w:rPr>
                      <w:sz w:val="16"/>
                      <w:szCs w:val="16"/>
                    </w:rPr>
                    <w:t xml:space="preserve">0.257</w:t>
                  </w:r>
                </w:p>
              </w:tc>
            </w:tr>
          </w:tbl>
          <w:bookmarkEnd w:id="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tbl-m3"/>
          <w:p>
            <w:pPr>
              <w:jc w:val="center"/>
            </w:pPr>
            <w:pPr>
              <w:jc w:val="start"/>
              <w:spacing w:before="200"/>
              <w:pStyle w:val="ImageCaption"/>
            </w:pPr>
            <w:r>
              <w:t xml:space="preserve">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997"/>
              <w:gridCol w:w="839"/>
              <w:gridCol w:w="720"/>
              <w:gridCol w:w="839"/>
              <w:gridCol w:w="959"/>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+0.536</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35.25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+0.504</w:t>
                  </w:r>
                </w:p>
              </w:tc>
              <w:tc>
                <w:tcPr/>
                <w:p>
                  <w:pPr>
                    <w:pStyle w:val="Compact"/>
                    <w:jc w:val="left"/>
                    <w:rPr>
                      <w:sz w:val="16"/>
                      <w:szCs w:val="16"/>
                    </w:rPr>
                  </w:pPr>
                  <w:r>
                    <w:rPr>
                      <w:sz w:val="16"/>
                      <w:szCs w:val="16"/>
                    </w:rPr>
                    <w:t xml:space="preserve">0.027</w:t>
                  </w:r>
                </w:p>
              </w:tc>
              <w:tc>
                <w:tcPr/>
                <w:p>
                  <w:pPr>
                    <w:pStyle w:val="Compact"/>
                    <w:jc w:val="left"/>
                    <w:rPr>
                      <w:sz w:val="16"/>
                      <w:szCs w:val="16"/>
                    </w:rPr>
                  </w:pPr>
                  <w:r>
                    <w:rPr>
                      <w:sz w:val="16"/>
                      <w:szCs w:val="16"/>
                    </w:rPr>
                    <w:t xml:space="preserve">18.59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+0.497</w:t>
                  </w:r>
                </w:p>
              </w:tc>
              <w:tc>
                <w:tcPr/>
                <w:p>
                  <w:pPr>
                    <w:pStyle w:val="Compact"/>
                    <w:jc w:val="left"/>
                    <w:rPr>
                      <w:sz w:val="16"/>
                      <w:szCs w:val="16"/>
                    </w:rPr>
                  </w:pPr>
                  <w:r>
                    <w:rPr>
                      <w:sz w:val="16"/>
                      <w:szCs w:val="16"/>
                    </w:rPr>
                    <w:t xml:space="preserve">0.030</w:t>
                  </w:r>
                </w:p>
              </w:tc>
              <w:tc>
                <w:tcPr/>
                <w:p>
                  <w:pPr>
                    <w:pStyle w:val="Compact"/>
                    <w:jc w:val="left"/>
                    <w:rPr>
                      <w:sz w:val="16"/>
                      <w:szCs w:val="16"/>
                    </w:rPr>
                  </w:pPr>
                  <w:r>
                    <w:rPr>
                      <w:sz w:val="16"/>
                      <w:szCs w:val="16"/>
                    </w:rPr>
                    <w:t xml:space="preserve">16.49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+0.394</w:t>
                  </w:r>
                </w:p>
              </w:tc>
              <w:tc>
                <w:tcPr/>
                <w:p>
                  <w:pPr>
                    <w:pStyle w:val="Compact"/>
                    <w:jc w:val="left"/>
                    <w:rPr>
                      <w:sz w:val="16"/>
                      <w:szCs w:val="16"/>
                    </w:rPr>
                  </w:pPr>
                  <w:r>
                    <w:rPr>
                      <w:sz w:val="16"/>
                      <w:szCs w:val="16"/>
                    </w:rPr>
                    <w:t xml:space="preserve">0.030</w:t>
                  </w:r>
                </w:p>
              </w:tc>
              <w:tc>
                <w:tcPr/>
                <w:p>
                  <w:pPr>
                    <w:pStyle w:val="Compact"/>
                    <w:jc w:val="left"/>
                    <w:rPr>
                      <w:sz w:val="16"/>
                      <w:szCs w:val="16"/>
                    </w:rPr>
                  </w:pPr>
                  <w:r>
                    <w:rPr>
                      <w:sz w:val="16"/>
                      <w:szCs w:val="16"/>
                    </w:rPr>
                    <w:t xml:space="preserve">13.31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-0.362</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-14.47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+0.337</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+0.305</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19.79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+0.260</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14.98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Flight-window calm hours (share below 5 km/h)</w:t>
                  </w:r>
                </w:p>
              </w:tc>
              <w:tc>
                <w:tcPr/>
                <w:p>
                  <w:pPr>
                    <w:pStyle w:val="Compact"/>
                    <w:jc w:val="left"/>
                    <w:rPr>
                      <w:sz w:val="16"/>
                      <w:szCs w:val="16"/>
                    </w:rPr>
                  </w:pPr>
                  <w:r>
                    <w:rPr>
                      <w:sz w:val="16"/>
                      <w:szCs w:val="16"/>
                    </w:rPr>
                    <w:t xml:space="preserve">-0.131</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-6.81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+0.130</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6.53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-0.125</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-5.80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+0.119</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7.43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-0.104</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-4.66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x Flight-window direct radiation</w:t>
                  </w:r>
                </w:p>
              </w:tc>
              <w:tc>
                <w:tcPr/>
                <w:p>
                  <w:pPr>
                    <w:pStyle w:val="Compact"/>
                    <w:jc w:val="left"/>
                    <w:rPr>
                      <w:sz w:val="16"/>
                      <w:szCs w:val="16"/>
                    </w:rPr>
                  </w:pPr>
                  <w:r>
                    <w:rPr>
                      <w:sz w:val="16"/>
                      <w:szCs w:val="16"/>
                    </w:rPr>
                    <w:t xml:space="preserve">+0.103</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4.90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3.92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x Flight-window calm hours</w:t>
                  </w:r>
                </w:p>
              </w:tc>
              <w:tc>
                <w:tcPr/>
                <w:p>
                  <w:pPr>
                    <w:pStyle w:val="Compact"/>
                    <w:jc w:val="left"/>
                    <w:rPr>
                      <w:sz w:val="16"/>
                      <w:szCs w:val="16"/>
                    </w:rPr>
                  </w:pPr>
                  <w:r>
                    <w:rPr>
                      <w:sz w:val="16"/>
                      <w:szCs w:val="16"/>
                    </w:rPr>
                    <w:t xml:space="preserve">+0.085</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+0.068</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4.99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+0.055</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3.76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-0.052</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-2.49</w:t>
                  </w:r>
                </w:p>
              </w:tc>
              <w:tc>
                <w:tcPr/>
                <w:p>
                  <w:pPr>
                    <w:pStyle w:val="Compact"/>
                    <w:jc w:val="left"/>
                    <w:rPr>
                      <w:sz w:val="16"/>
                      <w:szCs w:val="16"/>
                    </w:rPr>
                  </w:pPr>
                  <w:r>
                    <w:rPr>
                      <w:sz w:val="16"/>
                      <w:szCs w:val="16"/>
                    </w:rPr>
                    <w:t xml:space="preserve">0.013</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+0.051</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3.01</w:t>
                  </w:r>
                </w:p>
              </w:tc>
              <w:tc>
                <w:tcPr/>
                <w:p>
                  <w:pPr>
                    <w:pStyle w:val="Compact"/>
                    <w:jc w:val="left"/>
                    <w:rPr>
                      <w:sz w:val="16"/>
                      <w:szCs w:val="16"/>
                    </w:rPr>
                  </w:pPr>
                  <w:r>
                    <w:rPr>
                      <w:sz w:val="16"/>
                      <w:szCs w:val="16"/>
                    </w:rPr>
                    <w:t xml:space="preserve">0.003</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-0.042</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-3.26</w:t>
                  </w:r>
                </w:p>
              </w:tc>
              <w:tc>
                <w:tcPr/>
                <w:p>
                  <w:pPr>
                    <w:pStyle w:val="Compact"/>
                    <w:jc w:val="left"/>
                    <w:rPr>
                      <w:sz w:val="16"/>
                      <w:szCs w:val="16"/>
                    </w:rPr>
                  </w:pPr>
                  <w:r>
                    <w:rPr>
                      <w:sz w:val="16"/>
                      <w:szCs w:val="16"/>
                    </w:rPr>
                    <w:t xml:space="preserve">0.001</w:t>
                  </w:r>
                </w:p>
              </w:tc>
            </w:tr>
            <w:tr>
              <w:trPr>
                <w:trHeight w:val="340" w:hRule="exact"/>
              </w:trPr>
              <w:tc>
                <w:tcPr/>
                <w:p>
                  <w:pPr>
                    <w:pStyle w:val="Compact"/>
                    <w:jc w:val="left"/>
                    <w:rPr>
                      <w:sz w:val="16"/>
                      <w:szCs w:val="16"/>
                    </w:rPr>
                  </w:pPr>
                  <w:r>
                    <w:rPr>
                      <w:sz w:val="16"/>
                      <w:szCs w:val="16"/>
                    </w:rPr>
                    <w:t xml:space="preserve">Stand basal area x Windward-leeward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-1.65</w:t>
                  </w:r>
                </w:p>
              </w:tc>
              <w:tc>
                <w:tcPr/>
                <w:p>
                  <w:pPr>
                    <w:pStyle w:val="Compact"/>
                    <w:jc w:val="left"/>
                    <w:rPr>
                      <w:sz w:val="16"/>
                      <w:szCs w:val="16"/>
                    </w:rPr>
                  </w:pPr>
                  <w:r>
                    <w:rPr>
                      <w:sz w:val="16"/>
                      <w:szCs w:val="16"/>
                    </w:rPr>
                    <w:t xml:space="preserve">0.098</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-1.73</w:t>
                  </w:r>
                </w:p>
              </w:tc>
              <w:tc>
                <w:tcPr/>
                <w:p>
                  <w:pPr>
                    <w:pStyle w:val="Compact"/>
                    <w:jc w:val="left"/>
                    <w:rPr>
                      <w:sz w:val="16"/>
                      <w:szCs w:val="16"/>
                    </w:rPr>
                  </w:pPr>
                  <w:r>
                    <w:rPr>
                      <w:sz w:val="16"/>
                      <w:szCs w:val="16"/>
                    </w:rPr>
                    <w:t xml:space="preserve">0.083</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-0.005</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-0.19</w:t>
                  </w:r>
                </w:p>
              </w:tc>
              <w:tc>
                <w:tcPr/>
                <w:p>
                  <w:pPr>
                    <w:pStyle w:val="Compact"/>
                    <w:jc w:val="left"/>
                    <w:rPr>
                      <w:sz w:val="16"/>
                      <w:szCs w:val="16"/>
                    </w:rPr>
                  </w:pPr>
                  <w:r>
                    <w:rPr>
                      <w:sz w:val="16"/>
                      <w:szCs w:val="16"/>
                    </w:rPr>
                    <w:t xml:space="preserve">0.848</w:t>
                  </w:r>
                </w:p>
              </w:tc>
            </w:tr>
          </w:tbl>
          <w:bookmarkEnd w:id="51"/>
          <w:p/>
        </w:tc>
      </w:tr>
    </w:tbl>
    <w:p>
      <w:pPr>
        <w:pStyle w:val="BodyText"/>
      </w:pPr>
      <w:r>
        <w:t xml:space="preserve">Every pathway earned its place. AIC fell 457 when stand density</w:t>
      </w:r>
      <w:r>
        <w:t xml:space="preserve"> </w:t>
      </w:r>
      <w:r>
        <w:t xml:space="preserve">entered, 743 more with terrain and flight radiation, and</w:t>
      </w:r>
      <w:r>
        <w:t xml:space="preserve"> </w:t>
      </w:r>
      <w:r>
        <w:t xml:space="preserve">534 more with the interactions (</w:t>
      </w:r>
      <w:hyperlink w:anchor="tbl-aic">
        <w:r>
          <w:rPr>
            <w:rStyle w:val="Hyperlink"/>
          </w:rPr>
          <w:t xml:space="preserve">Table 5</w:t>
        </w:r>
      </w:hyperlink>
      <w:r>
        <w:t xml:space="preserve">).</w:t>
      </w:r>
    </w:p>
    <w:p>
      <w:pPr>
        <w:pStyle w:val="BodyText"/>
      </w:pPr>
      <w:r>
        <w:t xml:space="preserve">Stand basal area carried the density pathway. It entered at +0.504 log-odds</w:t>
      </w:r>
      <w:r>
        <w:t xml:space="preserve"> </w:t>
      </w:r>
      <w:r>
        <w:t xml:space="preserve">per standard deviation, an odds ratio of 1.656, so a stand one standard</w:t>
      </w:r>
      <w:r>
        <w:t xml:space="preserve"> </w:t>
      </w:r>
      <w:r>
        <w:t xml:space="preserve">deviation above the mean in basal area had 65.6 per cent higher odds of</w:t>
      </w:r>
      <w:r>
        <w:t xml:space="preserve"> </w:t>
      </w:r>
      <w:r>
        <w:t xml:space="preserve">moderate-to-high disturbance (p &lt; 0.001). Live stems per hectare carried</w:t>
      </w:r>
      <w:r>
        <w:t xml:space="preserve"> </w:t>
      </w:r>
      <w:r>
        <w:t xml:space="preserve">+0.051 (p &lt; 0.01) in the same direction,</w:t>
      </w:r>
      <w:r>
        <w:t xml:space="preserve"> </w:t>
      </w:r>
      <w:r>
        <w:t xml:space="preserve">while crown closure carried -0.125 (p &lt; 0.001) in the</w:t>
      </w:r>
      <w:r>
        <w:t xml:space="preserve"> </w:t>
      </w:r>
      <w:r>
        <w:t xml:space="preserve">opposite one.</w:t>
      </w:r>
    </w:p>
    <w:p>
      <w:pPr>
        <w:pStyle w:val="BodyText"/>
      </w:pPr>
      <w:r>
        <w:t xml:space="preserve">Notably, basal area is the term that could not be used at all when stand structure was held</w:t>
      </w:r>
      <w:r>
        <w:t xml:space="preserve"> </w:t>
      </w:r>
      <w:r>
        <w:t xml:space="preserve">at the 2025 composite. Its univariate discrimination rises from 0.517 on that composite,</w:t>
      </w:r>
      <w:r>
        <w:t xml:space="preserve"> </w:t>
      </w:r>
      <w:r>
        <w:t xml:space="preserve">indistinguishable from chance, to 0.602 once each year carries its own inventory, and live</w:t>
      </w:r>
      <w:r>
        <w:t xml:space="preserve"> </w:t>
      </w:r>
      <w:r>
        <w:t xml:space="preserve">stems rise from 0.572 to 0.616. Standing volume moves only from 0.547 to 0.550 and no longer</w:t>
      </w:r>
      <w:r>
        <w:t xml:space="preserve"> </w:t>
      </w:r>
      <w:r>
        <w:t xml:space="preserve">survives selection. Our earlier draft attributed basal area’s failure to an inventory that</w:t>
      </w:r>
      <w:r>
        <w:t xml:space="preserve"> </w:t>
      </w:r>
      <w:r>
        <w:t xml:space="preserve">postdated the outbreak; matching the inventory to its year confirms that diagnosis.</w:t>
      </w:r>
    </w:p>
    <w:p>
      <w:pPr>
        <w:pStyle w:val="BodyText"/>
      </w:pPr>
      <w:r>
        <w:t xml:space="preserve">Basal area and live stems both rise with attack, which is the direction a plume-holding</w:t>
      </w:r>
      <w:r>
        <w:t xml:space="preserve"> </w:t>
      </w:r>
      <w:r>
        <w:t xml:space="preserve">canopy implies, while crown closure falls. Crown closure is also the one measure the</w:t>
      </w:r>
      <w:r>
        <w:t xml:space="preserve"> </w:t>
      </w:r>
      <w:r>
        <w:t xml:space="preserve">inventory caps: it is recorded to a ceiling of 60 per cent, so its coefficient describes a</w:t>
      </w:r>
      <w:r>
        <w:t xml:space="preserve"> </w:t>
      </w:r>
      <w:r>
        <w:t xml:space="preserve">truncated variable and should not be read as the others are.</w:t>
      </w:r>
    </w:p>
    <w:p>
      <w:pPr>
        <w:pStyle w:val="BodyText"/>
      </w:pPr>
      <w:r>
        <w:t xml:space="preserve">We entered radiation once. Flight-window direct radiation carried +0.497,</w:t>
      </w:r>
      <w:r>
        <w:t xml:space="preserve"> </w:t>
      </w:r>
      <w:r>
        <w:t xml:space="preserve">which is the thermal gate on flight. Growing-season radiation did not survive selection, so</w:t>
      </w:r>
      <w:r>
        <w:t xml:space="preserve"> </w:t>
      </w:r>
      <w:r>
        <w:t xml:space="preserve">the shading pathway is carried by northness, with which it correlates</w:t>
      </w:r>
      <w:r>
        <w:t xml:space="preserve"> </w:t>
      </w:r>
      <w:r>
        <w:t xml:space="preserve">-0.824. Northness is +0.305: shaded,</w:t>
      </w:r>
      <w:r>
        <w:t xml:space="preserve"> </w:t>
      </w:r>
      <w:r>
        <w:t xml:space="preserve">north-facing ground carries more attack, against the prediction.</w:t>
      </w:r>
    </w:p>
    <w:p>
      <w:pPr>
        <w:pStyle w:val="BodyText"/>
      </w:pPr>
      <w:r>
        <w:t xml:space="preserve">We found that terrain predicted attack independently of both. The windward-leeward index was</w:t>
      </w:r>
      <w:r>
        <w:t xml:space="preserve"> </w:t>
      </w:r>
      <w:r>
        <w:t xml:space="preserve">+0.394 and elevation +0.337, while ruggedness is -0.005</w:t>
      </w:r>
      <w:r>
        <w:t xml:space="preserve"> </w:t>
      </w:r>
      <w:r>
        <w:t xml:space="preserve">and not distinguishable from zero (p = 0.848), the vector ruggedness measure agreeing</w:t>
      </w:r>
      <w:r>
        <w:t xml:space="preserve"> </w:t>
      </w:r>
      <w:r>
        <w:t xml:space="preserve">in sign at -0.052.</w:t>
      </w:r>
      <w:r>
        <w:t xml:space="preserve"> </w:t>
      </w:r>
      <w:r>
        <w:t xml:space="preserve">Ruggedness takes the opposite sign to the parent study’s, whose response is seedling</w:t>
      </w:r>
      <w:r>
        <w:t xml:space="preserve"> </w:t>
      </w:r>
      <w:r>
        <w:t xml:space="preserve">establishment rather than attack</w:t>
      </w:r>
      <w:r>
        <w:t xml:space="preserve"> </w:t>
      </w:r>
      <w:r>
        <w:t xml:space="preserve">(Murphy et al., 2026)</w:t>
      </w:r>
      <w:r>
        <w:t xml:space="preserve">.</w:t>
      </w:r>
    </w:p>
    <w:p>
      <w:pPr>
        <w:pStyle w:val="BodyText"/>
      </w:pPr>
      <w:r>
        <w:t xml:space="preserve">Fitted without flight-window radiation, stand density interacts with terrain exposure at</w:t>
      </w:r>
      <w:r>
        <w:t xml:space="preserve"> </w:t>
      </w:r>
      <w:r>
        <w:t xml:space="preserve">-0.068, which reads as a wind result pointing the wrong way. With radiation in the</w:t>
      </w:r>
      <w:r>
        <w:t xml:space="preserve"> </w:t>
      </w:r>
      <w:r>
        <w:t xml:space="preserve">model that interaction is -0.040 (p = 0.098) and density interacts with</w:t>
      </w:r>
      <w:r>
        <w:t xml:space="preserve"> </w:t>
      </w:r>
      <w:r>
        <w:t xml:space="preserve">radiation at +0.103.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5" w:name="fig-interaction"/>
          <w:p>
            <w:pPr>
              <w:pStyle w:val="Compact"/>
              <w:jc w:val="center"/>
            </w:pPr>
            <w:r>
              <w:drawing>
                <wp:inline>
                  <wp:extent cx="5943600" cy="3962400"/>
                  <wp:effectExtent b="0" l="0" r="0" t="0"/>
                  <wp:docPr descr="" title="" id="53" name="Picture"/>
                  <a:graphic>
                    <a:graphicData uri="http://schemas.openxmlformats.org/drawingml/2006/picture">
                      <pic:pic>
                        <pic:nvPicPr>
                          <pic:cNvPr descr="beetle-topography-wind-study-vri-timeseries_files/figure-docx/fig-interaction-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where the interaction is a fifth the size and attenuates the dense-stand slope without reversing it, so the lines converge rather than cross over the observed range. (c) Coefficients of the 16-day model, with and without the within-season spread term; the shading of a term between the two fits is what the within-season spread term absorbs. (d) Epoch prevalence against epoch mean wind, one point per epoch, years distinguished by both shape and shade so the panel survives black-and-white printing.</w:t>
            </w:r>
          </w:p>
          <w:bookmarkEnd w:id="55"/>
        </w:tc>
      </w:tr>
    </w:tbl>
    <w:bookmarkStart w:id="57" w:name="sec-micromet-result"/>
    <w:p>
      <w:pPr>
        <w:pStyle w:val="Heading2"/>
      </w:pPr>
      <w:r>
        <w:t xml:space="preserve">4.1 Wind as a measurement</w:t>
      </w:r>
    </w:p>
    <w:tbl>
      <w:tblPr>
        <w:tblStyle w:val="Table"/>
        <w:tblW w:type="pct" w:w="5000"/>
        <w:tblLayout w:type="fixed"/>
        <w:tblLook w:firstRow="0" w:lastRow="0" w:firstColumn="0" w:lastColumn="0" w:noHBand="0" w:noVBand="0" w:val="0000"/>
      </w:tblPr>
      <w:tblGrid>
        <w:gridCol w:w="7920"/>
      </w:tblGrid>
      <w:tr>
        <w:tc>
          <w:tcPr/>
          <w:bookmarkStart w:id="56" w:name="tbl-micromet-model"/>
          <w:p>
            <w:pPr>
              <w:jc w:val="center"/>
            </w:pPr>
            <w:pPr>
              <w:jc w:val="start"/>
              <w:spacing w:before="200"/>
              <w:pStyle w:val="ImageCaption"/>
            </w:pPr>
            <w:r>
              <w:t xml:space="preserve">Table 7: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488"/>
              <w:gridCol w:w="4678"/>
              <w:gridCol w:w="696"/>
              <w:gridCol w:w="696"/>
              <w:gridCol w:w="796"/>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Flight-window calm hours (share below 5 km/h)</w:t>
                  </w:r>
                </w:p>
              </w:tc>
              <w:tc>
                <w:tcPr/>
                <w:p>
                  <w:pPr>
                    <w:pStyle w:val="Compact"/>
                    <w:jc w:val="left"/>
                    <w:rPr>
                      <w:sz w:val="16"/>
                      <w:szCs w:val="16"/>
                    </w:rPr>
                  </w:pPr>
                  <w:r>
                    <w:rPr>
                      <w:sz w:val="16"/>
                      <w:szCs w:val="16"/>
                    </w:rPr>
                    <w:t xml:space="preserve">-0.543</w:t>
                  </w:r>
                </w:p>
              </w:tc>
              <w:tc>
                <w:tcPr/>
                <w:p>
                  <w:pPr>
                    <w:pStyle w:val="Compact"/>
                    <w:jc w:val="left"/>
                    <w:rPr>
                      <w:sz w:val="16"/>
                      <w:szCs w:val="16"/>
                    </w:rPr>
                  </w:pPr>
                  <w:r>
                    <w:rPr>
                      <w:sz w:val="16"/>
                      <w:szCs w:val="16"/>
                    </w:rPr>
                    <w:t xml:space="preserve">-16.42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Stand basal area x Flight-window calm hours</w:t>
                  </w:r>
                </w:p>
              </w:tc>
              <w:tc>
                <w:tcPr/>
                <w:p>
                  <w:pPr>
                    <w:pStyle w:val="Compact"/>
                    <w:jc w:val="left"/>
                    <w:rPr>
                      <w:sz w:val="16"/>
                      <w:szCs w:val="16"/>
                    </w:rPr>
                  </w:pPr>
                  <w:r>
                    <w:rPr>
                      <w:sz w:val="16"/>
                      <w:szCs w:val="16"/>
                    </w:rPr>
                    <w:t xml:space="preserve">+0.032</w:t>
                  </w:r>
                </w:p>
              </w:tc>
              <w:tc>
                <w:tcPr/>
                <w:p>
                  <w:pPr>
                    <w:pStyle w:val="Compact"/>
                    <w:jc w:val="left"/>
                    <w:rPr>
                      <w:sz w:val="16"/>
                      <w:szCs w:val="16"/>
                    </w:rPr>
                  </w:pPr>
                  <w:r>
                    <w:rPr>
                      <w:sz w:val="16"/>
                      <w:szCs w:val="16"/>
                    </w:rPr>
                    <w:t xml:space="preserve">1.20</w:t>
                  </w:r>
                </w:p>
              </w:tc>
              <w:tc>
                <w:tcPr/>
                <w:p>
                  <w:pPr>
                    <w:pStyle w:val="Compact"/>
                    <w:jc w:val="left"/>
                    <w:rPr>
                      <w:sz w:val="16"/>
                      <w:szCs w:val="16"/>
                    </w:rPr>
                  </w:pPr>
                  <w:r>
                    <w:rPr>
                      <w:sz w:val="16"/>
                      <w:szCs w:val="16"/>
                    </w:rPr>
                    <w:t xml:space="preserve">0.232</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MicroMet flight-window wind (km/h)</w:t>
                  </w:r>
                </w:p>
              </w:tc>
              <w:tc>
                <w:tcPr/>
                <w:p>
                  <w:pPr>
                    <w:pStyle w:val="Compact"/>
                    <w:jc w:val="left"/>
                    <w:rPr>
                      <w:sz w:val="16"/>
                      <w:szCs w:val="16"/>
                    </w:rPr>
                  </w:pPr>
                  <w:r>
                    <w:rPr>
                      <w:sz w:val="16"/>
                      <w:szCs w:val="16"/>
                    </w:rPr>
                    <w:t xml:space="preserve">+0.386</w:t>
                  </w:r>
                </w:p>
              </w:tc>
              <w:tc>
                <w:tcPr/>
                <w:p>
                  <w:pPr>
                    <w:pStyle w:val="Compact"/>
                    <w:jc w:val="left"/>
                    <w:rPr>
                      <w:sz w:val="16"/>
                      <w:szCs w:val="16"/>
                    </w:rPr>
                  </w:pPr>
                  <w:r>
                    <w:rPr>
                      <w:sz w:val="16"/>
                      <w:szCs w:val="16"/>
                    </w:rPr>
                    <w:t xml:space="preserve">22.18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Stand basal area x MicroMet flight-window wind</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1.71</w:t>
                  </w:r>
                </w:p>
              </w:tc>
              <w:tc>
                <w:tcPr/>
                <w:p>
                  <w:pPr>
                    <w:pStyle w:val="Compact"/>
                    <w:jc w:val="left"/>
                    <w:rPr>
                      <w:sz w:val="16"/>
                      <w:szCs w:val="16"/>
                    </w:rPr>
                  </w:pPr>
                  <w:r>
                    <w:rPr>
                      <w:sz w:val="16"/>
                      <w:szCs w:val="16"/>
                    </w:rPr>
                    <w:t xml:space="preserve">0.087</w:t>
                  </w:r>
                </w:p>
              </w:tc>
            </w:tr>
          </w:tbl>
          <w:bookmarkEnd w:id="56"/>
          <w:p/>
        </w:tc>
      </w:tr>
    </w:tbl>
    <w:p>
      <w:pPr>
        <w:pStyle w:val="BodyText"/>
      </w:pPr>
      <w:r>
        <w:t xml:space="preserve">This section reports the same wind field at the annual resolution the study first used, and</w:t>
      </w:r>
      <w:r>
        <w:t xml:space="preserve"> </w:t>
      </w:r>
      <w:r>
        <w:t xml:space="preserve">it is retained because the contrast with the 16-day models is the paper’s methodological</w:t>
      </w:r>
      <w:r>
        <w:t xml:space="preserve"> </w:t>
      </w:r>
      <w:r>
        <w:t xml:space="preserve">result.</w:t>
      </w:r>
    </w:p>
    <w:p>
      <w:pPr>
        <w:pStyle w:val="BodyText"/>
      </w:pPr>
      <w:r>
        <w:t xml:space="preserve">The terrain-resolved field carries +0.386 log-odds per standard deviation</w:t>
      </w:r>
      <w:r>
        <w:t xml:space="preserve"> </w:t>
      </w:r>
      <w:r>
        <w:t xml:space="preserve">(z = 22.18, p &lt; 0.001) when the response is one map per year. Windier ground</w:t>
      </w:r>
      <w:r>
        <w:t xml:space="preserve"> </w:t>
      </w:r>
      <w:r>
        <w:t xml:space="preserve">carries more moderate-to-high disturbance. The interaction the mechanism turns on is</w:t>
      </w:r>
      <w:r>
        <w:t xml:space="preserve"> </w:t>
      </w:r>
      <w:r>
        <w:t xml:space="preserve">+0.031 (z = 1.71, p = 0.087), positive where the</w:t>
      </w:r>
      <w:r>
        <w:t xml:space="preserve"> </w:t>
      </w:r>
      <w:r>
        <w:t xml:space="preserve">pheromone-disruption mechanism requires negative.</w:t>
      </w:r>
    </w:p>
    <w:p>
      <w:pPr>
        <w:pStyle w:val="BodyText"/>
      </w:pPr>
      <w:r>
        <w:t xml:space="preserve">At sixteen days, the same wind field, the same covariates and the same classification</w:t>
      </w:r>
      <w:r>
        <w:t xml:space="preserve"> </w:t>
      </w:r>
      <w:r>
        <w:t xml:space="preserve">threshold gave -0.049 for stem density (p &lt; 0.001) and</w:t>
      </w:r>
      <w:r>
        <w:t xml:space="preserve"> </w:t>
      </w:r>
      <w:r>
        <w:t xml:space="preserve">-0.017 for standing volume (p &lt; 0.05). Expressed as odds, each standard</w:t>
      </w:r>
      <w:r>
        <w:t xml:space="preserve"> </w:t>
      </w:r>
      <w:r>
        <w:t xml:space="preserve">deviation of the epoch wind regime multiplied the contribution of stem density by</w:t>
      </w:r>
      <w:r>
        <w:t xml:space="preserve"> </w:t>
      </w:r>
      <w:r>
        <w:t xml:space="preserve">0.952, a reduction of 4.8 per cent. Notably, nothing</w:t>
      </w:r>
      <w:r>
        <w:t xml:space="preserve"> </w:t>
      </w:r>
      <w:r>
        <w:t xml:space="preserve">about the landscape or the wind product changed between the two specifications.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flight-window calm hours (share below 5 km/h) at -0.543, which carries no flight-window information at all.</w:t>
      </w:r>
    </w:p>
    <w:p>
      <w:pPr>
        <w:pStyle w:val="BodyText"/>
      </w:pPr>
      <w:r>
        <w:t xml:space="preserve">The resolution requirement follows from the biology and is stated here as a constraint on</w:t>
      </w:r>
      <w:r>
        <w:t xml:space="preserve"> </w:t>
      </w:r>
      <w:r>
        <w:t xml:space="preserve">design rather than as a result: a plume that persists for minutes, acting over a flight</w:t>
      </w:r>
      <w:r>
        <w:t xml:space="preserve"> </w:t>
      </w:r>
      <w:r>
        <w:t xml:space="preserve">period of weeks, cannot be tested against a response aggregated to the year.</w:t>
      </w:r>
    </w:p>
    <w:bookmarkEnd w:id="57"/>
    <w:bookmarkStart w:id="58"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+0.901 and</w:t>
      </w:r>
      <w:r>
        <w:t xml:space="preserve"> </w:t>
      </w:r>
      <w:r>
        <w:t xml:space="preserve">+1.001, raising discrimination from 0.801 to</w:t>
      </w:r>
      <w:r>
        <w:t xml:space="preserve"> </w:t>
      </w:r>
      <w:r>
        <w:t xml:space="preserve">0.900.</w:t>
      </w:r>
    </w:p>
    <w:p>
      <w:pPr>
        <w:pStyle w:val="BodyText"/>
      </w:pPr>
      <w:r>
        <w:t xml:space="preserve">Notably, which environmental terms survived is the informative part. Ruggedness keeps 1.23</w:t>
      </w:r>
      <w:r>
        <w:t xml:space="preserve"> </w:t>
      </w:r>
      <w:r>
        <w:t xml:space="preserve">of its value, a term describing a condition a cell has whether or not the beetle was there.</w:t>
      </w:r>
      <w:r>
        <w:t xml:space="preserve"> </w:t>
      </w:r>
      <w:r>
        <w:t xml:space="preserve">The landform terms are not stable: valley depth keeps 0.18 while mid-slope</w:t>
      </w:r>
      <w:r>
        <w:t xml:space="preserve"> </w:t>
      </w:r>
      <w:r>
        <w:t xml:space="preserve">position moves to 1.35,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 one level up.</w:t>
      </w:r>
    </w:p>
    <w:bookmarkEnd w:id="58"/>
    <w:bookmarkStart w:id="60"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9" w:name="tbl-qmd"/>
          <w:p>
            <w:pPr>
              <w:jc w:val="center"/>
            </w:pPr>
            <w:pPr>
              <w:jc w:val="start"/>
              <w:spacing w:before="200"/>
              <w:pStyle w:val="ImageCaption"/>
            </w:pPr>
            <w:r>
              <w:t xml:space="preserve">Table 8: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436</w:t>
                  </w:r>
                </w:p>
              </w:tc>
              <w:tc>
                <w:tcPr/>
                <w:p>
                  <w:pPr>
                    <w:pStyle w:val="Compact"/>
                    <w:jc w:val="left"/>
                    <w:rPr>
                      <w:sz w:val="16"/>
                      <w:szCs w:val="16"/>
                    </w:rPr>
                  </w:pPr>
                  <w:r>
                    <w:rPr>
                      <w:sz w:val="16"/>
                      <w:szCs w:val="16"/>
                    </w:rPr>
                    <w:t xml:space="preserve">113</w:t>
                  </w:r>
                </w:p>
              </w:tc>
              <w:tc>
                <w:tcPr/>
                <w:p>
                  <w:pPr>
                    <w:pStyle w:val="Compact"/>
                    <w:jc w:val="left"/>
                    <w:rPr>
                      <w:sz w:val="16"/>
                      <w:szCs w:val="16"/>
                    </w:rPr>
                  </w:pPr>
                  <w:r>
                    <w:rPr>
                      <w:sz w:val="16"/>
                      <w:szCs w:val="16"/>
                    </w:rPr>
                    <w:t xml:space="preserve">25.9</w:t>
                  </w:r>
                </w:p>
              </w:tc>
              <w:tc>
                <w:tcPr/>
                <w:p>
                  <w:pPr>
                    <w:pStyle w:val="Compact"/>
                    <w:jc w:val="left"/>
                    <w:rPr>
                      <w:sz w:val="16"/>
                      <w:szCs w:val="16"/>
                    </w:rPr>
                  </w:pPr>
                  <w:r>
                    <w:rPr>
                      <w:sz w:val="16"/>
                      <w:szCs w:val="16"/>
                    </w:rPr>
                    <w:t xml:space="preserve">22.0-30.2</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4,325</w:t>
                  </w:r>
                </w:p>
              </w:tc>
              <w:tc>
                <w:tcPr/>
                <w:p>
                  <w:pPr>
                    <w:pStyle w:val="Compact"/>
                    <w:jc w:val="left"/>
                    <w:rPr>
                      <w:sz w:val="16"/>
                      <w:szCs w:val="16"/>
                    </w:rPr>
                  </w:pPr>
                  <w:r>
                    <w:rPr>
                      <w:sz w:val="16"/>
                      <w:szCs w:val="16"/>
                    </w:rPr>
                    <w:t xml:space="preserve">1,057</w:t>
                  </w:r>
                </w:p>
              </w:tc>
              <w:tc>
                <w:tcPr/>
                <w:p>
                  <w:pPr>
                    <w:pStyle w:val="Compact"/>
                    <w:jc w:val="left"/>
                    <w:rPr>
                      <w:sz w:val="16"/>
                      <w:szCs w:val="16"/>
                    </w:rPr>
                  </w:pPr>
                  <w:r>
                    <w:rPr>
                      <w:sz w:val="16"/>
                      <w:szCs w:val="16"/>
                    </w:rPr>
                    <w:t xml:space="preserve">24.4</w:t>
                  </w:r>
                </w:p>
              </w:tc>
              <w:tc>
                <w:tcPr/>
                <w:p>
                  <w:pPr>
                    <w:pStyle w:val="Compact"/>
                    <w:jc w:val="left"/>
                    <w:rPr>
                      <w:sz w:val="16"/>
                      <w:szCs w:val="16"/>
                    </w:rPr>
                  </w:pPr>
                  <w:r>
                    <w:rPr>
                      <w:sz w:val="16"/>
                      <w:szCs w:val="16"/>
                    </w:rPr>
                    <w:t xml:space="preserve">23.2-25.7</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9,934</w:t>
                  </w:r>
                </w:p>
              </w:tc>
              <w:tc>
                <w:tcPr/>
                <w:p>
                  <w:pPr>
                    <w:pStyle w:val="Compact"/>
                    <w:jc w:val="left"/>
                    <w:rPr>
                      <w:sz w:val="16"/>
                      <w:szCs w:val="16"/>
                    </w:rPr>
                  </w:pPr>
                  <w:r>
                    <w:rPr>
                      <w:sz w:val="16"/>
                      <w:szCs w:val="16"/>
                    </w:rPr>
                    <w:t xml:space="preserve">2,627</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25.6-27.3</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19,090</w:t>
                  </w:r>
                </w:p>
              </w:tc>
              <w:tc>
                <w:tcPr/>
                <w:p>
                  <w:pPr>
                    <w:pStyle w:val="Compact"/>
                    <w:jc w:val="left"/>
                    <w:rPr>
                      <w:sz w:val="16"/>
                      <w:szCs w:val="16"/>
                    </w:rPr>
                  </w:pPr>
                  <w:r>
                    <w:rPr>
                      <w:sz w:val="16"/>
                      <w:szCs w:val="16"/>
                    </w:rPr>
                    <w:t xml:space="preserve">7,576</w:t>
                  </w:r>
                </w:p>
              </w:tc>
              <w:tc>
                <w:tcPr/>
                <w:p>
                  <w:pPr>
                    <w:pStyle w:val="Compact"/>
                    <w:jc w:val="left"/>
                    <w:rPr>
                      <w:sz w:val="16"/>
                      <w:szCs w:val="16"/>
                    </w:rPr>
                  </w:pPr>
                  <w:r>
                    <w:rPr>
                      <w:sz w:val="16"/>
                      <w:szCs w:val="16"/>
                    </w:rPr>
                    <w:t xml:space="preserve">39.7</w:t>
                  </w:r>
                </w:p>
              </w:tc>
              <w:tc>
                <w:tcPr/>
                <w:p>
                  <w:pPr>
                    <w:pStyle w:val="Compact"/>
                    <w:jc w:val="left"/>
                    <w:rPr>
                      <w:sz w:val="16"/>
                      <w:szCs w:val="16"/>
                    </w:rPr>
                  </w:pPr>
                  <w:r>
                    <w:rPr>
                      <w:sz w:val="16"/>
                      <w:szCs w:val="16"/>
                    </w:rPr>
                    <w:t xml:space="preserve">39.0-40.4</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10,903</w:t>
                  </w:r>
                </w:p>
              </w:tc>
              <w:tc>
                <w:tcPr/>
                <w:p>
                  <w:pPr>
                    <w:pStyle w:val="Compact"/>
                    <w:jc w:val="left"/>
                    <w:rPr>
                      <w:sz w:val="16"/>
                      <w:szCs w:val="16"/>
                    </w:rPr>
                  </w:pPr>
                  <w:r>
                    <w:rPr>
                      <w:sz w:val="16"/>
                      <w:szCs w:val="16"/>
                    </w:rPr>
                    <w:t xml:space="preserve">2,724</w:t>
                  </w:r>
                </w:p>
              </w:tc>
              <w:tc>
                <w:tcPr/>
                <w:p>
                  <w:pPr>
                    <w:pStyle w:val="Compact"/>
                    <w:jc w:val="left"/>
                    <w:rPr>
                      <w:sz w:val="16"/>
                      <w:szCs w:val="16"/>
                    </w:rPr>
                  </w:pPr>
                  <w:r>
                    <w:rPr>
                      <w:sz w:val="16"/>
                      <w:szCs w:val="16"/>
                    </w:rPr>
                    <w:t xml:space="preserve">25.0</w:t>
                  </w:r>
                </w:p>
              </w:tc>
              <w:tc>
                <w:tcPr/>
                <w:p>
                  <w:pPr>
                    <w:pStyle w:val="Compact"/>
                    <w:jc w:val="left"/>
                    <w:rPr>
                      <w:sz w:val="16"/>
                      <w:szCs w:val="16"/>
                    </w:rPr>
                  </w:pPr>
                  <w:r>
                    <w:rPr>
                      <w:sz w:val="16"/>
                      <w:szCs w:val="16"/>
                    </w:rPr>
                    <w:t xml:space="preserve">24.2-25.8</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1,671</w:t>
                  </w:r>
                </w:p>
              </w:tc>
              <w:tc>
                <w:tcPr/>
                <w:p>
                  <w:pPr>
                    <w:pStyle w:val="Compact"/>
                    <w:jc w:val="left"/>
                    <w:rPr>
                      <w:sz w:val="16"/>
                      <w:szCs w:val="16"/>
                    </w:rPr>
                  </w:pPr>
                  <w:r>
                    <w:rPr>
                      <w:sz w:val="16"/>
                      <w:szCs w:val="16"/>
                    </w:rPr>
                    <w:t xml:space="preserve">262</w:t>
                  </w:r>
                </w:p>
              </w:tc>
              <w:tc>
                <w:tcPr/>
                <w:p>
                  <w:pPr>
                    <w:pStyle w:val="Compact"/>
                    <w:jc w:val="left"/>
                    <w:rPr>
                      <w:sz w:val="16"/>
                      <w:szCs w:val="16"/>
                    </w:rPr>
                  </w:pPr>
                  <w:r>
                    <w:rPr>
                      <w:sz w:val="16"/>
                      <w:szCs w:val="16"/>
                    </w:rPr>
                    <w:t xml:space="preserve">15.7</w:t>
                  </w:r>
                </w:p>
              </w:tc>
              <w:tc>
                <w:tcPr/>
                <w:p>
                  <w:pPr>
                    <w:pStyle w:val="Compact"/>
                    <w:jc w:val="left"/>
                    <w:rPr>
                      <w:sz w:val="16"/>
                      <w:szCs w:val="16"/>
                    </w:rPr>
                  </w:pPr>
                  <w:r>
                    <w:rPr>
                      <w:sz w:val="16"/>
                      <w:szCs w:val="16"/>
                    </w:rPr>
                    <w:t xml:space="preserve">14.0-17.5</w:t>
                  </w:r>
                </w:p>
              </w:tc>
            </w:tr>
          </w:tbl>
          <w:bookmarkEnd w:id="59"/>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39.7 per cent and falls away</w:t>
      </w:r>
      <w:r>
        <w:t xml:space="preserve"> </w:t>
      </w:r>
      <w:r>
        <w:t xml:space="preserve">above it, to 25.0 per cent at 30</w:t>
      </w:r>
      <w:r>
        <w:t xml:space="preserve"> </w:t>
      </w:r>
      <w:r>
        <w:t xml:space="preserve">to 40 cm and 15.7 per cent above 40</w:t>
      </w:r>
      <w:r>
        <w:t xml:space="preserve"> </w:t>
      </w:r>
      <w:r>
        <w:t xml:space="preserve">(</w:t>
      </w:r>
      <w:hyperlink w:anchor="tbl-qmd">
        <w:r>
          <w:rPr>
            <w:rStyle w:val="Hyperlink"/>
          </w:rPr>
          <w:t xml:space="preserve">Table 8</w:t>
        </w:r>
      </w:hyperlink>
      <w:r>
        <w:t xml:space="preserve">). The step across the 25 cm source-sink boundary is from</w:t>
      </w:r>
      <w:r>
        <w:t xml:space="preserve"> </w:t>
      </w:r>
      <w:r>
        <w:t xml:space="preserve">26.4 to</w:t>
      </w:r>
      <w:r>
        <w:t xml:space="preserve"> </w:t>
      </w:r>
      <w:r>
        <w:t xml:space="preserve">39.7 per cent.</w:t>
      </w:r>
    </w:p>
    <w:p>
      <w:pPr>
        <w:pStyle w:val="BodyText"/>
      </w:pPr>
      <w:r>
        <w:t xml:space="preserve">In the full model diameter carries -0.362 per standard deviation</w:t>
      </w:r>
      <w:r>
        <w:t xml:space="preserve"> </w:t>
      </w:r>
      <w:r>
        <w:t xml:space="preserve">(z = -14.47).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1230.4 on 5 degrees of</w:t>
      </w:r>
      <w:r>
        <w:t xml:space="preserve"> </w:t>
      </w:r>
      <w:r>
        <w:t xml:space="preserve">freedom, p &lt; 0.001, with Cramer’s V = 0.163. The step</w:t>
      </w:r>
      <w:r>
        <w:t xml:space="preserve"> </w:t>
      </w:r>
      <w:r>
        <w:t xml:space="preserve">across the 25 cm source-sink boundary specifically, from the 20 to 25 class to the 25 to 30</w:t>
      </w:r>
      <w:r>
        <w:t xml:space="preserve"> </w:t>
      </w:r>
      <w:r>
        <w:t xml:space="preserve">class, is +13.2 percentage points, 95 per cent confidence</w:t>
      </w:r>
      <w:r>
        <w:t xml:space="preserve"> </w:t>
      </w:r>
      <w:r>
        <w:t xml:space="preserve">interval 12.1 to 14.4, p</w:t>
      </w:r>
      <w:r>
        <w:t xml:space="preserve"> </w:t>
      </w:r>
      <w:r>
        <w:t xml:space="preserve">&lt; 0.001. With 46,359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holds 436 cells</w:t>
      </w:r>
      <w:r>
        <w:t xml:space="preserve"> </w:t>
      </w:r>
      <w:r>
        <w:t xml:space="preserve">against 19,090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60"/>
    <w:bookmarkStart w:id="61" w:name="sec-vri"/>
    <w:p>
      <w:pPr>
        <w:pStyle w:val="Heading2"/>
      </w:pPr>
      <w:r>
        <w:t xml:space="preserve">4.4 Host structure in time</w:t>
      </w:r>
    </w:p>
    <w:p>
      <w:pPr>
        <w:pStyle w:val="FirstParagraph"/>
      </w:pPr>
      <w:r>
        <w:t xml:space="preserve">The stand structure every model above is fitted on is year-matched: each cell-year carries</w:t>
      </w:r>
      <w:r>
        <w:t xml:space="preserve"> </w:t>
      </w:r>
      <w:r>
        <w:t xml:space="preserve">the inventory snapshot the province published for that year, depleted for harvest and</w:t>
      </w:r>
      <w:r>
        <w:t xml:space="preserve"> </w:t>
      </w:r>
      <w:r>
        <w:t xml:space="preserve">projected for growth to it. The alternative, and what earlier drafts of this study used, is</w:t>
      </w:r>
      <w:r>
        <w:t xml:space="preserve"> </w:t>
      </w:r>
      <w:r>
        <w:t xml:space="preserve">the single composite the web feature service serves, projected to 2025. Under that composite</w:t>
      </w:r>
      <w:r>
        <w:t xml:space="preserve"> </w:t>
      </w:r>
      <w:r>
        <w:t xml:space="preserve">every year of a cell carries the same basal area, volume, stems and diameter, so the host</w:t>
      </w:r>
      <w:r>
        <w:t xml:space="preserve"> </w:t>
      </w:r>
      <w:r>
        <w:t xml:space="preserve">terms have no variation in time at all and their values have been grown forward through and</w:t>
      </w:r>
      <w:r>
        <w:t xml:space="preserve"> </w:t>
      </w:r>
      <w:r>
        <w:t xml:space="preserve">past the outbreak they are meant to predict. Across the nine study years the</w:t>
      </w:r>
      <w:r>
        <w:t xml:space="preserve"> </w:t>
      </w:r>
      <w:r>
        <w:t xml:space="preserve">between-year standard deviation of mean standing volume rises from</w:t>
      </w:r>
      <w:r>
        <w:t xml:space="preserve"> </w:t>
      </w:r>
      <w:r>
        <w:t xml:space="preserve">7.95 to</w:t>
      </w:r>
      <w:r>
        <w:t xml:space="preserve"> </w:t>
      </w:r>
      <w:r>
        <w:t xml:space="preserve">13.68 m</w:t>
      </w:r>
      <w:r>
        <w:rPr>
          <w:vertAlign w:val="superscript"/>
        </w:rPr>
        <w:t xml:space="preserve">3</w:t>
      </w:r>
      <w:r>
        <w:t xml:space="preserve"> </w:t>
      </w:r>
      <w:r>
        <w:t xml:space="preserve">ha</w:t>
      </w:r>
      <w:r>
        <w:rPr>
          <w:vertAlign w:val="superscript"/>
        </w:rPr>
        <w:t xml:space="preserve">-1</w:t>
      </w:r>
      <w:r>
        <w:t xml:space="preserve"> </w:t>
      </w:r>
      <w:r>
        <w:t xml:space="preserve">when the snapshots are</w:t>
      </w:r>
      <w:r>
        <w:t xml:space="preserve"> </w:t>
      </w:r>
      <w:r>
        <w:t xml:space="preserve">matched to their years, so the change is not cosmetic.</w:t>
      </w:r>
    </w:p>
    <w:p>
      <w:pPr>
        <w:pStyle w:val="BodyText"/>
      </w:pPr>
      <w:r>
        <w:t xml:space="preserve">It costs the result about half its size. The interaction between stem density and wind falls</w:t>
      </w:r>
      <w:r>
        <w:t xml:space="preserve"> </w:t>
      </w:r>
      <w:r>
        <w:t xml:space="preserve">from -0.0941 (p</w:t>
      </w:r>
      <w:r>
        <w:t xml:space="preserve"> </w:t>
      </w:r>
      <w:r>
        <w:t xml:space="preserve">&lt; 0.001) to</w:t>
      </w:r>
      <w:r>
        <w:t xml:space="preserve"> </w:t>
      </w:r>
      <w:r>
        <w:t xml:space="preserve">-0.0491 (p &lt; 0.001),</w:t>
      </w:r>
      <w:r>
        <w:t xml:space="preserve"> </w:t>
      </w:r>
      <w:r>
        <w:t xml:space="preserve">and the interaction with standing volume from</w:t>
      </w:r>
      <w:r>
        <w:t xml:space="preserve"> </w:t>
      </w:r>
      <w:r>
        <w:t xml:space="preserve">-0.0410 (p</w:t>
      </w:r>
      <w:r>
        <w:t xml:space="preserve"> </w:t>
      </w:r>
      <w:r>
        <w:t xml:space="preserve">&lt; 0.001) to</w:t>
      </w:r>
      <w:r>
        <w:t xml:space="preserve"> </w:t>
      </w:r>
      <w:r>
        <w:t xml:space="preserve">-0.0169 (p</w:t>
      </w:r>
      <w:r>
        <w:t xml:space="preserve"> </w:t>
      </w:r>
      <w:r>
        <w:t xml:space="preserve">= 0.038). Both keep the sign the mechanism requires and</w:t>
      </w:r>
      <w:r>
        <w:t xml:space="preserve"> </w:t>
      </w:r>
      <w:r>
        <w:t xml:space="preserve">both remain distinguishable from zero, but roughly half of the effect the composite reported</w:t>
      </w:r>
      <w:r>
        <w:t xml:space="preserve"> </w:t>
      </w:r>
      <w:r>
        <w:t xml:space="preserve">was an artefact of holding host structure constant. The model that reports the smaller</w:t>
      </w:r>
      <w:r>
        <w:t xml:space="preserve"> </w:t>
      </w:r>
      <w:r>
        <w:t xml:space="preserve">effect is the better one: discrimination rises from</w:t>
      </w:r>
      <w:r>
        <w:t xml:space="preserve"> </w:t>
      </w:r>
      <w:r>
        <w:t xml:space="preserve">0.6685 to</w:t>
      </w:r>
      <w:r>
        <w:t xml:space="preserve"> </w:t>
      </w:r>
      <w:r>
        <w:t xml:space="preserve">0.6730.</w:t>
      </w:r>
    </w:p>
    <w:p>
      <w:pPr>
        <w:pStyle w:val="BodyText"/>
      </w:pPr>
      <w:r>
        <w:t xml:space="preserve">One year is substituted. The 2007 delivery carries basal area and live stems as columns and fills neither, 0 and 3 per cent of polygons against 70 to 97 per cent in every other year, so the preceding year is carried forward rather than averaged: the inventory is itself a projection, and carrying forward reproduces a stand structure the province published where averaging would invent one it did not.</w:t>
      </w:r>
    </w:p>
    <w:bookmarkEnd w:id="61"/>
    <w:bookmarkStart w:id="63" w:name="sec-window"/>
    <w:p>
      <w:pPr>
        <w:pStyle w:val="Heading2"/>
      </w:pPr>
      <w:r>
        <w:t xml:space="preserve">4.5 The wind window</w:t>
      </w:r>
    </w:p>
    <w:p>
      <w:pPr>
        <w:pStyle w:val="FirstParagraph"/>
      </w:pPr>
      <w:r>
        <w:t xml:space="preserve">The wind variable is the epoch wind regime: the mean over every hourly station observation</w:t>
      </w:r>
      <w:r>
        <w:t xml:space="preserve"> </w:t>
      </w:r>
      <w:r>
        <w:t xml:space="preserve">in the sixteen days an epoch covers, each hour modified over the terrain by its own bearing.</w:t>
      </w:r>
      <w:r>
        <w:t xml:space="preserve"> </w:t>
      </w:r>
      <w:r>
        <w:t xml:space="preserve">It is not restricted to the flight window. That is deliberate, and it follows from how the</w:t>
      </w:r>
      <w:r>
        <w:t xml:space="preserve"> </w:t>
      </w:r>
      <w:r>
        <w:t xml:space="preserve">insect disperses.</w:t>
      </w:r>
      <w:r>
        <w:t xml:space="preserve"> </w:t>
      </w:r>
      <w:r>
        <w:t xml:space="preserve">Jackson, Straussfogel, Lindgren, Mitchell, &amp; Murphy (2008)</w:t>
      </w:r>
      <w:r>
        <w:t xml:space="preserve"> </w:t>
      </w:r>
      <w:r>
        <w:t xml:space="preserve">tracked mountain pine beetle on weather radar and confirmed</w:t>
      </w:r>
      <w:r>
        <w:t xml:space="preserve"> </w:t>
      </w:r>
      <w:r>
        <w:t xml:space="preserve">the returns by aerial capture, finding beetles</w:t>
      </w:r>
      <w:r>
        <w:t xml:space="preserve"> </w:t>
      </w:r>
      <w:r>
        <w:t xml:space="preserve">“at altitudes up to more than 800 m above the</w:t>
      </w:r>
      <w:r>
        <w:t xml:space="preserve"> </w:t>
      </w:r>
      <w:r>
        <w:t xml:space="preserve">forest canopy”</w:t>
      </w:r>
      <w:r>
        <w:t xml:space="preserve"> </w:t>
      </w:r>
      <w:r>
        <w:t xml:space="preserve">and estimating that those in flight above the canopy</w:t>
      </w:r>
      <w:r>
        <w:t xml:space="preserve"> </w:t>
      </w:r>
      <w:r>
        <w:t xml:space="preserve">“may move</w:t>
      </w:r>
      <w:r>
        <w:t xml:space="preserve"> </w:t>
      </w:r>
      <w:r>
        <w:t xml:space="preserve">30–110 km</w:t>
      </w:r>
      <m:oMath>
        <m:r>
          <m:rPr>
            <m:sty m:val="p"/>
          </m:rPr>
          <m:t>⋅</m:t>
        </m:r>
      </m:oMath>
      <w:r>
        <w:t xml:space="preserve">day</w:t>
      </w:r>
      <m:oMath>
        <m:sSup>
          <m:e>
            <m:r>
              <m:t>​</m:t>
            </m:r>
          </m:e>
          <m:sup>
            <m:r>
              <m:rPr>
                <m:sty m:val="p"/>
              </m:rPr>
              <m:t>−</m:t>
            </m:r>
            <m:r>
              <m:t>1</m:t>
            </m:r>
          </m:sup>
        </m:sSup>
      </m:oMath>
      <w:r>
        <w:t xml:space="preserve">”</w:t>
      </w:r>
      <w:r>
        <w:t xml:space="preserve">, at a mean density of 4950 and a maximum of 18,600 beetles per</w:t>
      </w:r>
      <w:r>
        <w:t xml:space="preserve"> </w:t>
      </w:r>
      <w:r>
        <w:t xml:space="preserve">hectare.</w:t>
      </w:r>
      <w:r>
        <w:t xml:space="preserve"> </w:t>
      </w:r>
      <w:r>
        <w:t xml:space="preserve">Ainslie &amp; Jackson (2010)</w:t>
      </w:r>
      <w:r>
        <w:t xml:space="preserve"> </w:t>
      </w:r>
      <w:r>
        <w:t xml:space="preserve">then reproduced that above-canopy dispersion with an atmospheric</w:t>
      </w:r>
      <w:r>
        <w:t xml:space="preserve"> </w:t>
      </w:r>
      <w:r>
        <w:t xml:space="preserve">model. An insect carried in the boundary layer at those heights and distances is exposed to</w:t>
      </w:r>
      <w:r>
        <w:t xml:space="preserve"> </w:t>
      </w:r>
      <w:r>
        <w:t xml:space="preserve">the atmospheric regime of the period, not to the wind measured in a stand between noon and</w:t>
      </w:r>
      <w:r>
        <w:t xml:space="preserve"> </w:t>
      </w:r>
      <w:r>
        <w:t xml:space="preserve">five, and the variable is named for what it measures.</w:t>
      </w:r>
    </w:p>
    <w:p>
      <w:pPr>
        <w:pStyle w:val="BodyText"/>
      </w:pPr>
      <w:r>
        <w:t xml:space="preserve">The choice is reported rather than assumed.</w:t>
      </w:r>
      <w:r>
        <w:t xml:space="preserve"> </w:t>
      </w:r>
      <w:hyperlink w:anchor="tbl-window">
        <w:r>
          <w:rPr>
            <w:rStyle w:val="Hyperlink"/>
          </w:rPr>
          <w:t xml:space="preserve">Table 9</w:t>
        </w:r>
      </w:hyperlink>
      <w:r>
        <w:t xml:space="preserve"> </w:t>
      </w:r>
      <w:r>
        <w:t xml:space="preserve">refits the 16-day model under four</w:t>
      </w:r>
      <w:r>
        <w:t xml:space="preserve"> </w:t>
      </w:r>
      <w:r>
        <w:t xml:space="preserve">definitions of the window: every hour, the 12:00 to 17:00 hours the flight peak occupies,</w:t>
      </w:r>
      <w:r>
        <w:t xml:space="preserve"> </w:t>
      </w:r>
      <w:r>
        <w:t xml:space="preserve">the 11:00 to 18:00 hours that clear the thermal gate on this landscape more than half the</w:t>
      </w:r>
      <w:r>
        <w:t xml:space="preserve"> </w:t>
      </w:r>
      <w:r>
        <w:t xml:space="preserve">time, and only those hours whose observed temperature fell inside the 19 to 41 degrees C</w:t>
      </w:r>
      <w:r>
        <w:t xml:space="preserve"> </w:t>
      </w:r>
      <w:r>
        <w:t xml:space="preserve">gate itself. The stem-density interaction is negative and distinguishable from zero under</w:t>
      </w:r>
      <w:r>
        <w:t xml:space="preserve"> </w:t>
      </w:r>
      <w:r>
        <w:t xml:space="preserve">all four, so the mechanism does not depend on the choice. It is largest over the full</w:t>
      </w:r>
      <w:r>
        <w:t xml:space="preserve"> </w:t>
      </w:r>
      <w:r>
        <w:t xml:space="preserve">regime, and the standing-volume interaction is the term that depends on it.</w:t>
      </w:r>
    </w:p>
    <w:tbl>
      <w:tblPr>
        <w:tblStyle w:val="Table"/>
        <w:tblW w:type="pct" w:w="5000"/>
        <w:tblLayout w:type="fixed"/>
        <w:tblLook w:firstRow="0" w:lastRow="0" w:firstColumn="0" w:lastColumn="0" w:noHBand="0" w:noVBand="0" w:val="0000"/>
      </w:tblPr>
      <w:tblGrid>
        <w:gridCol w:w="7920"/>
      </w:tblGrid>
      <w:tr>
        <w:tc>
          <w:tcPr/>
          <w:bookmarkStart w:id="62" w:name="tbl-window"/>
          <w:p>
            <w:pPr>
              <w:jc w:val="center"/>
            </w:pPr>
            <w:pPr>
              <w:jc w:val="start"/>
              <w:spacing w:before="200"/>
              <w:pStyle w:val="ImageCaption"/>
            </w:pPr>
            <w:r>
              <w:t xml:space="preserve">Table 9: The 16-day model refitted under four definitions of the wind window. The epoch wind regime, every hour, is the definition used throughout this paper. Coefficients are log-odds per standard deviation. The thermal-gate row is fitted on fewer cell-epochs because two epochs carried too few qualifying hours, so its AIC is not comparable with the other three.</w:t>
            </w:r>
          </w:p>
          <w:tbl>
            <w:tblPr>
              <w:tblStyle w:val="Table"/>
              <w:tblLook w:firstRow="1" w:lastRow="0" w:firstColumn="0" w:lastColumn="0" w:noHBand="0" w:noVBand="0" w:val="0020"/>
              <w:tblW w:w="9354" w:type="dxa"/>
              <w:tblLayout w:type="fixed"/>
            </w:tblPr>
            <w:tblGrid>
              <w:gridCol w:w="2725"/>
              <w:gridCol w:w="1089"/>
              <w:gridCol w:w="1089"/>
              <w:gridCol w:w="1180"/>
              <w:gridCol w:w="727"/>
              <w:gridCol w:w="1271"/>
              <w:gridCol w:w="727"/>
              <w:gridCol w:w="546"/>
            </w:tblGrid>
            <w:tr>
              <w:trPr>
                <w:tblHeader w:val="on"/>
                <w:trHeight w:val="624" w:hRule="exact"/>
              </w:trPr>
              <w:tc>
                <w:tcPr/>
                <w:p>
                  <w:pPr>
                    <w:pStyle w:val="Compact"/>
                    <w:jc w:val="left"/>
                    <w:rPr>
                      <w:sz w:val="16"/>
                      <w:szCs w:val="16"/>
                    </w:rPr>
                  </w:pPr>
                  <w:r>
                    <w:rPr>
                      <w:sz w:val="16"/>
                      <w:szCs w:val="16"/>
                    </w:rPr>
                    <w:t xml:space="preserve">Definition</w:t>
                  </w:r>
                </w:p>
              </w:tc>
              <w:tc>
                <w:tcPr/>
                <w:p>
                  <w:pPr>
                    <w:pStyle w:val="Compact"/>
                    <w:jc w:val="left"/>
                    <w:rPr>
                      <w:sz w:val="16"/>
                      <w:szCs w:val="16"/>
                    </w:rPr>
                  </w:pPr>
                  <w:r>
                    <w:rPr>
                      <w:sz w:val="16"/>
                      <w:szCs w:val="16"/>
                    </w:rPr>
                    <w:t xml:space="preserve">Cell-epochs</w:t>
                  </w:r>
                </w:p>
              </w:tc>
              <w:tc>
                <w:tcPr/>
                <w:p>
                  <w:pPr>
                    <w:pStyle w:val="Compact"/>
                    <w:jc w:val="left"/>
                    <w:rPr>
                      <w:sz w:val="16"/>
                      <w:szCs w:val="16"/>
                    </w:rPr>
                  </w:pPr>
                  <w:r>
                    <w:rPr>
                      <w:sz w:val="16"/>
                      <w:szCs w:val="16"/>
                    </w:rPr>
                    <w:t xml:space="preserve">Wind (km/h)</w:t>
                  </w:r>
                </w:p>
              </w:tc>
              <w:tc>
                <w:tcPr/>
                <w:p>
                  <w:pPr>
                    <w:pStyle w:val="Compact"/>
                    <w:jc w:val="left"/>
                    <w:rPr>
                      <w:sz w:val="16"/>
                      <w:szCs w:val="16"/>
                    </w:rPr>
                  </w:pPr>
                  <w:r>
                    <w:rPr>
                      <w:sz w:val="16"/>
                      <w:szCs w:val="16"/>
                    </w:rPr>
                    <w:t xml:space="preserve">Stems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Volume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AUC</w:t>
                  </w:r>
                </w:p>
              </w:tc>
            </w:tr>
            <w:tr>
              <w:trPr>
                <w:trHeight w:val="340" w:hRule="exact"/>
              </w:trPr>
              <w:tc>
                <w:tcPr/>
                <w:p>
                  <w:pPr>
                    <w:pStyle w:val="Compact"/>
                    <w:jc w:val="left"/>
                    <w:rPr>
                      <w:sz w:val="16"/>
                      <w:szCs w:val="16"/>
                    </w:rPr>
                  </w:pPr>
                  <w:r>
                    <w:rPr>
                      <w:sz w:val="16"/>
                      <w:szCs w:val="16"/>
                    </w:rPr>
                    <w:t xml:space="preserve">Epoch wind regime (all hours)</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5.04</w:t>
                  </w:r>
                </w:p>
              </w:tc>
              <w:tc>
                <w:tcPr/>
                <w:p>
                  <w:pPr>
                    <w:pStyle w:val="Compact"/>
                    <w:jc w:val="left"/>
                    <w:rPr>
                      <w:sz w:val="16"/>
                      <w:szCs w:val="16"/>
                    </w:rPr>
                  </w:pPr>
                  <w:r>
                    <w:rPr>
                      <w:sz w:val="16"/>
                      <w:szCs w:val="16"/>
                    </w:rPr>
                    <w:t xml:space="preserve">-0.0941</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-0.0410</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0.668</w:t>
                  </w:r>
                </w:p>
              </w:tc>
            </w:tr>
            <w:tr>
              <w:trPr>
                <w:trHeight w:val="340" w:hRule="exact"/>
              </w:trPr>
              <w:tc>
                <w:tcPr/>
                <w:p>
                  <w:pPr>
                    <w:pStyle w:val="Compact"/>
                    <w:jc w:val="left"/>
                    <w:rPr>
                      <w:sz w:val="16"/>
                      <w:szCs w:val="16"/>
                    </w:rPr>
                  </w:pPr>
                  <w:r>
                    <w:rPr>
                      <w:sz w:val="16"/>
                      <w:szCs w:val="16"/>
                    </w:rPr>
                    <w:t xml:space="preserve">12:00-17:00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6.45</w:t>
                  </w:r>
                </w:p>
              </w:tc>
              <w:tc>
                <w:tcPr/>
                <w:p>
                  <w:pPr>
                    <w:pStyle w:val="Compact"/>
                    <w:jc w:val="left"/>
                    <w:rPr>
                      <w:sz w:val="16"/>
                      <w:szCs w:val="16"/>
                    </w:rPr>
                  </w:pPr>
                  <w:r>
                    <w:rPr>
                      <w:sz w:val="16"/>
                      <w:szCs w:val="16"/>
                    </w:rPr>
                    <w:t xml:space="preserve">-0.0565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-0.0082</w:t>
                  </w:r>
                </w:p>
              </w:tc>
              <w:tc>
                <w:tcPr/>
                <w:p>
                  <w:pPr>
                    <w:pStyle w:val="Compact"/>
                    <w:jc w:val="left"/>
                    <w:rPr>
                      <w:sz w:val="16"/>
                      <w:szCs w:val="16"/>
                    </w:rPr>
                  </w:pPr>
                  <w:r>
                    <w:rPr>
                      <w:sz w:val="16"/>
                      <w:szCs w:val="16"/>
                    </w:rPr>
                    <w:t xml:space="preserve">0.325</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11:00-18:00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6.32</w:t>
                  </w:r>
                </w:p>
              </w:tc>
              <w:tc>
                <w:tcPr/>
                <w:p>
                  <w:pPr>
                    <w:pStyle w:val="Compact"/>
                    <w:jc w:val="left"/>
                    <w:rPr>
                      <w:sz w:val="16"/>
                      <w:szCs w:val="16"/>
                    </w:rPr>
                  </w:pPr>
                  <w:r>
                    <w:rPr>
                      <w:sz w:val="16"/>
                      <w:szCs w:val="16"/>
                    </w:rPr>
                    <w:t xml:space="preserve">-0.0623</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-0.0161</w:t>
                  </w:r>
                </w:p>
              </w:tc>
              <w:tc>
                <w:tcPr/>
                <w:p>
                  <w:pPr>
                    <w:pStyle w:val="Compact"/>
                    <w:jc w:val="left"/>
                    <w:rPr>
                      <w:sz w:val="16"/>
                      <w:szCs w:val="16"/>
                    </w:rPr>
                  </w:pPr>
                  <w:r>
                    <w:rPr>
                      <w:sz w:val="16"/>
                      <w:szCs w:val="16"/>
                    </w:rPr>
                    <w:t xml:space="preserve">0.054</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Inside the 19-41 C gate</w:t>
                  </w:r>
                </w:p>
              </w:tc>
              <w:tc>
                <w:tcPr/>
                <w:p>
                  <w:pPr>
                    <w:pStyle w:val="Compact"/>
                    <w:jc w:val="left"/>
                    <w:rPr>
                      <w:sz w:val="16"/>
                      <w:szCs w:val="16"/>
                    </w:rPr>
                  </w:pPr>
                  <w:r>
                    <w:rPr>
                      <w:sz w:val="16"/>
                      <w:szCs w:val="16"/>
                    </w:rPr>
                    <w:t xml:space="preserve">69,711</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-0.0596</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-0.0325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0.666</w:t>
                  </w:r>
                </w:p>
              </w:tc>
            </w:tr>
          </w:tbl>
          <w:bookmarkEnd w:id="62"/>
          <w:p/>
        </w:tc>
      </w:tr>
    </w:tbl>
    <w:bookmarkEnd w:id="63"/>
    <w:bookmarkEnd w:id="64"/>
    <w:bookmarkStart w:id="70" w:name="discussion"/>
    <w:p>
      <w:pPr>
        <w:pStyle w:val="Heading1"/>
      </w:pPr>
      <w:r>
        <w:t xml:space="preserve">5. Discussion</w:t>
      </w:r>
    </w:p>
    <w:bookmarkStart w:id="65"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-0.068, and the natural reading is a wind effect. Add flight-window</w:t>
      </w:r>
      <w:r>
        <w:t xml:space="preserve"> </w:t>
      </w:r>
      <w:r>
        <w:t xml:space="preserve">radiation and that interaction becomes -0.040, p = 0.098, while density by</w:t>
      </w:r>
      <w:r>
        <w:t xml:space="preserve"> </w:t>
      </w:r>
      <w:r>
        <w:t xml:space="preserve">radiation appears at +0.103. About two fifths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5"/>
    <w:bookmarkStart w:id="66" w:name="what-survives"/>
    <w:p>
      <w:pPr>
        <w:pStyle w:val="Heading2"/>
      </w:pPr>
      <w:r>
        <w:t xml:space="preserve">5.2 What survives</w:t>
      </w:r>
    </w:p>
    <w:p>
      <w:pPr>
        <w:pStyle w:val="FirstParagraph"/>
      </w:pPr>
      <w:r>
        <w:t xml:space="preserve">In this study we tested the three mechanisms</w:t>
      </w:r>
      <w:r>
        <w:t xml:space="preserve"> </w:t>
      </w:r>
      <w:r>
        <w:t xml:space="preserve">Krawchuk et al. (2020)</w:t>
      </w:r>
      <w:r>
        <w:t xml:space="preserve"> </w:t>
      </w:r>
      <w:r>
        <w:t xml:space="preserve">propose for refugia from mountain</w:t>
      </w:r>
      <w:r>
        <w:t xml:space="preserve"> </w:t>
      </w:r>
      <w:r>
        <w:t xml:space="preserve">pine beetle, using a response measured at the sixteen-day cadence the sensor and the insect</w:t>
      </w:r>
      <w:r>
        <w:t xml:space="preserve"> </w:t>
      </w:r>
      <w:r>
        <w:t xml:space="preserve">share. Our results offered partial support. H2, low host density admitting the wind that</w:t>
      </w:r>
      <w:r>
        <w:t xml:space="preserve"> </w:t>
      </w:r>
      <w:r>
        <w:t xml:space="preserve">disperses the aggregation pheromone, was supported, and in the conditional form the mechanism</w:t>
      </w:r>
      <w:r>
        <w:t xml:space="preserve"> </w:t>
      </w:r>
      <w:r>
        <w:t xml:space="preserve">specifies rather than as a main effect. H3, a scarcity of large-diameter hosts, was supported</w:t>
      </w:r>
      <w:r>
        <w:t xml:space="preserve"> </w:t>
      </w:r>
      <w:r>
        <w:t xml:space="preserve">as a threshold rather than as a gradient. H1, topographic shading, was not supported, and the</w:t>
      </w:r>
      <w:r>
        <w:t xml:space="preserve"> </w:t>
      </w:r>
      <w:r>
        <w:t xml:space="preserve">term that rejects it is the least secure in the study.</w:t>
      </w:r>
    </w:p>
    <w:p>
      <w:pPr>
        <w:pStyle w:val="BodyText"/>
      </w:pPr>
      <w:r>
        <w:t xml:space="preserve">H2, host density, holds, and it holds in the conditional form the mechanism specifies</w:t>
      </w:r>
      <w:r>
        <w:t xml:space="preserve"> </w:t>
      </w:r>
      <w:r>
        <w:t xml:space="preserve">rather than as a bare main effect. Stand basal area predicts disturbance at +0.504, and</w:t>
      </w:r>
      <w:r>
        <w:t xml:space="preserve"> </w:t>
      </w:r>
      <w:r>
        <w:t xml:space="preserve">its interaction with wind is -0.017 while stem density’s is -0.049.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H3, large-diameter host, holds as a threshold rather than a gradient. Attack peaks at</w:t>
      </w:r>
      <w:r>
        <w:t xml:space="preserve"> </w:t>
      </w:r>
      <w:r>
        <w:t xml:space="preserve">39.7 per cent in the 25 to 30 cm</w:t>
      </w:r>
      <w:r>
        <w:t xml:space="preserve"> </w:t>
      </w:r>
      <w:r>
        <w:t xml:space="preserve">class, at the source-sink boundary of</w:t>
      </w:r>
      <w:r>
        <w:t xml:space="preserve"> </w:t>
      </w:r>
      <w:r>
        <w:t xml:space="preserve">Carroll &amp; Safranyik (2004)</w:t>
      </w:r>
      <w:r>
        <w:t xml:space="preserve">, and falls away on both sides.</w:t>
      </w:r>
    </w:p>
    <w:p>
      <w:pPr>
        <w:pStyle w:val="BodyText"/>
      </w:pPr>
      <w:r>
        <w:t xml:space="preserve">H1, topographic shading, does not hold, and it fails on a stand-in rather than on the</w:t>
      </w:r>
      <w:r>
        <w:t xml:space="preserve"> </w:t>
      </w:r>
      <w:r>
        <w:t xml:space="preserve">quantity the mechanism names. Growing-season radiation did not survive variable selection, so the</w:t>
      </w:r>
      <w:r>
        <w:t xml:space="preserve"> </w:t>
      </w:r>
      <w:r>
        <w:t xml:space="preserve">pathway is carried by northness, which correlates -0.824</w:t>
      </w:r>
      <w:r>
        <w:t xml:space="preserve"> </w:t>
      </w:r>
      <w:r>
        <w:t xml:space="preserve">with it. Northness is +0.305, so shaded ground carries more attack where the</w:t>
      </w:r>
      <w:r>
        <w:t xml:space="preserve"> </w:t>
      </w:r>
      <w:r>
        <w:t xml:space="preserve">mechanism requires less. Northness tests aspect, and aspect carries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6"/>
    <w:bookmarkStart w:id="67" w:name="the-wind-claim"/>
    <w:p>
      <w:pPr>
        <w:pStyle w:val="Heading2"/>
      </w:pPr>
      <w:r>
        <w:t xml:space="preserve">5.3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-0.049 for stem density and -0.017 for standing volume, both negative,</w:t>
      </w:r>
      <w:r>
        <w:t xml:space="preserve"> </w:t>
      </w:r>
      <w:r>
        <w:t xml:space="preserve">at p &lt; 0.001 and p = 0.038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+0.032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 basal area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7"/>
    <w:bookmarkStart w:id="68"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-0.005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8"/>
    <w:bookmarkStart w:id="69" w:name="what-stays-confounded"/>
    <w:p>
      <w:pPr>
        <w:pStyle w:val="Heading2"/>
      </w:pPr>
      <w:r>
        <w:t xml:space="preserve">5.5 What stays confounded</w:t>
      </w:r>
    </w:p>
    <w:p>
      <w:pPr>
        <w:pStyle w:val="FirstParagraph"/>
      </w:pPr>
      <w:r>
        <w:t xml:space="preserve">Elevation is among the largest terms in the model, +0.337, and elevation is not</w:t>
      </w:r>
      <w:r>
        <w:t xml:space="preserve"> </w:t>
      </w:r>
      <w:r>
        <w:t xml:space="preserve">one 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9"/>
    <w:bookmarkEnd w:id="70"/>
    <w:bookmarkStart w:id="71"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-0.049 for stem density</w:t>
      </w:r>
      <w:r>
        <w:t xml:space="preserve"> </w:t>
      </w:r>
      <w:r>
        <w:t xml:space="preserve">and -0.017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w:t>
      </w:r>
      <w:r>
        <w:t xml:space="preserve"> </w:t>
      </w:r>
      <w:r>
        <w:t xml:space="preserve">basal area, +0.504, with live stems agreeing in sign and crown closure alone running</w:t>
      </w:r>
      <w:r>
        <w:t xml:space="preserve"> </w:t>
      </w:r>
      <w:r>
        <w:t xml:space="preserve">the other way, and large-diameter host holds as a threshold at 25 to 30 cm rather than as a</w:t>
      </w:r>
      <w:r>
        <w:t xml:space="preserve"> </w:t>
      </w:r>
      <w:r>
        <w:t xml:space="preserve">slope, at the source-sink boundary of</w:t>
      </w:r>
      <w:r>
        <w:t xml:space="preserve"> </w:t>
      </w:r>
      <w:r>
        <w:t xml:space="preserve">Carroll &amp; Safranyik (2004)</w:t>
      </w:r>
      <w:r>
        <w:t xml:space="preserve">. Topographic shading does not hold, and it</w:t>
      </w:r>
      <w:r>
        <w:t xml:space="preserve"> </w:t>
      </w:r>
      <w:r>
        <w:t xml:space="preserve">fails on a surrogate: growing-season radiation did not survive selection, so the pathway is</w:t>
      </w:r>
      <w:r>
        <w:t xml:space="preserve"> </w:t>
      </w:r>
      <w:r>
        <w:t xml:space="preserve">carried by northness, +0.305, which correlates</w:t>
      </w:r>
      <w:r>
        <w:t xml:space="preserve"> </w:t>
      </w:r>
      <w:r>
        <w:t xml:space="preserve">-0.824 with it.</w:t>
      </w:r>
    </w:p>
    <w:p>
      <w:pPr>
        <w:pStyle w:val="BodyText"/>
      </w:pPr>
      <w:r>
        <w:t xml:space="preserve">Two measurement results travel beyond this landscape, and both concern variables that look</w:t>
      </w:r>
      <w:r>
        <w:t xml:space="preserve"> </w:t>
      </w:r>
      <w:r>
        <w:t xml:space="preserve">like one thing and behave as another.</w:t>
      </w:r>
    </w:p>
    <w:p>
      <w:pPr>
        <w:pStyle w:val="BodyText"/>
      </w:pPr>
      <w:r>
        <w:t xml:space="preserve">A terrain wind index is partly a measurement of sunlight. Entering flight-window radiation</w:t>
      </w:r>
      <w:r>
        <w:t xml:space="preserve"> </w:t>
      </w:r>
      <w:r>
        <w:t xml:space="preserve">weakened the density by terrain-exposure interaction from -0.068 to -0.040.</w:t>
      </w:r>
      <w:r>
        <w:t xml:space="preserve"> </w:t>
      </w:r>
      <w:r>
        <w:t xml:space="preserve">On any range whose prevailing bearing puts the windward slopes into the afternoon sun, and</w:t>
      </w:r>
      <w:r>
        <w:t xml:space="preserve"> </w:t>
      </w:r>
      <w:r>
        <w:t xml:space="preserve">that is most of them, a study entering a windward-leeward index without a radiation term on</w:t>
      </w:r>
      <w:r>
        <w:t xml:space="preserve"> </w:t>
      </w:r>
      <w:r>
        <w:t xml:space="preserve">the same clock will attribute radiation to wind.</w:t>
      </w:r>
    </w:p>
    <w:p>
      <w:pPr>
        <w:pStyle w:val="BodyText"/>
      </w:pPr>
      <w:r>
        <w:t xml:space="preserve">A landform variable in a spreading outbreak partly records where the outbreak has already</w:t>
      </w:r>
      <w:r>
        <w:t xml:space="preserve"> </w:t>
      </w:r>
      <w:r>
        <w:t xml:space="preserve">been. Entering previous-year attack left valley depth retaining 0.18 of</w:t>
      </w:r>
      <w:r>
        <w:t xml:space="preserve"> </w:t>
      </w:r>
      <w:r>
        <w:t xml:space="preserve">its coefficient and moved mid-slope position to 1.35, against</w:t>
      </w:r>
      <w:r>
        <w:t xml:space="preserve"> </w:t>
      </w:r>
      <w:r>
        <w:t xml:space="preserve">1.23 for ruggedness, which describes a condition a cell holds whether or not the</w:t>
      </w:r>
      <w:r>
        <w:t xml:space="preserve"> </w:t>
      </w:r>
      <w:r>
        <w:t xml:space="preserve">beetle ever arrived. Landform terms fitted without a contagion term are not measuring</w:t>
      </w:r>
      <w:r>
        <w:t xml:space="preserve"> </w:t>
      </w:r>
      <w:r>
        <w:t xml:space="preserve">landform alone.</w:t>
      </w:r>
    </w:p>
    <w:bookmarkEnd w:id="71"/>
    <w:bookmarkStart w:id="72"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-0.595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the pathway is carried by northness, which correlates</w:t>
      </w:r>
      <w:r>
        <w:t xml:space="preserve"> </w:t>
      </w:r>
      <w:r>
        <w:t xml:space="preserve">-0.824 with it. Northness tests aspect, aspect carries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+0.001,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Total basal area discriminates only weakly on its own,</w:t>
      </w:r>
      <w:r>
        <w:t xml:space="preserve"> </w:t>
      </w:r>
      <w:r>
        <w:t xml:space="preserve">0.603, and on the 2025 composite it did not</w:t>
      </w:r>
      <w:r>
        <w:t xml:space="preserve"> </w:t>
      </w:r>
      <w:r>
        <w:t xml:space="preserve">discriminate at all; matching each year to its own snapshot is what recovered it.</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72"/>
    <w:bookmarkStart w:id="73"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73"/>
    <w:bookmarkStart w:id="74" w:name="conflict-of-interest"/>
    <w:p>
      <w:pPr>
        <w:pStyle w:val="Heading1"/>
      </w:pPr>
      <w:r>
        <w:t xml:space="preserve">9. Conflict of interest</w:t>
      </w:r>
    </w:p>
    <w:p>
      <w:pPr>
        <w:pStyle w:val="FirstParagraph"/>
      </w:pPr>
      <w:r>
        <w:t xml:space="preserve">The author declares no conflict of interest.</w:t>
      </w:r>
    </w:p>
    <w:bookmarkEnd w:id="74"/>
    <w:bookmarkStart w:id="75"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5"/>
    <w:bookmarkStart w:id="76"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6"/>
    <w:bookmarkStart w:id="78"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7">
        <w:r>
          <w:rPr>
            <w:rStyle w:val="Hyperlink"/>
          </w:rPr>
          <w:t xml:space="preserve">https://github.com/seamusrobertmurphy/beetle-topography-and-wind-study</w:t>
        </w:r>
      </w:hyperlink>
      <w:r>
        <w:t xml:space="preserve">.</w:t>
      </w:r>
    </w:p>
    <w:bookmarkEnd w:id="78"/>
    <w:bookmarkStart w:id="79" w:name="figure-legends"/>
    <w:p>
      <w:pPr>
        <w:pStyle w:val="Heading1"/>
      </w:pPr>
      <w:r>
        <w:t xml:space="preserve">13. Figure legends</w:t>
      </w:r>
    </w:p>
    <w:p>
      <w:pPr>
        <w:pStyle w:val="FirstParagraph"/>
      </w:pPr>
      <w:r>
        <w:rPr>
          <w:b/>
          <w:bCs/>
        </w:rPr>
        <w:t xml:space="preserve">Figure 1.</w:t>
      </w:r>
      <w:r>
        <w:t xml:space="preserve"> </w:t>
      </w:r>
      <w:r>
        <w:t xml:space="preserve">Landscape, terrain and stand surfaces across the study area, all EPSG:3153 at</w:t>
      </w:r>
      <w:r>
        <w:t xml:space="preserve"> </w:t>
      </w:r>
      <w:r>
        <w:t xml:space="preserve">30 m over Esri World Shaded Relief, which is reproduced under Esri’s attribution</w:t>
      </w:r>
      <w:r>
        <w:t xml:space="preserve"> </w:t>
      </w:r>
      <w:r>
        <w:t xml:space="preserve">requirement. (a) elevation; (b) terrain ruggedness index; (c) windward-leeward index at the</w:t>
      </w:r>
      <w:r>
        <w:t xml:space="preserve"> </w:t>
      </w:r>
      <w:r>
        <w:t xml:space="preserve">prevailing bearing; (d) flight-window direct radiation, the thermal gate on flight;</w:t>
      </w:r>
      <w:r>
        <w:t xml:space="preserve"> </w:t>
      </w:r>
      <w:r>
        <w:t xml:space="preserve">(e) growing-season direct radiation, the shading pathway; (f) the MicroMet wind weighting</w:t>
      </w:r>
      <w:r>
        <w:t xml:space="preserve"> </w:t>
      </w:r>
      <w:r>
        <w:t xml:space="preserve">factor at the prevailing bearing; (g) stand basal area; (h) quadratic mean diameter, whose</w:t>
      </w:r>
      <w:r>
        <w:t xml:space="preserve"> </w:t>
      </w:r>
      <w:r>
        <w:t xml:space="preserve">25 cm source-sink threshold falls near the midpoint of the scale; (i) live stems per</w:t>
      </w:r>
      <w:r>
        <w:t xml:space="preserve"> </w:t>
      </w:r>
      <w:r>
        <w:t xml:space="preserve">hectare. The white outline is the study perimeter and the red outline the 2015 Mt Midgeley</w:t>
      </w:r>
      <w:r>
        <w:t xml:space="preserve"> </w:t>
      </w:r>
      <w:r>
        <w:t xml:space="preserve">burn. Kootenay Lake and the Kootenay River are from the British Columbia Freshwater Atlas.</w:t>
      </w:r>
      <w:r>
        <w:t xml:space="preserve"> </w:t>
      </w:r>
      <w:r>
        <w:t xml:space="preserve">Contours are at 200 m. Every panel carries its own north arrow and the same numerical scale,</w:t>
      </w:r>
      <w:r>
        <w:t xml:space="preserve"> </w:t>
      </w:r>
      <w:r>
        <w:t xml:space="preserve">1:150,000, which holds at a printed panel width of 66 mm. The surfaces are drawn unclipped,</w:t>
      </w:r>
      <w:r>
        <w:t xml:space="preserve"> </w:t>
      </w:r>
      <w:r>
        <w:t xml:space="preserve">so they extend beyond the perimeter within which the models are fitted.</w:t>
      </w:r>
    </w:p>
    <w:p>
      <w:pPr>
        <w:pStyle w:val="BodyText"/>
      </w:pPr>
      <w:r>
        <w:rPr>
          <w:b/>
          <w:bCs/>
        </w:rPr>
        <w:t xml:space="preserve">Figure 2.</w:t>
      </w:r>
      <w:r>
        <w:t xml:space="preserve"> </w:t>
      </w:r>
      <w:r>
        <w:t xml:space="preserve">The flight window against the landscape’s own climate, from hourly Environment</w:t>
      </w:r>
      <w:r>
        <w:t xml:space="preserve"> </w:t>
      </w:r>
      <w:r>
        <w:t xml:space="preserve">and Climate Change Canada station records for May to September of the nine study years. The</w:t>
      </w:r>
      <w:r>
        <w:t xml:space="preserve"> </w:t>
      </w:r>
      <w:r>
        <w:t xml:space="preserve">window, 1 July to 15 August, is the shaded band; it is taken from the bionomics and is not</w:t>
      </w:r>
      <w:r>
        <w:t xml:space="preserve"> </w:t>
      </w:r>
      <w:r>
        <w:t xml:space="preserve">fitted to these data. (a) Mean afternoon temperature by day of year, with the 19 to 41</w:t>
      </w:r>
      <w:r>
        <w:t xml:space="preserve"> </w:t>
      </w:r>
      <w:r>
        <w:t xml:space="preserve">degrees C flight gate and the 22 to 32 degrees C peak band marked. (b) The share of afternoon</w:t>
      </w:r>
      <w:r>
        <w:t xml:space="preserve"> </w:t>
      </w:r>
      <w:r>
        <w:t xml:space="preserve">hours falling inside the flight gate, day by day. (c) The diurnal curve: mean temperature and</w:t>
      </w:r>
      <w:r>
        <w:t xml:space="preserve"> </w:t>
      </w:r>
      <w:r>
        <w:t xml:space="preserve">the share of all hours inside the gate, by hour, with the 12:00 to 17:00 restriction shaded.</w:t>
      </w:r>
      <w:r>
        <w:t xml:space="preserve"> </w:t>
      </w:r>
      <w:r>
        <w:t xml:space="preserve">(d) Mean wind speed by hour, on the same axis, showing that the hours the beetle can fly are</w:t>
      </w:r>
      <w:r>
        <w:t xml:space="preserve"> </w:t>
      </w:r>
      <w:r>
        <w:t xml:space="preserve">also the windiest of the day.</w:t>
      </w:r>
    </w:p>
    <w:p>
      <w:pPr>
        <w:pStyle w:val="BodyText"/>
      </w:pPr>
      <w:r>
        <w:rPr>
          <w:b/>
          <w:bCs/>
        </w:rPr>
        <w:t xml:space="preserve">Figure 3.</w:t>
      </w:r>
      <w:r>
        <w:t xml:space="preserve"> </w:t>
      </w:r>
      <w:r>
        <w:t xml:space="preserve">The refugia mechanism as fitted. (a) Predicted probability of moderate-to-high</w:t>
      </w:r>
      <w:r>
        <w:t xml:space="preserve"> </w:t>
      </w:r>
      <w:r>
        <w:t xml:space="preserve">disturbance against terrain-resolved epoch wind, at the 10th and 90th percentiles of stem</w:t>
      </w:r>
      <w:r>
        <w:t xml:space="preserve"> </w:t>
      </w:r>
      <w:r>
        <w:t xml:space="preserve">density, all other terms held at their means; the lines cross, so wind raises attack in thin</w:t>
      </w:r>
      <w:r>
        <w:t xml:space="preserve"> </w:t>
      </w:r>
      <w:r>
        <w:t xml:space="preserve">stands and lowers it in dense ones, which is the interaction. (b) The same for standing</w:t>
      </w:r>
      <w:r>
        <w:t xml:space="preserve"> </w:t>
      </w:r>
      <w:r>
        <w:t xml:space="preserve">volume, where the interaction is a fifth the size and attenuates the dense-stand slope</w:t>
      </w:r>
      <w:r>
        <w:t xml:space="preserve"> </w:t>
      </w:r>
      <w:r>
        <w:t xml:space="preserve">without reversing it, so the lines converge rather than cross over the observed range.</w:t>
      </w:r>
      <w:r>
        <w:t xml:space="preserve"> </w:t>
      </w:r>
      <w:r>
        <w:t xml:space="preserve">(c) Coefficients of the 16-day model, with and without the within-season spread term.</w:t>
      </w:r>
      <w:r>
        <w:t xml:space="preserve"> </w:t>
      </w:r>
      <w:r>
        <w:t xml:space="preserve">(d) Epoch prevalence against epoch mean wind, one point per epoch, years distinguished by</w:t>
      </w:r>
      <w:r>
        <w:t xml:space="preserve"> </w:t>
      </w:r>
      <w:r>
        <w:t xml:space="preserve">both shape and shade so the panel survives black-and-white printing.</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9"/>
    <w:bookmarkStart w:id="120" w:name="references"/>
    <w:p>
      <w:pPr>
        <w:pStyle w:val="Heading1"/>
      </w:pPr>
      <w:r>
        <w:t xml:space="preserve">14. References</w:t>
      </w:r>
    </w:p>
    <w:bookmarkStart w:id="119" w:name="refs"/>
    <w:bookmarkStart w:id="81"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80">
        <w:r>
          <w:rPr>
            <w:rStyle w:val="Hyperlink"/>
          </w:rPr>
          <w:t xml:space="preserve">https://doi.org/10.1007/s10453-010-9176-9</w:t>
        </w:r>
      </w:hyperlink>
    </w:p>
    <w:bookmarkEnd w:id="81"/>
    <w:bookmarkStart w:id="83" w:name="ref-badger2014"/>
    <w:p>
      <w:pPr>
        <w:pStyle w:val="Bibliography"/>
      </w:pPr>
      <w:r>
        <w:t xml:space="preserve">Badger, J., Frank, H., Hahmann, A. N., &amp; Giebel, G. (2014). Wind-climate estimation based on mesoscale and microscale modeling: Statistical–dynamical downscaling for wind energy applications.</w:t>
      </w:r>
      <w:r>
        <w:t xml:space="preserve"> </w:t>
      </w:r>
      <w:r>
        <w:rPr>
          <w:i/>
          <w:iCs/>
        </w:rPr>
        <w:t xml:space="preserve">Journal of Applied Meteorology and Climatology</w:t>
      </w:r>
      <w:r>
        <w:t xml:space="preserve">,</w:t>
      </w:r>
      <w:r>
        <w:t xml:space="preserve"> </w:t>
      </w:r>
      <w:r>
        <w:rPr>
          <w:i/>
          <w:iCs/>
        </w:rPr>
        <w:t xml:space="preserve">53</w:t>
      </w:r>
      <w:r>
        <w:t xml:space="preserve">(8), 1901–1919.</w:t>
      </w:r>
      <w:r>
        <w:t xml:space="preserve"> </w:t>
      </w:r>
      <w:hyperlink r:id="rId82">
        <w:r>
          <w:rPr>
            <w:rStyle w:val="Hyperlink"/>
          </w:rPr>
          <w:t xml:space="preserve">https://doi.org/10.1175/JAMC-D-13-0147.1</w:t>
        </w:r>
      </w:hyperlink>
    </w:p>
    <w:bookmarkEnd w:id="83"/>
    <w:bookmarkStart w:id="85"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No. INT-400). Ogden, UT: U.S. Department of Agriculture, Forest Service, Intermountain Research Station.</w:t>
      </w:r>
      <w:r>
        <w:t xml:space="preserve"> </w:t>
      </w:r>
      <w:hyperlink r:id="rId84">
        <w:r>
          <w:rPr>
            <w:rStyle w:val="Hyperlink"/>
          </w:rPr>
          <w:t xml:space="preserve">https://doi.org/10.2737/int-rp-400</w:t>
        </w:r>
      </w:hyperlink>
    </w:p>
    <w:bookmarkEnd w:id="85"/>
    <w:bookmarkStart w:id="86"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21–32). Victoria, British Columbia:</w:t>
      </w:r>
      <w:r>
        <w:t xml:space="preserve"> </w:t>
      </w:r>
      <w:r>
        <w:t xml:space="preserve">Natural Resources Canada, Canadian Forest Service, Pacific Forestry Centre</w:t>
      </w:r>
      <w:r>
        <w:t xml:space="preserve">.</w:t>
      </w:r>
    </w:p>
    <w:bookmarkEnd w:id="86"/>
    <w:bookmarkStart w:id="88"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87">
        <w:r>
          <w:rPr>
            <w:rStyle w:val="Hyperlink"/>
          </w:rPr>
          <w:t xml:space="preserve">https://doi.org/10.3390/f9110715</w:t>
        </w:r>
      </w:hyperlink>
    </w:p>
    <w:bookmarkEnd w:id="88"/>
    <w:bookmarkStart w:id="90"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9">
        <w:r>
          <w:rPr>
            <w:rStyle w:val="Hyperlink"/>
          </w:rPr>
          <w:t xml:space="preserve">https://doi.org/10.1111/jen.13262</w:t>
        </w:r>
      </w:hyperlink>
    </w:p>
    <w:bookmarkEnd w:id="90"/>
    <w:bookmarkStart w:id="92" w:name="ref-davis2023"/>
    <w:p>
      <w:pPr>
        <w:pStyle w:val="Bibliography"/>
      </w:pPr>
      <w:r>
        <w:t xml:space="preserve">Davis, N. N., Badger, J., Hahmann, A. N., Hansen, B. O., Mortensen, N. G., Kelly, M., … Drummond, R. (2023). The</w:t>
      </w:r>
      <w:r>
        <w:t xml:space="preserve"> </w:t>
      </w:r>
      <w:r>
        <w:t xml:space="preserve">Global Wind Atlas</w:t>
      </w:r>
      <w:r>
        <w:t xml:space="preserve">: A high-resolution dataset of climatologies and associated web-based application.</w:t>
      </w:r>
      <w:r>
        <w:t xml:space="preserve"> </w:t>
      </w:r>
      <w:r>
        <w:rPr>
          <w:i/>
          <w:iCs/>
        </w:rPr>
        <w:t xml:space="preserve">Bulletin of the American Meteorological Society</w:t>
      </w:r>
      <w:r>
        <w:t xml:space="preserve">,</w:t>
      </w:r>
      <w:r>
        <w:t xml:space="preserve"> </w:t>
      </w:r>
      <w:r>
        <w:rPr>
          <w:i/>
          <w:iCs/>
        </w:rPr>
        <w:t xml:space="preserve">104</w:t>
      </w:r>
      <w:r>
        <w:t xml:space="preserve">(8), E1507–E1525.</w:t>
      </w:r>
      <w:r>
        <w:t xml:space="preserve"> </w:t>
      </w:r>
      <w:hyperlink r:id="rId91">
        <w:r>
          <w:rPr>
            <w:rStyle w:val="Hyperlink"/>
          </w:rPr>
          <w:t xml:space="preserve">https://doi.org/10.1175/BAMS-D-21-0075.1</w:t>
        </w:r>
      </w:hyperlink>
    </w:p>
    <w:bookmarkEnd w:id="92"/>
    <w:bookmarkStart w:id="94"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93">
        <w:r>
          <w:rPr>
            <w:rStyle w:val="Hyperlink"/>
          </w:rPr>
          <w:t xml:space="preserve">https://doi.org/10.1111/j.1439-0418.1972.tb01745.x</w:t>
        </w:r>
      </w:hyperlink>
    </w:p>
    <w:bookmarkEnd w:id="94"/>
    <w:bookmarkStart w:id="96"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95">
        <w:r>
          <w:rPr>
            <w:rStyle w:val="Hyperlink"/>
          </w:rPr>
          <w:t xml:space="preserve">https://doi.org/10.1007/s00442-022-05129-4</w:t>
        </w:r>
      </w:hyperlink>
    </w:p>
    <w:bookmarkEnd w:id="96"/>
    <w:bookmarkStart w:id="98"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97">
        <w:r>
          <w:rPr>
            <w:rStyle w:val="Hyperlink"/>
          </w:rPr>
          <w:t xml:space="preserve">https://doi.org/10.1139/X08-066</w:t>
        </w:r>
      </w:hyperlink>
    </w:p>
    <w:bookmarkEnd w:id="98"/>
    <w:bookmarkStart w:id="100"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99">
        <w:r>
          <w:rPr>
            <w:rStyle w:val="Hyperlink"/>
          </w:rPr>
          <w:t xml:space="preserve">https://doi.org/10.1139/cjfr-2018-0304</w:t>
        </w:r>
      </w:hyperlink>
    </w:p>
    <w:bookmarkEnd w:id="100"/>
    <w:bookmarkStart w:id="102" w:name="ref-krawchuk2020"/>
    <w:p>
      <w:pPr>
        <w:pStyle w:val="Bibliography"/>
      </w:pPr>
      <w:r>
        <w:t xml:space="preserve">Krawchuk, M. A., Meigs, G. W., Cartwright, J. M., Coop, J. D., Davis, R., Holz, A., …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101">
        <w:r>
          <w:rPr>
            <w:rStyle w:val="Hyperlink"/>
          </w:rPr>
          <w:t xml:space="preserve">https://doi.org/10.1002/fee.2190</w:t>
        </w:r>
      </w:hyperlink>
    </w:p>
    <w:bookmarkEnd w:id="102"/>
    <w:bookmarkStart w:id="104"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03">
        <w:r>
          <w:rPr>
            <w:rStyle w:val="Hyperlink"/>
          </w:rPr>
          <w:t xml:space="preserve">https://doi.org/10.1175/JHM486.1</w:t>
        </w:r>
      </w:hyperlink>
    </w:p>
    <w:bookmarkEnd w:id="104"/>
    <w:bookmarkStart w:id="106"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05">
        <w:r>
          <w:rPr>
            <w:rStyle w:val="Hyperlink"/>
          </w:rPr>
          <w:t xml:space="preserve">https://doi.org/10.1093/aesa/64.2.534</w:t>
        </w:r>
      </w:hyperlink>
    </w:p>
    <w:bookmarkEnd w:id="106"/>
    <w:bookmarkStart w:id="108"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07">
        <w:r>
          <w:rPr>
            <w:rStyle w:val="Hyperlink"/>
          </w:rPr>
          <w:t xml:space="preserve">https://doi.org/10.1111/j.1654-1103.2002.tb02087.x</w:t>
        </w:r>
      </w:hyperlink>
    </w:p>
    <w:bookmarkEnd w:id="108"/>
    <w:bookmarkStart w:id="110"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09">
        <w:r>
          <w:rPr>
            <w:rStyle w:val="Hyperlink"/>
          </w:rPr>
          <w:t xml:space="preserve">https://doi.org/10.1016/j.foreco.2026.123985</w:t>
        </w:r>
      </w:hyperlink>
    </w:p>
    <w:bookmarkEnd w:id="110"/>
    <w:bookmarkStart w:id="112"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 Retrieved from</w:t>
      </w:r>
      <w:r>
        <w:t xml:space="preserve"> </w:t>
      </w:r>
      <w:hyperlink r:id="rId111">
        <w:r>
          <w:rPr>
            <w:rStyle w:val="Hyperlink"/>
          </w:rPr>
          <w:t xml:space="preserve">https://open.canada.ca/data/en/dataset/957782bf-847c-4644-a757-e383c0057995</w:t>
        </w:r>
      </w:hyperlink>
    </w:p>
    <w:bookmarkEnd w:id="112"/>
    <w:bookmarkStart w:id="114"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13">
        <w:r>
          <w:rPr>
            <w:rStyle w:val="Hyperlink"/>
          </w:rPr>
          <w:t xml:space="preserve">https://doi.org/10.1016/j.ecolmodel.2013.10.034</w:t>
        </w:r>
      </w:hyperlink>
    </w:p>
    <w:bookmarkEnd w:id="114"/>
    <w:bookmarkStart w:id="115"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 Victoria, British Columbia:</w:t>
      </w:r>
      <w:r>
        <w:t xml:space="preserve"> </w:t>
      </w:r>
      <w:r>
        <w:t xml:space="preserve">Natural Resources Canada, Canadian Forest Service, Pacific Forestry Centre</w:t>
      </w:r>
      <w:r>
        <w:t xml:space="preserve">.</w:t>
      </w:r>
    </w:p>
    <w:bookmarkEnd w:id="115"/>
    <w:bookmarkStart w:id="117"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16">
        <w:r>
          <w:rPr>
            <w:rStyle w:val="Hyperlink"/>
          </w:rPr>
          <w:t xml:space="preserve">https://doi.org/10.1079/PAVSNNR202116018</w:t>
        </w:r>
      </w:hyperlink>
    </w:p>
    <w:bookmarkEnd w:id="117"/>
    <w:bookmarkStart w:id="118"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41–51). Victoria, British Columbia: Natural Resources Canada, Canadian Forest Service, Pacific Forestry Centre.</w:t>
      </w:r>
    </w:p>
    <w:bookmarkEnd w:id="118"/>
    <w:bookmarkEnd w:id="119"/>
    <w:bookmarkEnd w:id="120"/>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hyperlink" Id="rId101" Target="https://doi.org/10.1002/fee.2190" TargetMode="External" /><Relationship Type="http://schemas.openxmlformats.org/officeDocument/2006/relationships/hyperlink" Id="rId95" Target="https://doi.org/10.1007/s00442-022-05129-4" TargetMode="External" /><Relationship Type="http://schemas.openxmlformats.org/officeDocument/2006/relationships/hyperlink" Id="rId80" Target="https://doi.org/10.1007/s10453-010-9176-9" TargetMode="External" /><Relationship Type="http://schemas.openxmlformats.org/officeDocument/2006/relationships/hyperlink" Id="rId113" Target="https://doi.org/10.1016/j.ecolmodel.2013.10.034" TargetMode="External" /><Relationship Type="http://schemas.openxmlformats.org/officeDocument/2006/relationships/hyperlink" Id="rId109" Target="https://doi.org/10.1016/j.foreco.2026.123985" TargetMode="External" /><Relationship Type="http://schemas.openxmlformats.org/officeDocument/2006/relationships/hyperlink" Id="rId116" Target="https://doi.org/10.1079/PAVSNNR202116018" TargetMode="External" /><Relationship Type="http://schemas.openxmlformats.org/officeDocument/2006/relationships/hyperlink" Id="rId105" Target="https://doi.org/10.1093/aesa/64.2.534" TargetMode="External" /><Relationship Type="http://schemas.openxmlformats.org/officeDocument/2006/relationships/hyperlink" Id="rId93" Target="https://doi.org/10.1111/j.1439-0418.1972.tb01745.x" TargetMode="External" /><Relationship Type="http://schemas.openxmlformats.org/officeDocument/2006/relationships/hyperlink" Id="rId107" Target="https://doi.org/10.1111/j.1654-1103.2002.tb02087.x" TargetMode="External" /><Relationship Type="http://schemas.openxmlformats.org/officeDocument/2006/relationships/hyperlink" Id="rId89" Target="https://doi.org/10.1111/jen.13262" TargetMode="External" /><Relationship Type="http://schemas.openxmlformats.org/officeDocument/2006/relationships/hyperlink" Id="rId97" Target="https://doi.org/10.1139/X08-066" TargetMode="External" /><Relationship Type="http://schemas.openxmlformats.org/officeDocument/2006/relationships/hyperlink" Id="rId99" Target="https://doi.org/10.1139/cjfr-2018-0304" TargetMode="External" /><Relationship Type="http://schemas.openxmlformats.org/officeDocument/2006/relationships/hyperlink" Id="rId91" Target="https://doi.org/10.1175/BAMS-D-21-0075.1" TargetMode="External" /><Relationship Type="http://schemas.openxmlformats.org/officeDocument/2006/relationships/hyperlink" Id="rId82" Target="https://doi.org/10.1175/JAMC-D-13-0147.1" TargetMode="External" /><Relationship Type="http://schemas.openxmlformats.org/officeDocument/2006/relationships/hyperlink" Id="rId103" Target="https://doi.org/10.1175/JHM486.1" TargetMode="External" /><Relationship Type="http://schemas.openxmlformats.org/officeDocument/2006/relationships/hyperlink" Id="rId84" Target="https://doi.org/10.2737/int-rp-400" TargetMode="External" /><Relationship Type="http://schemas.openxmlformats.org/officeDocument/2006/relationships/hyperlink" Id="rId87" Target="https://doi.org/10.3390/f9110715" TargetMode="External" /><Relationship Type="http://schemas.openxmlformats.org/officeDocument/2006/relationships/hyperlink" Id="rId77" Target="https://github.com/seamusrobertmurphy/beetle-topography-and-wind-study" TargetMode="External" /><Relationship Type="http://schemas.openxmlformats.org/officeDocument/2006/relationships/hyperlink" Id="rId111"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01" Target="https://doi.org/10.1002/fee.2190" TargetMode="External" /><Relationship Type="http://schemas.openxmlformats.org/officeDocument/2006/relationships/hyperlink" Id="rId95" Target="https://doi.org/10.1007/s00442-022-05129-4" TargetMode="External" /><Relationship Type="http://schemas.openxmlformats.org/officeDocument/2006/relationships/hyperlink" Id="rId80" Target="https://doi.org/10.1007/s10453-010-9176-9" TargetMode="External" /><Relationship Type="http://schemas.openxmlformats.org/officeDocument/2006/relationships/hyperlink" Id="rId113" Target="https://doi.org/10.1016/j.ecolmodel.2013.10.034" TargetMode="External" /><Relationship Type="http://schemas.openxmlformats.org/officeDocument/2006/relationships/hyperlink" Id="rId109" Target="https://doi.org/10.1016/j.foreco.2026.123985" TargetMode="External" /><Relationship Type="http://schemas.openxmlformats.org/officeDocument/2006/relationships/hyperlink" Id="rId116" Target="https://doi.org/10.1079/PAVSNNR202116018" TargetMode="External" /><Relationship Type="http://schemas.openxmlformats.org/officeDocument/2006/relationships/hyperlink" Id="rId105" Target="https://doi.org/10.1093/aesa/64.2.534" TargetMode="External" /><Relationship Type="http://schemas.openxmlformats.org/officeDocument/2006/relationships/hyperlink" Id="rId93" Target="https://doi.org/10.1111/j.1439-0418.1972.tb01745.x" TargetMode="External" /><Relationship Type="http://schemas.openxmlformats.org/officeDocument/2006/relationships/hyperlink" Id="rId107" Target="https://doi.org/10.1111/j.1654-1103.2002.tb02087.x" TargetMode="External" /><Relationship Type="http://schemas.openxmlformats.org/officeDocument/2006/relationships/hyperlink" Id="rId89" Target="https://doi.org/10.1111/jen.13262" TargetMode="External" /><Relationship Type="http://schemas.openxmlformats.org/officeDocument/2006/relationships/hyperlink" Id="rId97" Target="https://doi.org/10.1139/X08-066" TargetMode="External" /><Relationship Type="http://schemas.openxmlformats.org/officeDocument/2006/relationships/hyperlink" Id="rId99" Target="https://doi.org/10.1139/cjfr-2018-0304" TargetMode="External" /><Relationship Type="http://schemas.openxmlformats.org/officeDocument/2006/relationships/hyperlink" Id="rId91" Target="https://doi.org/10.1175/BAMS-D-21-0075.1" TargetMode="External" /><Relationship Type="http://schemas.openxmlformats.org/officeDocument/2006/relationships/hyperlink" Id="rId82" Target="https://doi.org/10.1175/JAMC-D-13-0147.1" TargetMode="External" /><Relationship Type="http://schemas.openxmlformats.org/officeDocument/2006/relationships/hyperlink" Id="rId103" Target="https://doi.org/10.1175/JHM486.1" TargetMode="External" /><Relationship Type="http://schemas.openxmlformats.org/officeDocument/2006/relationships/hyperlink" Id="rId84" Target="https://doi.org/10.2737/int-rp-400" TargetMode="External" /><Relationship Type="http://schemas.openxmlformats.org/officeDocument/2006/relationships/hyperlink" Id="rId87" Target="https://doi.org/10.3390/f9110715" TargetMode="External" /><Relationship Type="http://schemas.openxmlformats.org/officeDocument/2006/relationships/hyperlink" Id="rId77" Target="https://github.com/seamusrobertmurphy/beetle-topography-and-wind-study" TargetMode="External" /><Relationship Type="http://schemas.openxmlformats.org/officeDocument/2006/relationships/hyperlink" Id="rId111"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dcterms:created xsi:type="dcterms:W3CDTF">2026-08-29T07:02:50Z</dcterms:created>
  <dcterms:modified xsi:type="dcterms:W3CDTF">2026-08-29T07:02:50Z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../04.references/apa-6th-edition.csl</vt:lpwstr>
  </property>
  <property fmtid="{D5CDD505-2E9C-101B-9397-08002B2CF9AE}" pid="8" name="date">
    <vt:lpwstr>2026-08-29</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