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Tables</w:t>
      </w:r>
    </w:p>
    <w:bookmarkStart w:id="20" w:name="table-1"/>
    <w:p>
      <w:pPr>
        <w:pStyle w:val="Heading1"/>
      </w:pPr>
      <w:r>
        <w:t xml:space="preserve">Table 1</w:t>
      </w:r>
    </w:p>
    <w:p>
      <w:pPr>
        <w:pStyle w:val="FirstParagraph"/>
      </w:pPr>
      <w:r>
        <w:t xml:space="preserve">The datasets this study combines, with the structure and resolution of each. Every count is</w:t>
      </w:r>
      <w:r>
        <w:t xml:space="preserve"> </w:t>
      </w:r>
      <w:r>
        <w:t xml:space="preserve">read from the files at render time. Spatial resolution is the grid the variable is analysed</w:t>
      </w:r>
      <w:r>
        <w:t xml:space="preserve"> </w:t>
      </w:r>
      <w:r>
        <w:t xml:space="preserve">on; temporal resolution is the interval at which it varies. Note that the response varies</w:t>
      </w:r>
      <w:r>
        <w:t xml:space="preserve"> </w:t>
      </w:r>
      <w:r>
        <w:t xml:space="preserve">every 16 days, the inventory once a year and the terrain not at all, which is the asymmetry</w:t>
      </w:r>
      <w:r>
        <w:t xml:space="preserve"> </w:t>
      </w:r>
      <w:r>
        <w:t xml:space="preserve">the wind analysis turns on.</w:t>
      </w:r>
    </w:p>
    <w:tbl>
      <w:tblPr>
        <w:tblStyle w:val="Table"/>
        <w:tblLook w:firstRow="1" w:lastRow="0" w:firstColumn="0" w:lastColumn="0" w:noHBand="0" w:noVBand="0" w:val="0020"/>
        <w:tblW w:w="9354" w:type="dxa"/>
        <w:tblLayout w:type="fixed"/>
      </w:tblPr>
      <w:tblGrid>
        <w:gridCol w:w="1018"/>
        <w:gridCol w:w="1772"/>
        <w:gridCol w:w="2414"/>
        <w:gridCol w:w="1056"/>
        <w:gridCol w:w="1170"/>
        <w:gridCol w:w="1056"/>
        <w:gridCol w:w="868"/>
      </w:tblGrid>
      <w:tr>
        <w:trPr>
          <w:tblHeader w:val="on"/>
          <w:trHeight w:val="624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Dataset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Variables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Spatial resolution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Temporal resolution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Period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Beetle disturbance, annual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Landsat 5 and 8 Collection 2 Level-2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Moderate-to-high disturbance, binary, from NDMI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30 m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 year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2006-2014, excluding 2012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8 years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Beetle disturbance, 16-day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Landsat 5 and 8 Collection 2 Level-2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Moderate-to-high disturbance, binary, from NDMI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30 m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 days, the sensor’s repeat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2006-2014, excluding 2012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59 epochs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Stand structure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VRI Historical, BC Data Catalogue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Basal area, volume, stems, quadratic mean diameter, age, height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Polygon, rasterised to 30 m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 year, projected to each year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2005-2014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9 snapshots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Terrain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NRCan High Resolution DEM, indices by SAGA GIS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29 geomorphometric surfaces incl. radiation, exposure, landform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30 m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29 surfaces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Station wind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Environment and Climate Change Canada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Speed and direction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 to 7 valley stations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 hour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2005-2014, May to September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236,079 hourly records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Terrain-resolved wind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MicroMet over the DEM, driven by station wind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Weighting factor, modified speed, diverted direction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30 m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 days, and 1 year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2005-2014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 direction bins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Modelling table, annual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Assembled by 38-assemble-model-data.R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Response and every covariate, one row per cell-year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30 m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 year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2006-2014, excluding 2012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111,707 cell-years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Modelling table, 16-day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Assembled by 45-epoch-model-data.R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Response and every covariate, one row per cell-epoch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30 m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 days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2006-2014, excluding 2012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66,302 cell-epochs</w:t>
            </w:r>
          </w:p>
        </w:tc>
      </w:tr>
    </w:tbl>
    <w:bookmarkEnd w:id="20"/>
    <w:bookmarkStart w:id="21" w:name="table-2"/>
    <w:p>
      <w:pPr>
        <w:pStyle w:val="Heading1"/>
      </w:pPr>
      <w:r>
        <w:t xml:space="preserve">Table 2</w:t>
      </w:r>
    </w:p>
    <w:p>
      <w:pPr>
        <w:pStyle w:val="FirstParagraph"/>
      </w:pPr>
      <w:r>
        <w:t xml:space="preserve">Landscape attributes entered in this study, the direction expected of each, and the</w:t>
      </w:r>
      <w:r>
        <w:t xml:space="preserve"> </w:t>
      </w:r>
      <w:r>
        <w:t xml:space="preserve">reasoning behind that expectation.</w:t>
      </w:r>
    </w:p>
    <w:tbl>
      <w:tblPr>
        <w:tblStyle w:val="Table"/>
        <w:tblLook w:firstRow="1" w:lastRow="0" w:firstColumn="0" w:lastColumn="0" w:noHBand="0" w:noVBand="0" w:val="0020"/>
        <w:tblW w:w="9354" w:type="dxa"/>
        <w:tblLayout w:type="fixed"/>
      </w:tblPr>
      <w:tblGrid>
        <w:gridCol w:w="2039"/>
        <w:gridCol w:w="1239"/>
        <w:gridCol w:w="6076"/>
      </w:tblGrid>
      <w:tr>
        <w:trPr>
          <w:tblHeader w:val="on"/>
          <w:trHeight w:val="624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Expected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Rationale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Stand basal area, volume, crown closure, stems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positive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Denser canopy holds the pheromone plume together; thinner stands admit wind that disperses it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(Cartwright, 2018; Krawchuk et al., 2020; Powell &amp; Bentz, 2014)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Quadratic mean diameter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positive above 25 cm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Trees under 25 cm are beetle sinks, over 25 cm are sources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(Carroll &amp; Safranyik, 2004)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Lodgepole pine cover and basal area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positive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Attack cannot occur where the host is absent; a cell without pine is not a refugium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(Cartwright, 2018)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Flight-period direct radiation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positive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Flight is gated between 19 and 41 degrees C and peaks on bright afternoons, so sunlit slopes are reachable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(McCambridge, 1971; Safranyik &amp; Carroll, 2006)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Growing-season direct radiation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negative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Shading cools, relieving water stress and funding defence, and cool sites also push the beetle toward a two-year cycle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(Krawchuk et al., 2020; Sambaraju &amp; Goodsman, 2021)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Terrain exposure to wind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negative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Wind disrupts the pheromone plume, so exposed ground should carry less attack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(Krawchuk et al., 2020)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Terrain ruggedness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uncertain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The strongest terrain term in the companion study on this landscape, but fitted there against regeneration rather than attack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(Murphy, Leslie, Wilson, &amp; Banks, 2026)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Convergence, wetness, valley depth, slope position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positive in convergent terrain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Infested groups gather in draws and gullies, and deep snow insulates overwintering brood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(Safranyik &amp; Carroll, 2006)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Flight-period wind speed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negative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The mechanism acts during dispersal, and no study specifies the interval, so it is taken at the flight period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(Jones, Shegelski, Marculis, Wijerathna, &amp; Evenden, 2019; Krawchuk et al., 2020)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Elevation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uncertain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 composite of temperature, snowpack, season length and host distribution that this design cannot separate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(Sambaraju &amp; Goodsman, 2021)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</w:tbl>
    <w:bookmarkEnd w:id="21"/>
    <w:bookmarkStart w:id="22" w:name="table-3"/>
    <w:p>
      <w:pPr>
        <w:pStyle w:val="Heading1"/>
      </w:pPr>
      <w:r>
        <w:t xml:space="preserve">Table 3</w:t>
      </w:r>
    </w:p>
    <w:p>
      <w:pPr>
        <w:pStyle w:val="FirstParagraph"/>
      </w:pPr>
      <w:r>
        <w:t xml:space="preserve">Moderate-to-high beetle disturbance by year inside the study perimeter.</w:t>
      </w:r>
    </w:p>
    <w:tbl>
      <w:tblPr>
        <w:tblStyle w:val="Table"/>
        <w:tblLook w:firstRow="1" w:lastRow="0" w:firstColumn="0" w:lastColumn="0" w:noHBand="0" w:noVBand="0" w:val="0020"/>
        <w:tblW w:w="9354" w:type="dxa"/>
        <w:tblLayout w:type="fixed"/>
      </w:tblPr>
      <w:tblGrid>
        <w:gridCol w:w="3118"/>
        <w:gridCol w:w="3118"/>
        <w:gridCol w:w="3118"/>
      </w:tblGrid>
      <w:tr>
        <w:trPr>
          <w:tblHeader w:val="on"/>
          <w:trHeight w:val="624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Cells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Moderate-to-high (%)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2006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13,224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4.9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2007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13,225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6.0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2008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13,285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19.2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2009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13,556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12.4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2010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13,538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16.5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2011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14,944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13.5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2013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14,943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14.4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14,992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15.2</w:t>
            </w:r>
          </w:p>
        </w:tc>
      </w:tr>
    </w:tbl>
    <w:bookmarkEnd w:id="22"/>
    <w:bookmarkStart w:id="23" w:name="table-4"/>
    <w:p>
      <w:pPr>
        <w:pStyle w:val="Heading1"/>
      </w:pPr>
      <w:r>
        <w:t xml:space="preserve">Table 4</w:t>
      </w:r>
    </w:p>
    <w:p>
      <w:pPr>
        <w:pStyle w:val="FirstParagraph"/>
      </w:pPr>
      <w:r>
        <w:t xml:space="preserve">Stand structure across the study perimeter, from the Vegetation Resources Inventory. n is</w:t>
      </w:r>
      <w:r>
        <w:t xml:space="preserve"> </w:t>
      </w:r>
      <w:r>
        <w:t xml:space="preserve">cell-years. SD is the standard deviation of the landscape; SE is the standard error of the</w:t>
      </w:r>
      <w:r>
        <w:t xml:space="preserve"> </w:t>
      </w:r>
      <w:r>
        <w:t xml:space="preserve">mean and is small by construction at this n, so it should not be read as precision about any</w:t>
      </w:r>
      <w:r>
        <w:t xml:space="preserve"> </w:t>
      </w:r>
      <w:r>
        <w:t xml:space="preserve">one cell. Skewness and kurtosis are the bias-corrected third and fourth standardised moments;</w:t>
      </w:r>
      <w:r>
        <w:t xml:space="preserve"> </w:t>
      </w:r>
      <w:r>
        <w:t xml:space="preserve">kurtosis is excess, so 0 is Gaussian and positive is heavy-tailed.</w:t>
      </w:r>
    </w:p>
    <w:tbl>
      <w:tblPr>
        <w:tblStyle w:val="Table"/>
        <w:tblLook w:firstRow="1" w:lastRow="0" w:firstColumn="0" w:lastColumn="0" w:noHBand="0" w:noVBand="0" w:val="0020"/>
        <w:tblW w:w="9354" w:type="dxa"/>
        <w:tblLayout w:type="fixed"/>
      </w:tblPr>
      <w:tblGrid>
        <w:gridCol w:w="3270"/>
        <w:gridCol w:w="727"/>
        <w:gridCol w:w="636"/>
        <w:gridCol w:w="636"/>
        <w:gridCol w:w="545"/>
        <w:gridCol w:w="636"/>
        <w:gridCol w:w="545"/>
        <w:gridCol w:w="727"/>
        <w:gridCol w:w="818"/>
        <w:gridCol w:w="814"/>
      </w:tblGrid>
      <w:tr>
        <w:trPr>
          <w:tblHeader w:val="on"/>
          <w:trHeight w:val="624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Mean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SD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Median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Skewness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Kurtosis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Stand basal area (m2/ha)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111,707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35.56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11.60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0.035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37.39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0.98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62.43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-1.01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1.42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Crown closure (%)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111,707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50.10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13.54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0.041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50.00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70.00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-1.74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3.37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Live stems (n/ha)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111,707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772.75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312.80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0.936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775.00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4600.00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1.70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19.51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Quadratic mean diameter (cm)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111,707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27.38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6.40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26.95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13.55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58.90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0.73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1.24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Stand age (years)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111,707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115.46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20.88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0.062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116.00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237.00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-0.78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1.97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Stand height (m)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111,707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26.97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6.27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27.90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40.30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-0.26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0.23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Standing volume (m3/ha)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111,707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272.33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131.38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0.393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281.47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0.82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586.61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-0.35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Lodgepole pine cover (%)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111,707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20.11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23.93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0.072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100.00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1.45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1.56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Susceptible pine basal area (m2/ha)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111,707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7.07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8.85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0.026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48.30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1.63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2.63</w:t>
            </w:r>
          </w:p>
        </w:tc>
      </w:tr>
    </w:tbl>
    <w:bookmarkEnd w:id="23"/>
    <w:bookmarkStart w:id="24" w:name="table-5"/>
    <w:p>
      <w:pPr>
        <w:pStyle w:val="Heading1"/>
      </w:pPr>
      <w:r>
        <w:t xml:space="preserve">Table 5</w:t>
      </w:r>
    </w:p>
    <w:p>
      <w:pPr>
        <w:pStyle w:val="FirstParagraph"/>
      </w:pPr>
      <w:r>
        <w:t xml:space="preserve">Model comparison, panel A of the model table. Each model adds one pathway to the previous.</w:t>
      </w:r>
      <w:r>
        <w:t xml:space="preserve"> </w:t>
      </w:r>
      <w:r>
        <w:t xml:space="preserve">AIC ranks on likelihood and a parameter penalty; the remaining columns are predictive error</w:t>
      </w:r>
      <w:r>
        <w:t xml:space="preserve"> </w:t>
      </w:r>
      <w:r>
        <w:t xml:space="preserve">on the fitted probabilities. RMSE is the root mean squared error and is the square root of</w:t>
      </w:r>
      <w:r>
        <w:t xml:space="preserve"> </w:t>
      </w:r>
      <w:r>
        <w:t xml:space="preserve">the Brier score; RMSE (%) expresses it against the prevalence of the response. MAE is the</w:t>
      </w:r>
      <w:r>
        <w:t xml:space="preserve"> </w:t>
      </w:r>
      <w:r>
        <w:t xml:space="preserve">mean absolute error. AUC is the area under the receiver operating characteristic curve.</w:t>
      </w:r>
      <w:r>
        <w:t xml:space="preserve"> </w:t>
      </w:r>
      <w:r>
        <w:t xml:space="preserve">Brier skill is the improvement over predicting the prevalence for every cell, where 0 is no</w:t>
      </w:r>
      <w:r>
        <w:t xml:space="preserve"> </w:t>
      </w:r>
      <w:r>
        <w:t xml:space="preserve">better than the base rate. MAPE and Theil’s U are not reported: both divide by the observed</w:t>
      </w:r>
      <w:r>
        <w:t xml:space="preserve"> </w:t>
      </w:r>
      <w:r>
        <w:t xml:space="preserve">value, which is zero for the majority class of a binary response, so both are undefined</w:t>
      </w:r>
      <w:r>
        <w:t xml:space="preserve"> </w:t>
      </w:r>
      <w:r>
        <w:t xml:space="preserve">without discarding that class.</w:t>
      </w:r>
    </w:p>
    <w:tbl>
      <w:tblPr>
        <w:tblStyle w:val="Table"/>
        <w:tblLook w:firstRow="1" w:lastRow="0" w:firstColumn="0" w:lastColumn="0" w:noHBand="0" w:noVBand="0" w:val="0020"/>
        <w:tblW w:w="9354" w:type="dxa"/>
        <w:tblLayout w:type="fixed"/>
      </w:tblPr>
      <w:tblGrid>
        <w:gridCol w:w="3151"/>
        <w:gridCol w:w="648"/>
        <w:gridCol w:w="556"/>
        <w:gridCol w:w="556"/>
        <w:gridCol w:w="833"/>
        <w:gridCol w:w="556"/>
        <w:gridCol w:w="556"/>
        <w:gridCol w:w="833"/>
        <w:gridCol w:w="556"/>
        <w:gridCol w:w="1109"/>
      </w:tblGrid>
      <w:tr>
        <w:trPr>
          <w:tblHeader w:val="on"/>
          <w:trHeight w:val="624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AIC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ΔAIC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RMSE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RMSE (%)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MAE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Brier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Log loss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AUC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Brier skill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M0 host size + shading + landform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46,964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1,734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0.407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131.5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0.333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0.166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0.506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0.776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0.224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M1 + stand density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46,507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1,277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0.405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130.6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0.329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0.164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0.501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0.783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0.234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M2 + terrain and flight radiation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45,764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534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0.401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129.5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0.323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0.161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0.493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0.792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0.247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M3 + interactions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45,230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0.399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128.7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0.319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0.159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0.487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0.800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0.257</w:t>
            </w:r>
          </w:p>
        </w:tc>
      </w:tr>
    </w:tbl>
    <w:bookmarkEnd w:id="24"/>
    <w:bookmarkStart w:id="25" w:name="table-6"/>
    <w:p>
      <w:pPr>
        <w:pStyle w:val="Heading1"/>
      </w:pPr>
      <w:r>
        <w:t xml:space="preserve">Table 6</w:t>
      </w:r>
    </w:p>
    <w:p>
      <w:pPr>
        <w:pStyle w:val="FirstParagraph"/>
      </w:pPr>
      <w:r>
        <w:t xml:space="preserve">Full model M3, panel B of the model table: continuous terms, ordered by absolute effect.</w:t>
      </w:r>
      <w:r>
        <w:t xml:space="preserve"> </w:t>
      </w:r>
      <w:r>
        <w:t xml:space="preserve">Coefficients are log-odds per standard deviation on a class-balanced sample, so the intercept</w:t>
      </w:r>
      <w:r>
        <w:t xml:space="preserve"> </w:t>
      </w:r>
      <w:r>
        <w:t xml:space="preserve">is not landscape prevalence. SE is the standard error of the coefficient; z is the Wald</w:t>
      </w:r>
      <w:r>
        <w:t xml:space="preserve"> </w:t>
      </w:r>
      <w:r>
        <w:t xml:space="preserve">statistic. The geomorphon landform classes are also in this model and are not reported here.</w:t>
      </w:r>
    </w:p>
    <w:tbl>
      <w:tblPr>
        <w:tblStyle w:val="Table"/>
        <w:tblLook w:firstRow="1" w:lastRow="0" w:firstColumn="0" w:lastColumn="0" w:noHBand="0" w:noVBand="0" w:val="0020"/>
        <w:tblW w:w="9354" w:type="dxa"/>
        <w:tblLayout w:type="fixed"/>
      </w:tblPr>
      <w:tblGrid>
        <w:gridCol w:w="5997"/>
        <w:gridCol w:w="839"/>
        <w:gridCol w:w="720"/>
        <w:gridCol w:w="839"/>
        <w:gridCol w:w="959"/>
      </w:tblGrid>
      <w:tr>
        <w:trPr>
          <w:tblHeader w:val="on"/>
          <w:trHeight w:val="624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Beta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z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Susceptible pine basal area (m2/ha)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0.536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35.25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Stand basal area (m2/ha)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0.504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0.027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18.59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Flight-window direct radiation (kWh/m2)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0.497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0.030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16.49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Windward-leeward index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0.394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0.030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13.31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Quadratic mean diameter (cm)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-0.362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0.025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-14.47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Elevation (m)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0.337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0.018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18.44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Northness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0.305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19.79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Stand age (years)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0.260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14.98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Flight-window calm hours (share below 5 km/h)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-0.131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-6.81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Topographic wetness index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0.130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0.020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6.53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Crown closure (%)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-0.125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0.022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-5.80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July mean wind (km/h)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0.119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7.43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Valley depth (m)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-0.104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0.022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-4.66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Stand basal area x Flight-window direct radiation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0.103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0.021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4.90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Topographic position index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0.094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0.024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3.92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Stand basal area x Flight-window calm hours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0.085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5.36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Mid-slope position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0.068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4.99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June mean wind (km/h)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0.055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3.76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Vector ruggedness measure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-0.052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0.021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-2.49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0.013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Live stems (n/ha)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0.051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3.01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0.003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Profile curvature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-0.042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-3.26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Stand basal area x Windward-leeward index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-0.040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0.024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-1.65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0.098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Convergence index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-0.025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-1.73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0.083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Terrain ruggedness index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-0.005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0.025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-0.19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0.848</w:t>
            </w:r>
          </w:p>
        </w:tc>
      </w:tr>
    </w:tbl>
    <w:bookmarkEnd w:id="25"/>
    <w:bookmarkStart w:id="26" w:name="table-7"/>
    <w:p>
      <w:pPr>
        <w:pStyle w:val="Heading1"/>
      </w:pPr>
      <w:r>
        <w:t xml:space="preserve">Table 7</w:t>
      </w:r>
    </w:p>
    <w:p>
      <w:pPr>
        <w:pStyle w:val="FirstParagraph"/>
      </w:pPr>
      <w:r>
        <w:t xml:space="preserve">The wind terms under two specifications, both with previous-year pressure in the model.</w:t>
      </w:r>
      <w:r>
        <w:t xml:space="preserve"> </w:t>
      </w:r>
      <w:r>
        <w:t xml:space="preserve">M4 carries station wind, which is flat within a year and identified only across years.</w:t>
      </w:r>
      <w:r>
        <w:t xml:space="preserve"> </w:t>
      </w:r>
      <w:r>
        <w:t xml:space="preserve">M5 carries the terrain-resolved MicroMet field, which varies within the year and is</w:t>
      </w:r>
      <w:r>
        <w:t xml:space="preserve"> </w:t>
      </w:r>
      <w:r>
        <w:t xml:space="preserve">identified in space. z is the Wald statistic.</w:t>
      </w:r>
    </w:p>
    <w:tbl>
      <w:tblPr>
        <w:tblStyle w:val="Table"/>
        <w:tblLook w:firstRow="1" w:lastRow="0" w:firstColumn="0" w:lastColumn="0" w:noHBand="0" w:noVBand="0" w:val="0020"/>
        <w:tblW w:w="9354" w:type="dxa"/>
        <w:tblLayout w:type="fixed"/>
      </w:tblPr>
      <w:tblGrid>
        <w:gridCol w:w="2488"/>
        <w:gridCol w:w="4678"/>
        <w:gridCol w:w="696"/>
        <w:gridCol w:w="696"/>
        <w:gridCol w:w="796"/>
      </w:tblGrid>
      <w:tr>
        <w:trPr>
          <w:tblHeader w:val="on"/>
          <w:trHeight w:val="624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Beta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z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M4 station wind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Flight-window calm hours (share below 5 km/h)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-0.543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-16.42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M4 station wind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Stand basal area x Flight-window calm hours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0.032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1.20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0.232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M5 terrain-resolved wind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MicroMet flight-window wind (km/h)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0.386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22.18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M5 terrain-resolved wind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Stand basal area x MicroMet flight-window wind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0.031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1.71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0.087</w:t>
            </w:r>
          </w:p>
        </w:tc>
      </w:tr>
    </w:tbl>
    <w:bookmarkEnd w:id="26"/>
    <w:bookmarkStart w:id="27" w:name="table-8"/>
    <w:p>
      <w:pPr>
        <w:pStyle w:val="Heading1"/>
      </w:pPr>
      <w:r>
        <w:t xml:space="preserve">Table 8</w:t>
      </w:r>
    </w:p>
    <w:p>
      <w:pPr>
        <w:pStyle w:val="FirstParagraph"/>
      </w:pPr>
      <w:r>
        <w:t xml:space="preserve">Moderate-to-high beetle disturbance by quadratic mean diameter class, on the balanced</w:t>
      </w:r>
      <w:r>
        <w:t xml:space="preserve"> </w:t>
      </w:r>
      <w:r>
        <w:t xml:space="preserve">sample. QMD is quadratic mean diameter over stems 12.5 cm and up. The 25 cm boundary is the</w:t>
      </w:r>
      <w:r>
        <w:t xml:space="preserve"> </w:t>
      </w:r>
      <w:r>
        <w:t xml:space="preserve">source-sink threshold of the species’ bionomics. Intervals are Wilson score intervals on the</w:t>
      </w:r>
      <w:r>
        <w:t xml:space="preserve"> </w:t>
      </w:r>
      <w:r>
        <w:t xml:space="preserve">class proportion, which is why they are asymmetric in the smallest class; the normal</w:t>
      </w:r>
      <w:r>
        <w:t xml:space="preserve"> </w:t>
      </w:r>
      <w:r>
        <w:t xml:space="preserve">approximation is not used because it misbehaves at the small class sizes at both ends of the</w:t>
      </w:r>
      <w:r>
        <w:t xml:space="preserve"> </w:t>
      </w:r>
      <w:r>
        <w:t xml:space="preserve">range. Note that 30 m cells in a spreading outbreak are not independent, so the tests</w:t>
      </w:r>
      <w:r>
        <w:t xml:space="preserve"> </w:t>
      </w:r>
      <w:r>
        <w:t xml:space="preserve">reported beneath this table in the main text are anti-conservative.</w:t>
      </w:r>
    </w:p>
    <w:tbl>
      <w:tblPr>
        <w:tblStyle w:val="Table"/>
        <w:tblLook w:firstRow="1" w:lastRow="0" w:firstColumn="0" w:lastColumn="0" w:noHBand="0" w:noVBand="0" w:val="0020"/>
        <w:tblW w:w="9354" w:type="dxa"/>
        <w:tblLayout w:type="fixed"/>
      </w:tblPr>
      <w:tblGrid>
        <w:gridCol w:w="1871"/>
        <w:gridCol w:w="1871"/>
        <w:gridCol w:w="1871"/>
        <w:gridCol w:w="1871"/>
        <w:gridCol w:w="1870"/>
      </w:tblGrid>
      <w:tr>
        <w:trPr>
          <w:tblHeader w:val="on"/>
          <w:trHeight w:val="624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QMD class (cm)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Attacked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Attacked (%)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95% CI (%)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&lt;15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436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113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25.9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22.0-30.2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15-20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4,325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1,057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24.4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23.2-25.7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20-25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9,934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2,627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26.4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25.6-27.3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25-30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19,090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7,576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39.7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39.0-40.4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30-40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10,903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2,724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25.0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24.2-25.8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&gt;40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1,671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262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15.7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14.0-17.5</w:t>
            </w:r>
          </w:p>
        </w:tc>
      </w:tr>
    </w:tbl>
    <w:bookmarkEnd w:id="27"/>
    <w:bookmarkStart w:id="28" w:name="table-9"/>
    <w:p>
      <w:pPr>
        <w:pStyle w:val="Heading1"/>
      </w:pPr>
      <w:r>
        <w:t xml:space="preserve">Table 9</w:t>
      </w:r>
    </w:p>
    <w:p>
      <w:pPr>
        <w:pStyle w:val="FirstParagraph"/>
      </w:pPr>
      <w:r>
        <w:t xml:space="preserve">The 16-day model refitted under four definitions of the wind window. The epoch wind regime,</w:t>
      </w:r>
      <w:r>
        <w:t xml:space="preserve"> </w:t>
      </w:r>
      <w:r>
        <w:t xml:space="preserve">every hour, is the definition used throughout this paper. Coefficients are log-odds per</w:t>
      </w:r>
      <w:r>
        <w:t xml:space="preserve"> </w:t>
      </w:r>
      <w:r>
        <w:t xml:space="preserve">standard deviation. AUC is the area under the receiver operating characteristic curve. The</w:t>
      </w:r>
      <w:r>
        <w:t xml:space="preserve"> </w:t>
      </w:r>
      <w:r>
        <w:t xml:space="preserve">thermal-gate row is fitted on fewer cell-epochs because two epochs carried too few qualifying</w:t>
      </w:r>
      <w:r>
        <w:t xml:space="preserve"> </w:t>
      </w:r>
      <w:r>
        <w:t xml:space="preserve">hours, so its AIC is not comparable with the other three and AIC is therefore not shown.</w:t>
      </w:r>
    </w:p>
    <w:tbl>
      <w:tblPr>
        <w:tblStyle w:val="Table"/>
        <w:tblLook w:firstRow="1" w:lastRow="0" w:firstColumn="0" w:lastColumn="0" w:noHBand="0" w:noVBand="0" w:val="0020"/>
        <w:tblW w:w="9354" w:type="dxa"/>
        <w:tblLayout w:type="fixed"/>
      </w:tblPr>
      <w:tblGrid>
        <w:gridCol w:w="2725"/>
        <w:gridCol w:w="1089"/>
        <w:gridCol w:w="1089"/>
        <w:gridCol w:w="1180"/>
        <w:gridCol w:w="727"/>
        <w:gridCol w:w="1271"/>
        <w:gridCol w:w="727"/>
        <w:gridCol w:w="546"/>
      </w:tblGrid>
      <w:tr>
        <w:trPr>
          <w:tblHeader w:val="on"/>
          <w:trHeight w:val="624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Definition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Cell-epochs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Wind (km/h)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Stems x wind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Volume x wind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AUC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Epoch wind regime (all hours)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71,127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5.04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-0.0941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-0.0410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0.668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12:00-17:00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71,127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6.45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-0.0565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-0.0082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0.325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0.667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11:00-18:00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71,127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6.32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-0.0623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-0.0161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0.054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0.667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Inside the 19-41 C gate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69,711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5.67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-0.0596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-0.0325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0.666</w:t>
            </w:r>
          </w:p>
        </w:tc>
      </w:tr>
    </w:tbl>
    <w:bookmarkEnd w:id="28"/>
    <w:sectPr w:rsidR="00D931AC" w:rsidSect="00B13028">
      <w:footerReference r:id="rId10" w:type="default"/>
      <w:footerReference r:id="rId9" w:type="first"/>
      <w:pgSz w:h="15840" w:w="12240"/>
      <w:pgMar w:bottom="1440" w:footer="720" w:gutter="0" w:header="720" w:left="1440" w:right="1440" w:top="1440"/>
      <w:lnNumType w:countBy="1" w:restart="continuous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D12A56B-797D-444E-9FC6-5B37C5DAC035}"/>
    <w:embedBold r:id="rId2" w:fontKey="{FD3CEDD6-86AB-1C46-8A15-8877C1686B07}"/>
    <w:embedItalic r:id="rId3" w:fontKey="{67E535DB-26F2-B642-AAD5-FDC80F2CF7B9}"/>
    <w:embedBoldItalic r:id="rId4" w:fontKey="{2115481C-3572-184B-8727-E08AEF27DA6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085026BB-CCCA-E54F-A560-AED7C1963D5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F744E244-733C-6740-A164-0ABCEF59A7CF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7" w:fontKey="{617BC16C-2D7B-C143-AA8A-DEB95EAE857B}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  <w:embedRegular r:id="rId8" w:fontKey="{2C682040-A827-BB49-872E-27E75C7C930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62BD56F2-54D9-3244-A137-C7FEFFA6F835}"/>
    <w:embedBold r:id="rId10" w:fontKey="{7385F66A-610E-C84C-8011-3C49D62CC650}"/>
    <w:embedItalic r:id="rId11" w:fontKey="{7BBDF880-F20C-5549-927B-354C4781E948}"/>
  </w:font>
  <w:font w:name="Play">
    <w:altName w:val="Calibri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14" w:fontKey="{26BD65CD-77BB-5D4C-AAB7-328BAC130273}"/>
    <w:embedBold r:id="rId15" w:fontKey="{B10BB92D-F0E2-8D46-9DED-867D0938013E}"/>
    <w:embedItalic r:id="rId16" w:fontKey="{36876C46-2E15-9F4D-A0F2-9FE2EAF64544}"/>
    <w:embedBoldItalic r:id="rId17" w:fontKey="{5F596E27-69FE-974C-B3F1-108E1B29AF87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8" w:fontKey="{9E9871A1-0968-9547-B04A-5264525A2142}"/>
    <w:embedBold r:id="rId19" w:fontKey="{D6F14352-A8CE-2B4D-A104-F0CC6D16761A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20" w:fontKey="{7BEA954E-5CCE-6F49-AACD-9B7B508ECA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BF21" w14:textId="6D7FB1A0" w:rsidR="000B55EB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B0410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B4B435" w14:textId="77777777" w:rsidR="000B55EB" w:rsidRDefault="000B55EB"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2536786"/>
    <w:multiLevelType w:val="multilevel"/>
    <w:tmpl w:val="81A64DD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">
    <w:nsid w:val="036851CF"/>
    <w:multiLevelType w:val="hybridMultilevel"/>
    <w:tmpl w:val="AF2A710C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FFFFFFFF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2">
    <w:nsid w:val="171A0667"/>
    <w:multiLevelType w:val="hybridMultilevel"/>
    <w:tmpl w:val="AB988C60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1744454D"/>
    <w:multiLevelType w:val="multilevel"/>
    <w:tmpl w:val="BEA2E0AA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4">
    <w:nsid w:val="1D5040A3"/>
    <w:multiLevelType w:val="multilevel"/>
    <w:tmpl w:val="E8DC0374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5">
    <w:nsid w:val="29EA41D8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">
    <w:nsid w:val="2D7802DA"/>
    <w:multiLevelType w:val="multilevel"/>
    <w:tmpl w:val="0CC420B2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7">
    <w:nsid w:val="2E5524F5"/>
    <w:multiLevelType w:val="multilevel"/>
    <w:tmpl w:val="244E3E7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8">
    <w:nsid w:val="30FC0002"/>
    <w:multiLevelType w:val="hybridMultilevel"/>
    <w:tmpl w:val="007AAE82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9">
    <w:nsid w:val="44E96C8B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0">
    <w:nsid w:val="485A5F5D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1">
    <w:nsid w:val="49127D73"/>
    <w:multiLevelType w:val="multilevel"/>
    <w:tmpl w:val="1736CE22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hanging="360" w:left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800" w:left="2160"/>
      </w:pPr>
      <w:rPr>
        <w:rFonts w:hint="default"/>
      </w:rPr>
    </w:lvl>
  </w:abstractNum>
  <w:abstractNum w15:restartNumberingAfterBreak="0" w:abstractNumId="12">
    <w:nsid w:val="4D0460AB"/>
    <w:multiLevelType w:val="multilevel"/>
    <w:tmpl w:val="8638B9EE"/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13">
    <w:nsid w:val="5583452F"/>
    <w:multiLevelType w:val="hybridMultilevel"/>
    <w:tmpl w:val="099ABA20"/>
    <w:lvl w:ilvl="0" w:tplc="AF0AA18C">
      <w:start w:val="1"/>
      <w:numFmt w:val="decimal"/>
      <w:lvlText w:val="%1."/>
      <w:lvlJc w:val="left"/>
      <w:pPr>
        <w:ind w:hanging="360" w:left="420"/>
      </w:pPr>
      <w:rPr>
        <w:rFonts w:ascii="Times New Roman" w:cs="Times New Roman" w:hAnsi="Times New Roman"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140"/>
      </w:pPr>
    </w:lvl>
    <w:lvl w:ilvl="2" w:tentative="1" w:tplc="0409001B">
      <w:start w:val="1"/>
      <w:numFmt w:val="lowerRoman"/>
      <w:lvlText w:val="%3."/>
      <w:lvlJc w:val="right"/>
      <w:pPr>
        <w:ind w:hanging="180" w:left="1860"/>
      </w:pPr>
    </w:lvl>
    <w:lvl w:ilvl="3" w:tentative="1" w:tplc="0409000F">
      <w:start w:val="1"/>
      <w:numFmt w:val="decimal"/>
      <w:lvlText w:val="%4."/>
      <w:lvlJc w:val="left"/>
      <w:pPr>
        <w:ind w:hanging="360" w:left="2580"/>
      </w:pPr>
    </w:lvl>
    <w:lvl w:ilvl="4" w:tentative="1" w:tplc="04090019">
      <w:start w:val="1"/>
      <w:numFmt w:val="lowerLetter"/>
      <w:lvlText w:val="%5."/>
      <w:lvlJc w:val="left"/>
      <w:pPr>
        <w:ind w:hanging="360" w:left="3300"/>
      </w:pPr>
    </w:lvl>
    <w:lvl w:ilvl="5" w:tentative="1" w:tplc="0409001B">
      <w:start w:val="1"/>
      <w:numFmt w:val="lowerRoman"/>
      <w:lvlText w:val="%6."/>
      <w:lvlJc w:val="right"/>
      <w:pPr>
        <w:ind w:hanging="180" w:left="4020"/>
      </w:pPr>
    </w:lvl>
    <w:lvl w:ilvl="6" w:tentative="1" w:tplc="0409000F">
      <w:start w:val="1"/>
      <w:numFmt w:val="decimal"/>
      <w:lvlText w:val="%7."/>
      <w:lvlJc w:val="left"/>
      <w:pPr>
        <w:ind w:hanging="360" w:left="4740"/>
      </w:pPr>
    </w:lvl>
    <w:lvl w:ilvl="7" w:tentative="1" w:tplc="04090019">
      <w:start w:val="1"/>
      <w:numFmt w:val="lowerLetter"/>
      <w:lvlText w:val="%8."/>
      <w:lvlJc w:val="left"/>
      <w:pPr>
        <w:ind w:hanging="360" w:left="5460"/>
      </w:pPr>
    </w:lvl>
    <w:lvl w:ilvl="8" w:tentative="1" w:tplc="0409001B">
      <w:start w:val="1"/>
      <w:numFmt w:val="lowerRoman"/>
      <w:lvlText w:val="%9."/>
      <w:lvlJc w:val="right"/>
      <w:pPr>
        <w:ind w:hanging="180" w:left="6180"/>
      </w:pPr>
    </w:lvl>
  </w:abstractNum>
  <w:abstractNum w15:restartNumberingAfterBreak="0" w:abstractNumId="14">
    <w:nsid w:val="56942631"/>
    <w:multiLevelType w:val="multilevel"/>
    <w:tmpl w:val="D4041BCE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5">
    <w:nsid w:val="59CB1727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6">
    <w:nsid w:val="5AF76DFB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7">
    <w:nsid w:val="5CAE3D11"/>
    <w:multiLevelType w:val="multilevel"/>
    <w:tmpl w:val="D038AA8E"/>
    <w:lvl w:ilvl="0">
      <w:start w:val="1"/>
      <w:numFmt w:val="decimal"/>
      <w:lvlText w:val="%1."/>
      <w:lvlJc w:val="left"/>
      <w:pPr>
        <w:ind w:hanging="360" w:left="720"/>
      </w:pPr>
      <w:rPr>
        <w:rFonts w:ascii="Ubuntu" w:cs="Ubuntu" w:eastAsia="Ubuntu" w:hAnsi="Ubuntu"/>
        <w:color w:val="46536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u w:val="none"/>
      </w:rPr>
    </w:lvl>
  </w:abstractNum>
  <w:abstractNum w15:restartNumberingAfterBreak="0" w:abstractNumId="18">
    <w:nsid w:val="613D3456"/>
    <w:multiLevelType w:val="hybridMultilevel"/>
    <w:tmpl w:val="0E88C840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9">
    <w:nsid w:val="63F157A6"/>
    <w:multiLevelType w:val="multilevel"/>
    <w:tmpl w:val="90C4552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66CD1B99"/>
    <w:multiLevelType w:val="multilevel"/>
    <w:tmpl w:val="D2DCC01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21">
    <w:nsid w:val="6A0B63B6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718F48A8"/>
    <w:multiLevelType w:val="hybridMultilevel"/>
    <w:tmpl w:val="F718D7FE"/>
    <w:lvl w:ilvl="0" w:tplc="70E0DDFE">
      <w:start w:val="1"/>
      <w:numFmt w:val="bullet"/>
      <w:lvlText w:val="-"/>
      <w:lvlJc w:val="left"/>
      <w:pPr>
        <w:ind w:hanging="360" w:left="720"/>
      </w:pPr>
      <w:rPr>
        <w:rFonts w:ascii="Arial" w:cs="Arial" w:eastAsia="Times New Roman" w:hAnsi="Aria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73FC48F6"/>
    <w:multiLevelType w:val="multilevel"/>
    <w:tmpl w:val="7C6CC4B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4">
    <w:nsid w:val="7D980FE5"/>
    <w:multiLevelType w:val="multilevel"/>
    <w:tmpl w:val="EDDA6E46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065760883" w:numId="1">
    <w:abstractNumId w:val="12"/>
  </w:num>
  <w:num w16cid:durableId="1229654886" w:numId="2">
    <w:abstractNumId w:val="4"/>
  </w:num>
  <w:num w16cid:durableId="1780876995" w:numId="3">
    <w:abstractNumId w:val="14"/>
  </w:num>
  <w:num w16cid:durableId="974025194" w:numId="4">
    <w:abstractNumId w:val="20"/>
  </w:num>
  <w:num w16cid:durableId="559169265" w:numId="5">
    <w:abstractNumId w:val="3"/>
  </w:num>
  <w:num w16cid:durableId="749277374" w:numId="6">
    <w:abstractNumId w:val="6"/>
  </w:num>
  <w:num w16cid:durableId="1982688459" w:numId="7">
    <w:abstractNumId w:val="17"/>
  </w:num>
  <w:num w16cid:durableId="777025906" w:numId="8">
    <w:abstractNumId w:val="7"/>
  </w:num>
  <w:num w16cid:durableId="1683047266" w:numId="9">
    <w:abstractNumId w:val="24"/>
  </w:num>
  <w:num w16cid:durableId="1989626730" w:numId="10">
    <w:abstractNumId w:val="0"/>
  </w:num>
  <w:num w16cid:durableId="1157310178" w:numId="11">
    <w:abstractNumId w:val="13"/>
  </w:num>
  <w:num w16cid:durableId="2135756243" w:numId="12">
    <w:abstractNumId w:val="11"/>
  </w:num>
  <w:num w16cid:durableId="1483307824" w:numId="13">
    <w:abstractNumId w:val="22"/>
  </w:num>
  <w:num w16cid:durableId="666329526" w:numId="14">
    <w:abstractNumId w:val="1"/>
  </w:num>
  <w:num w16cid:durableId="361440534" w:numId="15">
    <w:abstractNumId w:val="16"/>
  </w:num>
  <w:num w16cid:durableId="760414313" w:numId="16">
    <w:abstractNumId w:val="19"/>
  </w:num>
  <w:num w16cid:durableId="2113938833" w:numId="17">
    <w:abstractNumId w:val="15"/>
  </w:num>
  <w:num w16cid:durableId="196820457" w:numId="18">
    <w:abstractNumId w:val="9"/>
  </w:num>
  <w:num w16cid:durableId="1028726134" w:numId="19">
    <w:abstractNumId w:val="18"/>
  </w:num>
  <w:num w16cid:durableId="192043067" w:numId="20">
    <w:abstractNumId w:val="5"/>
  </w:num>
  <w:num w16cid:durableId="910313393" w:numId="21">
    <w:abstractNumId w:val="2"/>
  </w:num>
  <w:num w16cid:durableId="329673323" w:numId="22">
    <w:abstractNumId w:val="10"/>
  </w:num>
  <w:num w16cid:durableId="569272857" w:numId="23">
    <w:abstractNumId w:val="8"/>
  </w:num>
  <w:num w16cid:durableId="1467820160" w:numId="24">
    <w:abstractNumId w:val="23"/>
  </w:num>
  <w:num w16cid:durableId="1134904917" w:numId="25">
    <w:abstractNumId w:val="2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embedTrueTypeFonts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5EB"/>
    <w:rsid w:val="000306B5"/>
    <w:rsid w:val="00053DFE"/>
    <w:rsid w:val="000729AC"/>
    <w:rsid w:val="000A49A2"/>
    <w:rsid w:val="000B1FAD"/>
    <w:rsid w:val="000B55EB"/>
    <w:rsid w:val="000C794D"/>
    <w:rsid w:val="000D594F"/>
    <w:rsid w:val="000E1293"/>
    <w:rsid w:val="000E3232"/>
    <w:rsid w:val="000E5E44"/>
    <w:rsid w:val="000F4CBD"/>
    <w:rsid w:val="0011546F"/>
    <w:rsid w:val="001158BA"/>
    <w:rsid w:val="00144330"/>
    <w:rsid w:val="0015101F"/>
    <w:rsid w:val="001C0F05"/>
    <w:rsid w:val="001C3062"/>
    <w:rsid w:val="001C4B27"/>
    <w:rsid w:val="001E25AB"/>
    <w:rsid w:val="001E794E"/>
    <w:rsid w:val="00201298"/>
    <w:rsid w:val="00201ADC"/>
    <w:rsid w:val="00217880"/>
    <w:rsid w:val="00231BCB"/>
    <w:rsid w:val="0023705F"/>
    <w:rsid w:val="00242606"/>
    <w:rsid w:val="002442B9"/>
    <w:rsid w:val="0029044E"/>
    <w:rsid w:val="00292A06"/>
    <w:rsid w:val="002D7B74"/>
    <w:rsid w:val="003216E7"/>
    <w:rsid w:val="00341564"/>
    <w:rsid w:val="00344F3C"/>
    <w:rsid w:val="003532A2"/>
    <w:rsid w:val="0035418C"/>
    <w:rsid w:val="003675D9"/>
    <w:rsid w:val="00371E39"/>
    <w:rsid w:val="003B69D9"/>
    <w:rsid w:val="003D4BC8"/>
    <w:rsid w:val="003E6821"/>
    <w:rsid w:val="00405520"/>
    <w:rsid w:val="00430EE7"/>
    <w:rsid w:val="00450DA6"/>
    <w:rsid w:val="004549F2"/>
    <w:rsid w:val="00485F53"/>
    <w:rsid w:val="004905DB"/>
    <w:rsid w:val="00496DE6"/>
    <w:rsid w:val="004A28CE"/>
    <w:rsid w:val="004B658B"/>
    <w:rsid w:val="004C06D3"/>
    <w:rsid w:val="004D6A4E"/>
    <w:rsid w:val="004E0519"/>
    <w:rsid w:val="00507E9D"/>
    <w:rsid w:val="00521651"/>
    <w:rsid w:val="00530478"/>
    <w:rsid w:val="00561AB7"/>
    <w:rsid w:val="005711B7"/>
    <w:rsid w:val="005B0C1C"/>
    <w:rsid w:val="005B756B"/>
    <w:rsid w:val="005C5B96"/>
    <w:rsid w:val="005D34B2"/>
    <w:rsid w:val="005D7AAD"/>
    <w:rsid w:val="00640111"/>
    <w:rsid w:val="0064282A"/>
    <w:rsid w:val="00687C9F"/>
    <w:rsid w:val="00696889"/>
    <w:rsid w:val="006A4B09"/>
    <w:rsid w:val="006A6B8D"/>
    <w:rsid w:val="006A772F"/>
    <w:rsid w:val="006B1B94"/>
    <w:rsid w:val="006D03B6"/>
    <w:rsid w:val="006D2FFB"/>
    <w:rsid w:val="006E156A"/>
    <w:rsid w:val="006F3680"/>
    <w:rsid w:val="00701179"/>
    <w:rsid w:val="00704838"/>
    <w:rsid w:val="00704B8F"/>
    <w:rsid w:val="00711FAD"/>
    <w:rsid w:val="0071720C"/>
    <w:rsid w:val="00720328"/>
    <w:rsid w:val="00736B8E"/>
    <w:rsid w:val="00763A02"/>
    <w:rsid w:val="007863D3"/>
    <w:rsid w:val="00797A48"/>
    <w:rsid w:val="007E30C0"/>
    <w:rsid w:val="007F2E96"/>
    <w:rsid w:val="008167AF"/>
    <w:rsid w:val="00877D01"/>
    <w:rsid w:val="00877DF4"/>
    <w:rsid w:val="008B5DE4"/>
    <w:rsid w:val="008C5EC5"/>
    <w:rsid w:val="008D69EB"/>
    <w:rsid w:val="008E56ED"/>
    <w:rsid w:val="008F7A7E"/>
    <w:rsid w:val="00914584"/>
    <w:rsid w:val="009148E4"/>
    <w:rsid w:val="00942DA6"/>
    <w:rsid w:val="009442CE"/>
    <w:rsid w:val="0095148B"/>
    <w:rsid w:val="009571F8"/>
    <w:rsid w:val="0096550C"/>
    <w:rsid w:val="00967820"/>
    <w:rsid w:val="00967867"/>
    <w:rsid w:val="00996049"/>
    <w:rsid w:val="009B3B20"/>
    <w:rsid w:val="009C06AA"/>
    <w:rsid w:val="009C2A23"/>
    <w:rsid w:val="009C7401"/>
    <w:rsid w:val="00A022FE"/>
    <w:rsid w:val="00A06140"/>
    <w:rsid w:val="00A32FF7"/>
    <w:rsid w:val="00A4105A"/>
    <w:rsid w:val="00A52831"/>
    <w:rsid w:val="00A544C0"/>
    <w:rsid w:val="00A65F91"/>
    <w:rsid w:val="00A856B1"/>
    <w:rsid w:val="00A90027"/>
    <w:rsid w:val="00AA0BEB"/>
    <w:rsid w:val="00AD6A50"/>
    <w:rsid w:val="00AE1B7C"/>
    <w:rsid w:val="00AE32F6"/>
    <w:rsid w:val="00AE4A30"/>
    <w:rsid w:val="00B0410B"/>
    <w:rsid w:val="00B13028"/>
    <w:rsid w:val="00B210DB"/>
    <w:rsid w:val="00B216AA"/>
    <w:rsid w:val="00B40CC0"/>
    <w:rsid w:val="00B569FF"/>
    <w:rsid w:val="00B92A44"/>
    <w:rsid w:val="00BD1EA8"/>
    <w:rsid w:val="00C25662"/>
    <w:rsid w:val="00C639D2"/>
    <w:rsid w:val="00C73C02"/>
    <w:rsid w:val="00C914B4"/>
    <w:rsid w:val="00CA0A60"/>
    <w:rsid w:val="00CB42C7"/>
    <w:rsid w:val="00D009B1"/>
    <w:rsid w:val="00D14A85"/>
    <w:rsid w:val="00D61E09"/>
    <w:rsid w:val="00D62470"/>
    <w:rsid w:val="00D63120"/>
    <w:rsid w:val="00D84195"/>
    <w:rsid w:val="00D931AC"/>
    <w:rsid w:val="00DB25A4"/>
    <w:rsid w:val="00DD30A5"/>
    <w:rsid w:val="00DD73A2"/>
    <w:rsid w:val="00DE287C"/>
    <w:rsid w:val="00DE56D6"/>
    <w:rsid w:val="00DE7A55"/>
    <w:rsid w:val="00E1614C"/>
    <w:rsid w:val="00E22B89"/>
    <w:rsid w:val="00E4631A"/>
    <w:rsid w:val="00E471B5"/>
    <w:rsid w:val="00E53096"/>
    <w:rsid w:val="00E708C2"/>
    <w:rsid w:val="00E879FF"/>
    <w:rsid w:val="00E92FF7"/>
    <w:rsid w:val="00EB5B8D"/>
    <w:rsid w:val="00F023F5"/>
    <w:rsid w:val="00F06AE3"/>
    <w:rsid w:val="00F136A6"/>
    <w:rsid w:val="00F239CB"/>
    <w:rsid w:val="00F271E3"/>
    <w:rsid w:val="00F522CE"/>
    <w:rsid w:val="00FD0CA0"/>
    <w:rsid w:val="00FD5249"/>
    <w:rsid w:val="00FE15DB"/>
    <w:rsid w:val="00FE1AE2"/>
    <w:rsid w:val="00FE608E"/>
  </w:rsids>
  <w:themeFontLang w:val="en-CA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Times New Roman" w:hAnsi="Times New Roman"/>
        <w:sz w:val="22"/>
        <w:szCs w:val="22"/>
        <w:lang w:bidi="ar-SA" w:eastAsia="en-US" w:val="en"/>
      </w:rPr>
    </w:rPrDefault>
    <w:pPrDefault>
      <w:pPr>
        <w:spacing w:after="180" w:before="180"/>
        <w:jc w:val="both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0729AC"/>
    <w:pPr>
      <w:spacing w:line="360" w:lineRule="auto"/>
    </w:pPr>
    <w:rPr>
      <w:rFonts w:ascii="Arial" w:hAnsi="Arial"/>
    </w:rPr>
  </w:style>
  <w:style w:styleId="Heading1" w:type="paragraph">
    <w:name w:val="heading 1"/>
    <w:basedOn w:val="Normal"/>
    <w:next w:val="Normal"/>
    <w:link w:val="Heading1Char"/>
    <w:uiPriority w:val="9"/>
    <w:qFormat/>
    <w:rsid w:val="00242606"/>
    <w:pPr>
      <w:keepNext/>
      <w:keepLines/>
      <w:spacing w:after="80" w:before="360"/>
      <w:outlineLvl w:val="0"/>
    </w:pPr>
    <w:rPr>
      <w:rFonts w:ascii="Play" w:cs="Play" w:eastAsia="Play" w:hAnsi="Play"/>
      <w:b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42606"/>
    <w:pPr>
      <w:keepNext/>
      <w:keepLines/>
      <w:spacing w:after="80" w:before="160"/>
      <w:outlineLvl w:val="1"/>
    </w:pPr>
    <w:rPr>
      <w:b/>
      <w:color w:themeColor="text1" w:val="000000"/>
      <w:sz w:val="26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242606"/>
    <w:pPr>
      <w:keepNext/>
      <w:keepLines/>
      <w:spacing w:after="80" w:before="160"/>
      <w:outlineLvl w:val="2"/>
    </w:pPr>
    <w:rPr>
      <w:b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pPr>
      <w:keepNext/>
      <w:keepLines/>
      <w:spacing w:after="120" w:before="80"/>
      <w:outlineLvl w:val="3"/>
    </w:pPr>
    <w:rPr>
      <w:i/>
      <w:color w:val="0F4761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pPr>
      <w:keepNext/>
      <w:keepLines/>
      <w:spacing w:after="40" w:before="80"/>
      <w:outlineLvl w:val="4"/>
    </w:pPr>
    <w:rPr>
      <w:color w:val="0F4761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pPr>
      <w:keepNext/>
      <w:keepLines/>
      <w:spacing w:after="0" w:before="40"/>
      <w:jc w:val="center"/>
      <w:outlineLvl w:val="5"/>
    </w:pPr>
    <w:rPr>
      <w:i/>
      <w:color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0"/>
        <w:left w:type="dxa" w:w="0"/>
        <w:bottom w:type="dxa" w:w="0"/>
        <w:right w:type="dxa" w:w="0"/>
      </w:tblCellMar>
    </w:tblPr>
  </w:style>
  <w:style w:styleId="Title" w:type="paragraph">
    <w:name w:val="Title"/>
    <w:basedOn w:val="Normal"/>
    <w:next w:val="Normal"/>
    <w:link w:val="TitleChar"/>
    <w:uiPriority w:val="10"/>
    <w:qFormat/>
    <w:rsid w:val="00242606"/>
    <w:pPr>
      <w:spacing w:after="80"/>
      <w:jc w:val="center"/>
    </w:pPr>
    <w:rPr>
      <w:rFonts w:cs="Play" w:eastAsia="Play"/>
      <w:b/>
      <w:sz w:val="28"/>
      <w:szCs w:val="56"/>
    </w:rPr>
  </w:style>
  <w:style w:styleId="BodyText" w:type="paragraph">
    <w:name w:val="Body Text"/>
    <w:basedOn w:val="Normal"/>
    <w:qFormat/>
    <w:rsid w:val="00B92A44"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rsid w:val="00B92A44"/>
    <w:pPr>
      <w:spacing w:after="36" w:before="36" w:line="240" w:lineRule="auto"/>
    </w:pPr>
    <w:rPr>
      <w:sz w:val="20"/>
    </w:rPr>
  </w:style>
  <w:style w:customStyle="1" w:styleId="TitleChar" w:type="character">
    <w:name w:val="Title Char"/>
    <w:basedOn w:val="DefaultParagraphFont"/>
    <w:link w:val="Title"/>
    <w:uiPriority w:val="10"/>
    <w:rsid w:val="00242606"/>
    <w:rPr>
      <w:rFonts w:ascii="Arial" w:cs="Play" w:eastAsia="Play" w:hAnsi="Arial"/>
      <w:b/>
      <w:sz w:val="28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Normal"/>
    <w:next w:val="BodyText"/>
    <w:qFormat/>
    <w:rsid w:val="000729AC"/>
    <w:pPr>
      <w:spacing w:after="0" w:before="0"/>
      <w:jc w:val="left"/>
    </w:pPr>
    <w:rPr>
      <w:rFonts w:cs="Arial"/>
      <w:bCs/>
      <w:sz w:val="21"/>
      <w:szCs w:val="21"/>
    </w:rPr>
  </w:style>
  <w:style w:styleId="Date" w:type="paragraph">
    <w:name w:val="Date"/>
    <w:next w:val="BodyText"/>
    <w:qFormat/>
    <w:rsid w:val="000729AC"/>
    <w:pPr>
      <w:keepNext/>
      <w:keepLines/>
      <w:jc w:val="left"/>
    </w:pPr>
    <w:rPr>
      <w:rFonts w:ascii="Arial" w:hAnsi="Arial"/>
      <w:sz w:val="20"/>
    </w:rPr>
  </w:style>
  <w:style w:customStyle="1" w:styleId="AbstractTitle" w:type="paragraph">
    <w:name w:val="Abstract Title"/>
    <w:basedOn w:val="Normal"/>
    <w:next w:val="Abstract"/>
    <w:qFormat/>
    <w:rsid w:val="005D7AAD"/>
    <w:pPr>
      <w:keepNext/>
      <w:keepLines/>
      <w:spacing w:after="0" w:before="0"/>
      <w:jc w:val="left"/>
    </w:pPr>
    <w:rPr>
      <w:i/>
      <w:sz w:val="21"/>
      <w:szCs w:val="20"/>
    </w:rPr>
  </w:style>
  <w:style w:customStyle="1" w:styleId="Abstract" w:type="paragraph">
    <w:name w:val="Abstract"/>
    <w:basedOn w:val="Normal"/>
    <w:next w:val="BodyText"/>
    <w:qFormat/>
    <w:rsid w:val="00701179"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rsid w:val="00201298"/>
    <w:pPr>
      <w:spacing w:line="240" w:lineRule="auto"/>
      <w:ind w:hanging="720" w:left="720"/>
      <w:jc w:val="left"/>
    </w:pPr>
  </w:style>
  <w:style w:customStyle="1" w:styleId="Heading1Char" w:type="character">
    <w:name w:val="Heading 1 Char"/>
    <w:basedOn w:val="DefaultParagraphFont"/>
    <w:link w:val="Heading1"/>
    <w:uiPriority w:val="9"/>
    <w:rsid w:val="00242606"/>
    <w:rPr>
      <w:rFonts w:ascii="Play" w:cs="Play" w:eastAsia="Play" w:hAnsi="Play"/>
      <w:b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242606"/>
    <w:rPr>
      <w:rFonts w:ascii="Arial" w:hAnsi="Arial"/>
      <w:b/>
      <w:color w:themeColor="text1" w:val="000000"/>
      <w:sz w:val="26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242606"/>
    <w:rPr>
      <w:rFonts w:ascii="Arial" w:hAnsi="Arial"/>
      <w:b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Pr>
      <w:sz w:val="16"/>
      <w:szCs w:val="16"/>
      <w:lang w:val="en-CA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rPr>
      <w:trHeight w:hRule="atLeast" w:val="3402"/>
    </w:trPr>
    <w:tblStylePr w:type="firstRow">
      <w:tblPr>
        <w:jc w:val="left"/>
      </w:tblPr>
      <w:trPr>
        <w:trHeight w:hRule="atLeast" w:val="680"/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92A44"/>
    <w:pPr>
      <w:spacing w:after="120" w:line="240" w:lineRule="auto"/>
      <w:jc w:val="left"/>
    </w:pPr>
    <w:rPr>
      <w:i/>
      <w:sz w:val="20"/>
    </w:rPr>
  </w:style>
  <w:style w:customStyle="1" w:styleId="TableCaption" w:type="paragraph">
    <w:name w:val="Table Caption"/>
    <w:basedOn w:val="Caption"/>
    <w:rsid w:val="00B92A44"/>
    <w:pPr>
      <w:jc w:val="left"/>
      <w:keepNext/>
    </w:pPr>
    <w:rPr>
      <w:sz w:val="20"/>
      <w:szCs w:val="20"/>
    </w:rPr>
  </w:style>
  <w:style w:customStyle="1" w:styleId="ImageCaption" w:type="paragraph">
    <w:name w:val="Image Caption"/>
    <w:basedOn w:val="Caption"/>
    <w:rsid w:val="00B92A44"/>
    <w:pPr>
      <w:jc w:val="left"/>
      <w:spacing w:after="0" w:before="60"/>
    </w:pPr>
    <w:rPr>
      <w:sz w:val="20"/>
      <w:szCs w:val="20"/>
    </w:rPr>
  </w:style>
  <w:style w:customStyle="1" w:styleId="Figure" w:type="paragraph">
    <w:name w:val="Figure"/>
    <w:basedOn w:val="Normal"/>
    <w:rsid w:val="00242606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rsid w:val="00B92A44"/>
    <w:rPr>
      <w:rFonts w:ascii="Arial" w:hAnsi="Arial"/>
      <w:i/>
      <w:sz w:val="20"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14"/>
      <w:szCs w:val="14"/>
    </w:rPr>
  </w:style>
  <w:style w:customStyle="1" w:styleId="SectionNumber" w:type="character">
    <w:name w:val="Section Number"/>
    <w:basedOn w:val="CaptionChar"/>
    <w:rPr>
      <w:rFonts w:ascii="Arial" w:hAnsi="Arial"/>
      <w:i/>
      <w:sz w:val="18"/>
    </w:rPr>
  </w:style>
  <w:style w:styleId="FootnoteReference" w:type="character">
    <w:name w:val="footnote reference"/>
    <w:basedOn w:val="CaptionChar"/>
    <w:rsid w:val="00242606"/>
    <w:rPr>
      <w:rFonts w:ascii="Arial" w:hAnsi="Arial"/>
      <w:i/>
      <w:sz w:val="18"/>
      <w:vertAlign w:val="superscript"/>
    </w:rPr>
  </w:style>
  <w:style w:styleId="Hyperlink" w:type="character">
    <w:name w:val="Hyperlink"/>
    <w:basedOn w:val="CaptionChar"/>
    <w:uiPriority w:val="99"/>
    <w:rPr>
      <w:rFonts w:ascii="Arial" w:hAnsi="Arial"/>
      <w:i/>
      <w:color w:themeColor="accent1" w:val="156082"/>
      <w:sz w:val="1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  <w:spacing w:after="0" w:before="0" w:line="240" w:lineRule="auto"/>
      <w:contextualSpacing/>
      <w:jc w:val="left"/>
    </w:pPr>
    <w:rPr>
      <w:sz w:val="14"/>
      <w:szCs w:val="14"/>
    </w:rPr>
  </w:style>
  <w:style w:customStyle="1" w:styleId="KeywordTok" w:type="character">
    <w:name w:val="KeywordTok"/>
    <w:basedOn w:val="VerbatimChar"/>
    <w:rPr>
      <w:rFonts w:ascii="Consolas" w:hAnsi="Consolas"/>
      <w:b/>
      <w:i/>
      <w:color w:val="204A87"/>
      <w:sz w:val="14"/>
      <w:szCs w:val="14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204A87"/>
      <w:sz w:val="14"/>
      <w:szCs w:val="14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0000CF"/>
      <w:sz w:val="14"/>
      <w:szCs w:val="14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0000CF"/>
      <w:sz w:val="14"/>
      <w:szCs w:val="14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0000CF"/>
      <w:sz w:val="14"/>
      <w:szCs w:val="14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14"/>
      <w:szCs w:val="14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4E9A06"/>
      <w:sz w:val="14"/>
      <w:szCs w:val="14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i/>
      <w:color w:val="CE5C00"/>
      <w:sz w:val="14"/>
      <w:szCs w:val="14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4E9A06"/>
      <w:sz w:val="14"/>
      <w:szCs w:val="14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4E9A06"/>
      <w:sz w:val="14"/>
      <w:szCs w:val="14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4E9A06"/>
      <w:sz w:val="14"/>
      <w:szCs w:val="14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i/>
      <w:sz w:val="14"/>
      <w:szCs w:val="14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 w:val="0"/>
      <w:color w:val="8F5902"/>
      <w:sz w:val="14"/>
      <w:szCs w:val="14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8F5902"/>
      <w:sz w:val="14"/>
      <w:szCs w:val="14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i/>
      <w:color w:val="204A87"/>
      <w:sz w:val="14"/>
      <w:szCs w:val="14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000000"/>
      <w:sz w:val="14"/>
      <w:szCs w:val="14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i/>
      <w:color w:val="204A87"/>
      <w:sz w:val="14"/>
      <w:szCs w:val="14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i/>
      <w:color w:val="CE5C00"/>
      <w:sz w:val="14"/>
      <w:szCs w:val="14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i/>
      <w:sz w:val="14"/>
      <w:szCs w:val="14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sz w:val="14"/>
      <w:szCs w:val="14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 w:val="0"/>
      <w:color w:val="8F5902"/>
      <w:sz w:val="14"/>
      <w:szCs w:val="14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204A87"/>
      <w:sz w:val="14"/>
      <w:szCs w:val="14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sz w:val="14"/>
      <w:szCs w:val="14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EF2929"/>
      <w:sz w:val="14"/>
      <w:szCs w:val="14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i/>
      <w:color w:val="A40000"/>
      <w:sz w:val="14"/>
      <w:szCs w:val="14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i/>
      <w:sz w:val="14"/>
      <w:szCs w:val="14"/>
      <w:shd w:color="auto" w:fill="F8F8F8" w:val="clear"/>
    </w:rPr>
  </w:style>
  <w:style w:styleId="TOC2" w:type="paragraph">
    <w:name w:val="toc 2"/>
    <w:basedOn w:val="Normal"/>
    <w:next w:val="Normal"/>
    <w:autoRedefine/>
    <w:uiPriority w:val="39"/>
    <w:rsid w:val="001D239F"/>
    <w:pPr>
      <w:spacing w:after="0"/>
    </w:pPr>
    <w:rPr>
      <w:b/>
      <w:bCs/>
      <w:smallCaps/>
    </w:rPr>
  </w:style>
  <w:style w:styleId="TOC3" w:type="paragraph">
    <w:name w:val="toc 3"/>
    <w:basedOn w:val="Normal"/>
    <w:next w:val="Normal"/>
    <w:autoRedefine/>
    <w:uiPriority w:val="39"/>
    <w:rsid w:val="001D239F"/>
    <w:pPr>
      <w:spacing w:after="0"/>
    </w:pPr>
    <w:rPr>
      <w:smallCaps/>
    </w:rPr>
  </w:style>
  <w:style w:styleId="TOC1" w:type="paragraph">
    <w:name w:val="toc 1"/>
    <w:basedOn w:val="Normal"/>
    <w:next w:val="Normal"/>
    <w:autoRedefine/>
    <w:rsid w:val="001D239F"/>
    <w:pPr>
      <w:spacing w:after="360" w:before="360"/>
    </w:pPr>
    <w:rPr>
      <w:b/>
      <w:bCs/>
      <w:caps/>
      <w:u w:val="single"/>
    </w:rPr>
  </w:style>
  <w:style w:styleId="TOC4" w:type="paragraph">
    <w:name w:val="toc 4"/>
    <w:basedOn w:val="Normal"/>
    <w:next w:val="Normal"/>
    <w:autoRedefine/>
    <w:uiPriority w:val="39"/>
    <w:rsid w:val="001D239F"/>
    <w:pPr>
      <w:spacing w:after="0"/>
    </w:pPr>
  </w:style>
  <w:style w:styleId="TOC5" w:type="paragraph">
    <w:name w:val="toc 5"/>
    <w:basedOn w:val="Normal"/>
    <w:next w:val="Normal"/>
    <w:autoRedefine/>
    <w:uiPriority w:val="39"/>
    <w:rsid w:val="001D239F"/>
    <w:pPr>
      <w:spacing w:after="0"/>
    </w:pPr>
  </w:style>
  <w:style w:styleId="TOC6" w:type="paragraph">
    <w:name w:val="toc 6"/>
    <w:basedOn w:val="Normal"/>
    <w:next w:val="Normal"/>
    <w:autoRedefine/>
    <w:rsid w:val="001D239F"/>
    <w:pPr>
      <w:spacing w:after="0"/>
    </w:pPr>
  </w:style>
  <w:style w:styleId="TOC7" w:type="paragraph">
    <w:name w:val="toc 7"/>
    <w:basedOn w:val="Normal"/>
    <w:next w:val="Normal"/>
    <w:autoRedefine/>
    <w:rsid w:val="001D239F"/>
    <w:pPr>
      <w:spacing w:after="0"/>
    </w:pPr>
  </w:style>
  <w:style w:styleId="TOC8" w:type="paragraph">
    <w:name w:val="toc 8"/>
    <w:basedOn w:val="Normal"/>
    <w:next w:val="Normal"/>
    <w:autoRedefine/>
    <w:rsid w:val="001D239F"/>
    <w:pPr>
      <w:spacing w:after="0"/>
    </w:pPr>
  </w:style>
  <w:style w:styleId="TOC9" w:type="paragraph">
    <w:name w:val="toc 9"/>
    <w:basedOn w:val="Normal"/>
    <w:next w:val="Normal"/>
    <w:autoRedefine/>
    <w:rsid w:val="001D239F"/>
    <w:pPr>
      <w:spacing w:after="0"/>
    </w:pPr>
  </w:style>
  <w:style w:styleId="Subtitle" w:type="paragraph">
    <w:name w:val="Subtitle"/>
    <w:basedOn w:val="Normal"/>
    <w:next w:val="Normal"/>
    <w:link w:val="SubtitleChar"/>
    <w:uiPriority w:val="11"/>
    <w:qFormat/>
    <w:pPr>
      <w:spacing w:after="80"/>
      <w:jc w:val="center"/>
    </w:pPr>
    <w:rPr>
      <w:rFonts w:ascii="Play" w:cs="Play" w:eastAsia="Play" w:hAnsi="Play"/>
      <w:sz w:val="28"/>
      <w:szCs w:val="28"/>
    </w:rPr>
  </w:style>
  <w:style w:customStyle="1" w:styleId="a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0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1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2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3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4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5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6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styleId="TOAHeading" w:type="paragraph">
    <w:name w:val="toa heading"/>
    <w:basedOn w:val="Normal"/>
    <w:next w:val="Normal"/>
    <w:rsid w:val="00AD6A50"/>
    <w:pPr>
      <w:spacing w:after="60" w:before="60"/>
      <w:jc w:val="center"/>
    </w:pPr>
    <w:rPr>
      <w:rFonts w:asciiTheme="majorHAnsi" w:cstheme="majorBidi" w:eastAsiaTheme="majorEastAsia" w:hAnsiTheme="majorHAnsi"/>
      <w:b/>
      <w:bCs/>
      <w:sz w:val="21"/>
      <w:szCs w:val="24"/>
      <w:lang w:eastAsia="zh-CN" w:val="en-US"/>
    </w:rPr>
  </w:style>
  <w:style w:styleId="Strong" w:type="character">
    <w:name w:val="Strong"/>
    <w:basedOn w:val="DefaultParagraphFont"/>
    <w:uiPriority w:val="22"/>
    <w:qFormat/>
    <w:rsid w:val="00DE287C"/>
    <w:rPr>
      <w:b/>
      <w:bCs/>
    </w:rPr>
  </w:style>
  <w:style w:styleId="ListParagraph" w:type="paragraph">
    <w:name w:val="List Paragraph"/>
    <w:basedOn w:val="Normal"/>
    <w:uiPriority w:val="34"/>
    <w:qFormat/>
    <w:rsid w:val="00701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qFormat/>
    <w:rsid w:val="00201ADC"/>
    <w:pPr>
      <w:spacing w:after="160"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201ADC"/>
    <w:rPr>
      <w:i/>
      <w:iCs/>
      <w:color w:themeColor="text1" w:themeTint="BF" w:val="404040"/>
    </w:rPr>
  </w:style>
  <w:style w:styleId="NoSpacing" w:type="paragraph">
    <w:name w:val="No Spacing"/>
    <w:uiPriority w:val="1"/>
    <w:qFormat/>
    <w:rsid w:val="00201ADC"/>
    <w:pPr>
      <w:spacing w:after="0" w:before="0" w:line="360" w:lineRule="auto"/>
    </w:pPr>
    <w:rPr>
      <w:rFonts w:ascii="Arial" w:hAnsi="Arial"/>
    </w:rPr>
  </w:style>
  <w:style w:styleId="NormalWeb" w:type="paragraph">
    <w:name w:val="Normal (Web)"/>
    <w:basedOn w:val="Normal"/>
    <w:uiPriority w:val="99"/>
    <w:unhideWhenUsed/>
    <w:rsid w:val="00D84195"/>
    <w:pPr>
      <w:spacing w:after="100" w:afterAutospacing="1" w:before="100" w:beforeAutospacing="1"/>
      <w:jc w:val="left"/>
    </w:pPr>
    <w:rPr>
      <w:sz w:val="24"/>
      <w:szCs w:val="24"/>
      <w:lang w:val="en-CA"/>
    </w:rPr>
  </w:style>
  <w:style w:styleId="Emphasis" w:type="character">
    <w:name w:val="Emphasis"/>
    <w:basedOn w:val="DefaultParagraphFont"/>
    <w:uiPriority w:val="20"/>
    <w:qFormat/>
    <w:rsid w:val="005B0C1C"/>
    <w:rPr>
      <w:i/>
      <w:iCs/>
    </w:rPr>
  </w:style>
  <w:style w:styleId="LineNumber" w:type="character">
    <w:name w:val="line number"/>
    <w:basedOn w:val="DefaultParagraphFont"/>
    <w:uiPriority w:val="99"/>
    <w:semiHidden/>
    <w:unhideWhenUsed/>
    <w:rsid w:val="00B13028"/>
  </w:style>
  <w:style w:styleId="BookTitle" w:type="character">
    <w:name w:val="Book Title"/>
    <w:basedOn w:val="DefaultParagraphFont"/>
    <w:uiPriority w:val="33"/>
    <w:qFormat/>
    <w:rsid w:val="0014433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37</Pages>
  <Words>13130</Words>
  <Characters>74841</Characters>
  <Application>Microsoft Office Word</Application>
  <DocSecurity>0</DocSecurity>
  <Lines>623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</dc:title>
  <dc:creator/>
  <cp:keywords/>
  <dcterms:created xsi:type="dcterms:W3CDTF">2026-08-29T07:02:59Z</dcterms:created>
  <dcterms:modified xsi:type="dcterms:W3CDTF">2026-08-29T07:02:59Z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../../04.references/references-beetle.bib</vt:lpwstr>
  </property>
  <property fmtid="{D5CDD505-2E9C-101B-9397-08002B2CF9AE}" pid="4" name="csl">
    <vt:lpwstr>../../04.references/apa-6th-edition.csl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ppress-bibliography">
    <vt:lpwstr>True</vt:lpwstr>
  </property>
  <property fmtid="{D5CDD505-2E9C-101B-9397-08002B2CF9AE}" pid="11" name="toc-title">
    <vt:lpwstr>Table of contents</vt:lpwstr>
  </property>
</Properties>
</file>