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34.png" ContentType="image/png"/>
  <Override PartName="/word/media/rId51.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2026-09-16</w:t>
      </w:r>
    </w:p>
    <w:bookmarkStart w:id="20" w:name="author-contributions"/>
    <w:p>
      <w:pPr>
        <w:pStyle w:val="Heading1"/>
      </w:pPr>
      <w:r>
        <w:t xml:space="preserve">Author contributions</w:t>
      </w:r>
    </w:p>
    <w:p>
      <w:pPr>
        <w:pStyle w:val="FirstParagraph"/>
      </w:pPr>
      <w:r>
        <w:t xml:space="preserve">Murphy conceived and designed the study, collected and assembled datasets, performed analysis and drafted the manuscript.</w:t>
      </w:r>
    </w:p>
    <w:bookmarkEnd w:id="20"/>
    <w:bookmarkStart w:id="21"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bookmarkEnd w:id="21"/>
    <w:bookmarkStart w:id="22" w:name="abstract"/>
    <w:p>
      <w:pPr>
        <w:pStyle w:val="Heading1"/>
      </w:pPr>
      <w:r>
        <w:t xml:space="preserve">Abstract</w:t>
      </w:r>
    </w:p>
    <w:p>
      <w:pPr>
        <w:pStyle w:val="FirstParagraph"/>
      </w:pPr>
      <w:r>
        <w:t xml:space="preserve">Disturbance refugia from mountain pine beetle (</w:t>
      </w:r>
      <w:r>
        <w:rPr>
          <w:i/>
          <w:iCs/>
        </w:rPr>
        <w:t xml:space="preserve">Dendroctonus ponderosae</w:t>
      </w:r>
      <w:r>
        <w:t xml:space="preserve"> </w:t>
      </w:r>
      <w:r>
        <w:t xml:space="preserve">Hopkins) outbreaks have been hypothesised by</w:t>
      </w:r>
      <w:r>
        <w:t xml:space="preserve"> </w:t>
      </w:r>
      <w:r>
        <w:t xml:space="preserve">Krawchuk et al. (2020)</w:t>
      </w:r>
      <w:r>
        <w:t xml:space="preserve"> </w:t>
      </w:r>
      <w:r>
        <w:t xml:space="preserve">to form where tree defences remain effective, on shaded ground that spares trees water stress or in thin stands with few large hosts where wind may disrupt the aggregation pheromone. All three were tested across 5,573 ha of the Selkirk Mountains, British Columbia, using 59 sixteen-day Landsat epochs over eight outbreak years with annualized forest inventory, geomorphometric variables and a terrain-resolved MicroMet wind field from hourly station records. Wind disruption was supported conditionally, in that attack fell where a thin stand and strong flight-period wind coincided, the density-by-wind interaction -0.049 for stem density (p &lt; 0.001) and -0.017 for standing volume (p &lt; 0.05), both remaining after within-season contagion entered the model. 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 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bookmarkEnd w:id="22"/>
    <w:bookmarkStart w:id="23" w:name="keywords"/>
    <w:p>
      <w:pPr>
        <w:pStyle w:val="Heading1"/>
      </w:pPr>
      <w:r>
        <w:t xml:space="preserve">Keywords</w:t>
      </w:r>
    </w:p>
    <w:p>
      <w:pPr>
        <w:pStyle w:val="FirstParagraph"/>
      </w:pPr>
      <w:r>
        <w:t xml:space="preserve">Mountain pine beetle, forest disturbance, insect outbreaks, Landsat time series, refugia, British Columbia</w:t>
      </w:r>
    </w:p>
    <w:bookmarkEnd w:id="23"/>
    <w:bookmarkStart w:id="24"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(Taylor and Carroll 2003; Sambaraju and Goodsman 2021)</w:t>
      </w:r>
      <w:r>
        <w:t xml:space="preserve">. However, mortality is not distributed evenly across a landscape, and the stands that survive supply the structure and seed from which the next forest develops. Such stands are termed disturbance refugia, places buffered from disturbance over time</w:t>
      </w:r>
      <w:r>
        <w:t xml:space="preserve"> </w:t>
      </w:r>
      <w:r>
        <w:t xml:space="preserve">(Krawchuk et al. 2020)</w:t>
      </w:r>
      <w:r>
        <w:t xml:space="preserve">. Locating a refugium does not explain it, and explanation requires a mechanism linking survival to a measurable property of the site, such as terrain, soil or stand structure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and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part wind plays in the beetle’s dispersal is well studied. Within a stand, dispersal follows the wind close to the ground</w:t>
      </w:r>
      <w:r>
        <w:t xml:space="preserve"> </w:t>
      </w:r>
      <w:r>
        <w:t xml:space="preserve">(Safranyik et al. 1989, 1992)</w:t>
      </w:r>
      <w:r>
        <w:t xml:space="preserve">, while above the canopy beetles have been tracked by radar to more than 800 m and moved tens of kilometres in a day</w:t>
      </w:r>
      <w:r>
        <w:t xml:space="preserve"> </w:t>
      </w:r>
      <w:r>
        <w:t xml:space="preserve">(Jackson et al. 2008; Ainslie and Jackson 2010; Chen and Jackson 2017)</w:t>
      </w:r>
      <w:r>
        <w:t xml:space="preserve">, and the factors that govern dispersal by flight are reviewed by</w:t>
      </w:r>
      <w:r>
        <w:t xml:space="preserve"> </w:t>
      </w:r>
      <w:r>
        <w:t xml:space="preserve">Jones et al. (2019)</w:t>
      </w:r>
      <w:r>
        <w:t xml:space="preserve">. The wind mechanism of the refugia hypothesis is narrower and concerns conditions inside the canopy during an attack.</w:t>
      </w:r>
      <w:r>
        <w:t xml:space="preserve"> </w:t>
      </w:r>
      <w:r>
        <w:t xml:space="preserve">Cartwright (2018)</w:t>
      </w:r>
      <w:r>
        <w:t xml:space="preserve"> </w:t>
      </w:r>
      <w:r>
        <w:t xml:space="preserve">reasoned that</w:t>
      </w:r>
      <w:r>
        <w:t xml:space="preserve"> </w:t>
      </w:r>
      <w:r>
        <w:t xml:space="preserve">“thinner stands also increase wind penetration, helping to disperse beetle pheromones and disrupt chemical communications needed to coordinate attacks”</w:t>
      </w:r>
      <w:r>
        <w:t xml:space="preserve">, and</w:t>
      </w:r>
      <w:r>
        <w:t xml:space="preserve"> </w:t>
      </w:r>
      <w:r>
        <w:t xml:space="preserve">Powell and Bentz (2014)</w:t>
      </w:r>
      <w:r>
        <w:t xml:space="preserve"> </w:t>
      </w:r>
      <w:r>
        <w:t xml:space="preserve">give the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(McCambridge 1971; Gray et al. 1972; Safranyik and Carroll 2006)</w:t>
      </w:r>
      <w:r>
        <w:t xml:space="preserve">. A daily or monthly mean wind speed averages across many hours in which no beetle is flying, and radiation during the flight window is a different quantity from radiation accumulated across the season,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(Howe et al. 2022; Cooke et al. 2025)</w:t>
      </w:r>
      <w:r>
        <w:t xml:space="preserve">. Attack in one year is thus not independent of attack in the year before, which is why previous-year and neighbourhood pressure enter the models, and an environmental variable acts on this system by regulating that threshold rather than by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and Goodsman 2021)</w:t>
      </w:r>
      <w:r>
        <w:t xml:space="preserve"> </w:t>
      </w:r>
      <w:r>
        <w:t xml:space="preserve">while water stress does not act on defence in one direction</w:t>
      </w:r>
      <w:r>
        <w:t xml:space="preserve"> </w:t>
      </w:r>
      <w:r>
        <w:t xml:space="preserve">(Netherer et al. 2021)</w:t>
      </w:r>
      <w:r>
        <w:t xml:space="preserve">.</w:t>
      </w:r>
    </w:p>
    <w:p>
      <w:pPr>
        <w:pStyle w:val="BodyText"/>
      </w:pPr>
      <w:r>
        <w:t xml:space="preserve">Where a dispersing beetle comes down changes what a terrain main effect can mean.</w:t>
      </w:r>
      <w:r>
        <w:t xml:space="preserve"> </w:t>
      </w:r>
      <w:r>
        <w:t xml:space="preserve">Hynum and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and Carroll 2006)</w:t>
      </w:r>
      <w:r>
        <w:t xml:space="preserve">, while elevation enters as a composite of temperature, snowpack, season length and host distribution that this design cannot separate</w:t>
      </w:r>
      <w:r>
        <w:t xml:space="preserve"> </w:t>
      </w:r>
      <w:r>
        <w:t xml:space="preserve">(Sambaraju and Goodsman 2021)</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classified burn severity and red-stage beetle mortality from Landsat time series against field reference plots, stem-mapped 3,886 seedlings of seven conifer species by sub-metre GPS across three 4 ha plots, and fitted inhomogeneous log-Gaussian Cox process models of seedling intensity to distance from seed source, burn severity, beetle mortality, aspect, wind and terrain ruggedness. The present study took from it the 28 field plots of 20 by 20 m in which beetle-killed basal area was measured against pitch tubes, frass and gallery architecture, its 30 m Landsat grid and its perimeter. In that model terrain ruggedness was the largest terrain effect on seedling intensity, +0.626 (P &lt; 0.001). A ruggedness coefficient says that the shape of the ground governed what survived and regenerated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so that the effect of relief could be separated into its parts.</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4"/>
    <w:bookmarkStart w:id="46" w:name="materials-and-methods"/>
    <w:p>
      <w:pPr>
        <w:pStyle w:val="Heading1"/>
      </w:pPr>
      <w:r>
        <w:t xml:space="preserve">2. Materials and methods</w:t>
      </w:r>
    </w:p>
    <w:bookmarkStart w:id="29" w:name="study-area"/>
    <w:p>
      <w:pPr>
        <w:pStyle w:val="Heading2"/>
      </w:pPr>
      <w:r>
        <w:t xml:space="preserve">2.1 Study area</w:t>
      </w:r>
    </w:p>
    <w:p>
      <w:pPr>
        <w:pStyle w:val="FirstParagraph"/>
      </w:pPr>
      <w:r>
        <w:t xml:space="preserve">The study area covered 5,573 ha of the Selkirk Mountains in southeastern British Columbia, 61,923 cells of 30 m spanning 830 to 1,744 m, 914 m of relief, on the grid of the parent study, EPSG:3153, NAD83(CSRS) / BC Albers, so that results compared directly with it. The perimeter was centred on the 2015 Mt Midgeley fire, 480 ha, which was the parent study’s site, and extended beyond it because 480 ha did not contain the stand-density contrast the pheromone mechanism requires. The extension was constrained rather than arbitrary. The perimeter was the burn buffered by 5 km and then cut to the elevation band the parent study’s site occupies, so that the added ground was comparable to it. Table S1 sets out the datasets the study combined and the resolution of each. The analysis depended on the unevenness it shows, with the response varying every sixteen days, the inventory once a year, the station winds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bookmarkEnd w:id="28"/>
        </w:tc>
      </w:tr>
    </w:tbl>
    <w:bookmarkEnd w:id="29"/>
    <w:bookmarkStart w:id="38" w:name="X907dca6343b4a374db9f4a421eba590b269741a"/>
    <w:p>
      <w:pPr>
        <w:pStyle w:val="Heading2"/>
      </w:pPr>
      <w:r>
        <w:t xml:space="preserve">2.2 Beetle disturbance and flight-period wind</w:t>
      </w:r>
    </w:p>
    <w:p>
      <w:pPr>
        <w:pStyle w:val="FirstParagraph"/>
      </w:pPr>
      <w:r>
        <w:t xml:space="preserve">The response was moderate-to-high beetle disturbance in each of eight outbreak years, 2006 to 2014 excluding 2012, the one year covered only by Landsat 7, which has flown with its scan-line corrector off since May 2003. It was classified from Landsat imagery by a support vector machine trained on the 28 ground plots of</w:t>
      </w:r>
      <w:r>
        <w:t xml:space="preserve"> </w:t>
      </w:r>
      <w:r>
        <w:t xml:space="preserve">Murphy et al. (2026)</w:t>
      </w:r>
      <w:r>
        <w:t xml:space="preserve">, in which the basal area of pine killed by the beetle was measured on 20 m plots centred within 60 by 60 m quadrants of four Landsat cells so that no plot straddled a cell edge, following the plot-to-pixel protocols of</w:t>
      </w:r>
      <w:r>
        <w:t xml:space="preserve"> </w:t>
      </w:r>
      <w:r>
        <w:t xml:space="preserve">Carlson et al. (2017)</w:t>
      </w:r>
      <w:r>
        <w:t xml:space="preserve"> </w:t>
      </w:r>
      <w:r>
        <w:t xml:space="preserve">and</w:t>
      </w:r>
      <w:r>
        <w:t xml:space="preserve"> </w:t>
      </w:r>
      <w:r>
        <w:t xml:space="preserve">Lentile et al. (2006)</w:t>
      </w:r>
      <w:r>
        <w:t xml:space="preserve">. Plots were labelled low, moderate or high by tertiles of killed basal area, at 8.9 and 26.8 square metres per hectare, with undisturbed forest as the unaffected class. The classifier separated moderate or high from the rest on the changes against 2005 in three Landsat indices of canopy greenness, burn and moisture, the normalised difference vegetation index, the normalised burn ratio and tasselled-cap wetness, taken in the year of each plot’s deepest decline in the normalised difference moisture index (NDMI). Accuracy was estimated by leaving one plot out at a time, since a held-out quarter of 38 plots was too small to trust, and was 0.737, kappa 0.475. Each year was then predicted over the perimeter with water masked. The years were never merged into one layer, because merging destroys the year-to-year variation this study measured. Annual prevalence inside the perimeter ran from 3.9 to 18.6 per cent, pooled 9.7 per cent over 111,707 cell-years (Table S2), and</w:t>
      </w:r>
      <w:r>
        <w:t xml:space="preserve"> </w:t>
      </w:r>
      <w:hyperlink w:anchor="fig-first-attack">
        <w:r>
          <w:rPr>
            <w:rStyle w:val="Hyperlink"/>
          </w:rPr>
          <w:t xml:space="preserve">Figure 2</w:t>
        </w:r>
      </w:hyperlink>
      <w:r>
        <w:t xml:space="preserve"> </w:t>
      </w:r>
      <w:r>
        <w:t xml:space="preserve">shows where the outbreak arrived first and how much of the perimeter it reached each year.</w:t>
      </w:r>
    </w:p>
    <w:tbl>
      <w:tblPr>
        <w:tblStyle w:val="Table"/>
        <w:tblW w:type="pct" w:w="5000"/>
        <w:tblLayout w:type="fixed"/>
        <w:tblLook w:firstRow="0" w:lastRow="0" w:firstColumn="0" w:lastColumn="0" w:noHBand="0" w:noVBand="0" w:val="0000"/>
      </w:tblPr>
      <w:tblGrid>
        <w:gridCol w:w="7920"/>
      </w:tblGrid>
      <w:tr>
        <w:tc>
          <w:tcPr/>
          <w:bookmarkStart w:id="33" w:name="fig-first-attack"/>
          <w:p>
            <w:pPr>
              <w:pStyle w:val="Compact"/>
              <w:jc w:val="center"/>
            </w:pPr>
            <w:r>
              <w:drawing>
                <wp:inline>
                  <wp:extent cx="5943600" cy="4279392"/>
                  <wp:effectExtent b="0" l="0" r="0" t="0"/>
                  <wp:docPr descr="" title="" id="31" name="Picture"/>
                  <a:graphic>
                    <a:graphicData uri="http://schemas.openxmlformats.org/drawingml/2006/picture">
                      <pic:pic>
                        <pic:nvPicPr>
                          <pic:cNvPr descr="Manuscript_files/figure-docx/fig-first-attack-1.png" id="32" name="Picture"/>
                          <pic:cNvPicPr>
                            <a:picLocks noChangeArrowheads="1" noChangeAspect="1"/>
                          </pic:cNvPicPr>
                        </pic:nvPicPr>
                        <pic:blipFill>
                          <a:blip r:embed="rId30"/>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bookmarkEnd w:id="33"/>
        </w:tc>
      </w:tr>
    </w:tbl>
    <w:p>
      <w:pPr>
        <w:pStyle w:val="BodyText"/>
      </w:pPr>
      <w:r>
        <w:t xml:space="preserve">The flight window was 1 July to 15 August and the hours 12:00 to 17:00. Neither bound was chosen from these data, which is what multi-year phenology studies of forest insects do when they fix activity windows from monitoring rather than from the response</w:t>
      </w:r>
      <w:r>
        <w:t xml:space="preserve"> </w:t>
      </w:r>
      <w:r>
        <w:t xml:space="preserve">(Pawson et al. 2021)</w:t>
      </w:r>
      <w:r>
        <w:t xml:space="preserve">. The dates were the flight period</w:t>
      </w:r>
      <w:r>
        <w:t xml:space="preserve"> </w:t>
      </w:r>
      <w:r>
        <w:t xml:space="preserve">Safranyik and Carroll (2006)</w:t>
      </w:r>
      <w:r>
        <w:t xml:space="preserve"> </w:t>
      </w:r>
      <w:r>
        <w:t xml:space="preserve">give for this region.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taken to the later side because emergence precedes the flight it starts.</w:t>
      </w:r>
    </w:p>
    <w:p>
      <w:pPr>
        <w:pStyle w:val="BodyText"/>
      </w:pPr>
      <w:r>
        <w:t xml:space="preserve">The window was checked against the station climate.</w:t>
      </w:r>
      <w:r>
        <w:t xml:space="preserve"> </w:t>
      </w:r>
      <w:hyperlink w:anchor="fig-flight-window">
        <w:r>
          <w:rPr>
            <w:rStyle w:val="Hyperlink"/>
          </w:rPr>
          <w:t xml:space="preserve">Figure 3</w:t>
        </w:r>
      </w:hyperlink>
      <w:r>
        <w:t xml:space="preserve"> </w:t>
      </w:r>
      <w:r>
        <w:t xml:space="preserve">presents time series of 236,079 hourly station records from May to September of the nine study years. Inside the window, 89.5 per cent of afternoon hours fell within the 19 to 41 degrees C flight range, against 51.4 per cent outside it, and the afternoon mean was 26.0 against 19.2 degrees C, so the window roughly doubled the share of hours in which flight was thermally possible. Wind followed the same daily pattern, with mean speed peaking in the same hours as temperature, at 10.4 km/h in mid-afternoon against 4.6 km/h at dawn. The hours in which the beetle could fly were therefore also the windiest of the day.</w:t>
      </w:r>
    </w:p>
    <w:p>
      <w:pPr>
        <w:pStyle w:val="BodyText"/>
      </w:pPr>
      <w:r>
        <w:t xml:space="preserve">Station wind from Environment and Climate Change Canada entered hour by hour, and the terrain adjustment described next acted on each observation rather than on a mean. Wind was then summarised by sixteen-day epoch, the interval at which the response was measured and the finest at which wind varied within a season as well as between seasons.</w:t>
      </w:r>
    </w:p>
    <w:tbl>
      <w:tblPr>
        <w:tblStyle w:val="Table"/>
        <w:tblW w:type="pct" w:w="5000"/>
        <w:tblLayout w:type="fixed"/>
        <w:tblLook w:firstRow="0" w:lastRow="0" w:firstColumn="0" w:lastColumn="0" w:noHBand="0" w:noVBand="0" w:val="0000"/>
      </w:tblPr>
      <w:tblGrid>
        <w:gridCol w:w="7920"/>
      </w:tblGrid>
      <w:tr>
        <w:tc>
          <w:tcPr/>
          <w:bookmarkStart w:id="37" w:name="fig-flight-window"/>
          <w:p>
            <w:pPr>
              <w:pStyle w:val="Compact"/>
              <w:jc w:val="center"/>
            </w:pPr>
            <w:r>
              <w:drawing>
                <wp:inline>
                  <wp:extent cx="5943600" cy="4913376"/>
                  <wp:effectExtent b="0" l="0" r="0" t="0"/>
                  <wp:docPr descr="" title="" id="35" name="Picture"/>
                  <a:graphic>
                    <a:graphicData uri="http://schemas.openxmlformats.org/drawingml/2006/picture">
                      <pic:pic>
                        <pic:nvPicPr>
                          <pic:cNvPr descr="Manuscript_files/figure-docx/fig-flight-window-1.png" id="36" name="Picture"/>
                          <pic:cNvPicPr>
                            <a:picLocks noChangeArrowheads="1" noChangeAspect="1"/>
                          </pic:cNvPicPr>
                        </pic:nvPicPr>
                        <pic:blipFill>
                          <a:blip r:embed="rId34"/>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bookmarkEnd w:id="37"/>
        </w:tc>
      </w:tr>
    </w:tbl>
    <w:bookmarkEnd w:id="38"/>
    <w:bookmarkStart w:id="39" w:name="sec-micromet"/>
    <w:p>
      <w:pPr>
        <w:pStyle w:val="Heading2"/>
      </w:pPr>
      <w:r>
        <w:t xml:space="preserve">2.3 Terrain-resolved wind</w:t>
      </w:r>
    </w:p>
    <w:p>
      <w:pPr>
        <w:pStyle w:val="FirstParagraph"/>
      </w:pPr>
      <w:r>
        <w:t xml:space="preserve">Station wind interpolated from four to seven valley stations was nearly flat within a year, so wind was also computed as a field varying in space with the MicroMet model of</w:t>
      </w:r>
      <w:r>
        <w:t xml:space="preserve"> </w:t>
      </w:r>
      <w:r>
        <w:t xml:space="preserve">Liston and Elder (2006)</w:t>
      </w:r>
      <w:r>
        <w:t xml:space="preserve">, whose wind component is seven equations implemented directly from the source paper and set out in Methods S1. The terrain weighting factor depends on direction and not on speed. It was computed once for each of 16 wind direction sectors of 22.5 degrees, the sixteen points of the compass, and each hourly observation was multiplied by the surface for its own sector, so that nothing was averaged before the terrain acted on it. Over all sectors the factor ran from 0.60 to 1.38.</w:t>
      </w:r>
    </w:p>
    <w:p>
      <w:pPr>
        <w:pStyle w:val="BodyText"/>
      </w:pPr>
      <w:r>
        <w:t xml:space="preserve">Speed and direction were combined as vector components, because averaging degrees across the 360 to 0 discontinuity is not meaningful. The resulting field varied from 1.9 to 2.8 km/h across the grid within a year. It was not a terrain index under another name, correlating +0.148 with the windward-leeward index and +0.123 with flight-window radiation, while its strongest association was with elevation at +0.320.</w:t>
      </w:r>
    </w:p>
    <w:bookmarkEnd w:id="39"/>
    <w:bookmarkStart w:id="41" w:name="stand-structure"/>
    <w:p>
      <w:pPr>
        <w:pStyle w:val="Heading2"/>
      </w:pPr>
      <w:r>
        <w:t xml:space="preserve">2.4 Stand structure</w:t>
      </w:r>
    </w:p>
    <w:p>
      <w:pPr>
        <w:pStyle w:val="FirstParagraph"/>
      </w:pPr>
      <w:r>
        <w:t xml:space="preserve">Stand structure came from the provincial Vegetation Resources Inventory layer VEG_COMP_LYR_R1_POLY, retrieved within the perimeter. Six of its attributes covered the mechanism and the stem-size threshold, total basal area, crown closure, live stems per hectare, quadratic mean diameter over stems of 12.5 cm and larger, stand age, and susceptible pine basal area, formed as total basal area times the pine share of cover.</w:t>
      </w:r>
    </w:p>
    <w:p>
      <w:pPr>
        <w:pStyle w:val="BodyText"/>
      </w:pPr>
      <w:r>
        <w:t xml:space="preserve">Every model was fitted on annualized stand structure.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vri"/>
          <w:p>
            <w:pPr>
              <w:jc w:val="center"/>
            </w:pPr>
            <w:pPr>
              <w:jc w:val="start"/>
              <w:spacing w:before="200"/>
              <w:pStyle w:val="ImageCaption"/>
            </w:pPr>
            <w:r>
              <w:t xml:space="preserve">Table 1: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35.56</w:t>
                  </w:r>
                </w:p>
              </w:tc>
              <w:tc>
                <w:tcPr>
                  <w:tcW w:w="864" w:type="dxa"/>
                </w:tcPr>
                <w:p>
                  <w:pPr>
                    <w:pStyle w:val="Compact"/>
                    <w:jc w:val="left"/>
                    <w:rPr>
                      <w:sz w:val="15"/>
                      <w:szCs w:val="15"/>
                    </w:rPr>
                  </w:pPr>
                  <w:r>
                    <w:rPr>
                      <w:sz w:val="15"/>
                      <w:szCs w:val="15"/>
                    </w:rPr>
                    <w:t xml:space="preserve">11.60</w:t>
                  </w:r>
                </w:p>
              </w:tc>
              <w:tc>
                <w:tcPr>
                  <w:tcW w:w="864" w:type="dxa"/>
                </w:tcPr>
                <w:p>
                  <w:pPr>
                    <w:pStyle w:val="Compact"/>
                    <w:jc w:val="left"/>
                    <w:rPr>
                      <w:sz w:val="15"/>
                      <w:szCs w:val="15"/>
                    </w:rPr>
                  </w:pPr>
                  <w:r>
                    <w:rPr>
                      <w:sz w:val="15"/>
                      <w:szCs w:val="15"/>
                    </w:rPr>
                    <w:t xml:space="preserve">0.035</w:t>
                  </w:r>
                </w:p>
              </w:tc>
              <w:tc>
                <w:tcPr>
                  <w:tcW w:w="864" w:type="dxa"/>
                </w:tcPr>
                <w:p>
                  <w:pPr>
                    <w:pStyle w:val="Compact"/>
                    <w:jc w:val="left"/>
                    <w:rPr>
                      <w:sz w:val="15"/>
                      <w:szCs w:val="15"/>
                    </w:rPr>
                  </w:pPr>
                  <w:r>
                    <w:rPr>
                      <w:sz w:val="15"/>
                      <w:szCs w:val="15"/>
                    </w:rPr>
                    <w:t xml:space="preserve">37.39</w:t>
                  </w:r>
                </w:p>
              </w:tc>
              <w:tc>
                <w:tcPr>
                  <w:tcW w:w="863" w:type="dxa"/>
                </w:tcPr>
                <w:p>
                  <w:pPr>
                    <w:pStyle w:val="Compact"/>
                    <w:jc w:val="left"/>
                    <w:rPr>
                      <w:sz w:val="15"/>
                      <w:szCs w:val="15"/>
                    </w:rPr>
                  </w:pPr>
                  <w:r>
                    <w:rPr>
                      <w:sz w:val="15"/>
                      <w:szCs w:val="15"/>
                    </w:rPr>
                    <w:t xml:space="preserve">0.98</w:t>
                  </w:r>
                </w:p>
              </w:tc>
              <w:tc>
                <w:tcPr>
                  <w:tcW w:w="864" w:type="dxa"/>
                </w:tcPr>
                <w:p>
                  <w:pPr>
                    <w:pStyle w:val="Compact"/>
                    <w:jc w:val="left"/>
                    <w:rPr>
                      <w:sz w:val="15"/>
                      <w:szCs w:val="15"/>
                    </w:rPr>
                  </w:pPr>
                  <w:r>
                    <w:rPr>
                      <w:sz w:val="15"/>
                      <w:szCs w:val="15"/>
                    </w:rPr>
                    <w:t xml:space="preserve">62.43</w:t>
                  </w:r>
                </w:p>
              </w:tc>
              <w:tc>
                <w:tcPr>
                  <w:tcW w:w="864" w:type="dxa"/>
                </w:tcPr>
                <w:p>
                  <w:pPr>
                    <w:pStyle w:val="Compact"/>
                    <w:jc w:val="left"/>
                    <w:rPr>
                      <w:sz w:val="15"/>
                      <w:szCs w:val="15"/>
                    </w:rPr>
                  </w:pPr>
                  <w:r>
                    <w:rPr>
                      <w:sz w:val="15"/>
                      <w:szCs w:val="15"/>
                    </w:rPr>
                    <w:t xml:space="preserve">-1.01</w:t>
                  </w:r>
                </w:p>
              </w:tc>
              <w:tc>
                <w:tcPr>
                  <w:tcW w:w="864" w:type="dxa"/>
                </w:tcPr>
                <w:p>
                  <w:pPr>
                    <w:pStyle w:val="Compact"/>
                    <w:jc w:val="left"/>
                    <w:rPr>
                      <w:sz w:val="15"/>
                      <w:szCs w:val="15"/>
                    </w:rPr>
                  </w:pPr>
                  <w:r>
                    <w:rPr>
                      <w:sz w:val="15"/>
                      <w:szCs w:val="15"/>
                    </w:rPr>
                    <w:t xml:space="preserve">+1.42</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50.10</w:t>
                  </w:r>
                </w:p>
              </w:tc>
              <w:tc>
                <w:tcPr>
                  <w:tcW w:w="864" w:type="dxa"/>
                </w:tcPr>
                <w:p>
                  <w:pPr>
                    <w:pStyle w:val="Compact"/>
                    <w:jc w:val="left"/>
                    <w:rPr>
                      <w:sz w:val="15"/>
                      <w:szCs w:val="15"/>
                    </w:rPr>
                  </w:pPr>
                  <w:r>
                    <w:rPr>
                      <w:sz w:val="15"/>
                      <w:szCs w:val="15"/>
                    </w:rPr>
                    <w:t xml:space="preserve">13.54</w:t>
                  </w:r>
                </w:p>
              </w:tc>
              <w:tc>
                <w:tcPr>
                  <w:tcW w:w="864" w:type="dxa"/>
                </w:tcPr>
                <w:p>
                  <w:pPr>
                    <w:pStyle w:val="Compact"/>
                    <w:jc w:val="left"/>
                    <w:rPr>
                      <w:sz w:val="15"/>
                      <w:szCs w:val="15"/>
                    </w:rPr>
                  </w:pPr>
                  <w:r>
                    <w:rPr>
                      <w:sz w:val="15"/>
                      <w:szCs w:val="15"/>
                    </w:rPr>
                    <w:t xml:space="preserve">0.041</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3.00</w:t>
                  </w:r>
                </w:p>
              </w:tc>
              <w:tc>
                <w:tcPr>
                  <w:tcW w:w="864" w:type="dxa"/>
                </w:tcPr>
                <w:p>
                  <w:pPr>
                    <w:pStyle w:val="Compact"/>
                    <w:jc w:val="left"/>
                    <w:rPr>
                      <w:sz w:val="15"/>
                      <w:szCs w:val="15"/>
                    </w:rPr>
                  </w:pPr>
                  <w:r>
                    <w:rPr>
                      <w:sz w:val="15"/>
                      <w:szCs w:val="15"/>
                    </w:rPr>
                    <w:t xml:space="preserve">70.00</w:t>
                  </w:r>
                </w:p>
              </w:tc>
              <w:tc>
                <w:tcPr>
                  <w:tcW w:w="864" w:type="dxa"/>
                </w:tcPr>
                <w:p>
                  <w:pPr>
                    <w:pStyle w:val="Compact"/>
                    <w:jc w:val="left"/>
                    <w:rPr>
                      <w:sz w:val="15"/>
                      <w:szCs w:val="15"/>
                    </w:rPr>
                  </w:pPr>
                  <w:r>
                    <w:rPr>
                      <w:sz w:val="15"/>
                      <w:szCs w:val="15"/>
                    </w:rPr>
                    <w:t xml:space="preserve">-1.74</w:t>
                  </w:r>
                </w:p>
              </w:tc>
              <w:tc>
                <w:tcPr>
                  <w:tcW w:w="864" w:type="dxa"/>
                </w:tcPr>
                <w:p>
                  <w:pPr>
                    <w:pStyle w:val="Compact"/>
                    <w:jc w:val="left"/>
                    <w:rPr>
                      <w:sz w:val="15"/>
                      <w:szCs w:val="15"/>
                    </w:rPr>
                  </w:pPr>
                  <w:r>
                    <w:rPr>
                      <w:sz w:val="15"/>
                      <w:szCs w:val="15"/>
                    </w:rPr>
                    <w:t xml:space="preserve">+3.37</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772.75</w:t>
                  </w:r>
                </w:p>
              </w:tc>
              <w:tc>
                <w:tcPr>
                  <w:tcW w:w="864" w:type="dxa"/>
                </w:tcPr>
                <w:p>
                  <w:pPr>
                    <w:pStyle w:val="Compact"/>
                    <w:jc w:val="left"/>
                    <w:rPr>
                      <w:sz w:val="15"/>
                      <w:szCs w:val="15"/>
                    </w:rPr>
                  </w:pPr>
                  <w:r>
                    <w:rPr>
                      <w:sz w:val="15"/>
                      <w:szCs w:val="15"/>
                    </w:rPr>
                    <w:t xml:space="preserve">312.80</w:t>
                  </w:r>
                </w:p>
              </w:tc>
              <w:tc>
                <w:tcPr>
                  <w:tcW w:w="864" w:type="dxa"/>
                </w:tcPr>
                <w:p>
                  <w:pPr>
                    <w:pStyle w:val="Compact"/>
                    <w:jc w:val="left"/>
                    <w:rPr>
                      <w:sz w:val="15"/>
                      <w:szCs w:val="15"/>
                    </w:rPr>
                  </w:pPr>
                  <w:r>
                    <w:rPr>
                      <w:sz w:val="15"/>
                      <w:szCs w:val="15"/>
                    </w:rPr>
                    <w:t xml:space="preserve">0.936</w:t>
                  </w:r>
                </w:p>
              </w:tc>
              <w:tc>
                <w:tcPr>
                  <w:tcW w:w="864" w:type="dxa"/>
                </w:tcPr>
                <w:p>
                  <w:pPr>
                    <w:pStyle w:val="Compact"/>
                    <w:jc w:val="left"/>
                    <w:rPr>
                      <w:sz w:val="15"/>
                      <w:szCs w:val="15"/>
                    </w:rPr>
                  </w:pPr>
                  <w:r>
                    <w:rPr>
                      <w:sz w:val="15"/>
                      <w:szCs w:val="15"/>
                    </w:rPr>
                    <w:t xml:space="preserve">775.00</w:t>
                  </w:r>
                </w:p>
              </w:tc>
              <w:tc>
                <w:tcPr>
                  <w:tcW w:w="863" w:type="dxa"/>
                </w:tcPr>
                <w:p>
                  <w:pPr>
                    <w:pStyle w:val="Compact"/>
                    <w:jc w:val="left"/>
                    <w:rPr>
                      <w:sz w:val="15"/>
                      <w:szCs w:val="15"/>
                    </w:rPr>
                  </w:pPr>
                  <w:r>
                    <w:rPr>
                      <w:sz w:val="15"/>
                      <w:szCs w:val="15"/>
                    </w:rPr>
                    <w:t xml:space="preserve">23.00</w:t>
                  </w:r>
                </w:p>
              </w:tc>
              <w:tc>
                <w:tcPr>
                  <w:tcW w:w="864" w:type="dxa"/>
                </w:tcPr>
                <w:p>
                  <w:pPr>
                    <w:pStyle w:val="Compact"/>
                    <w:jc w:val="left"/>
                    <w:rPr>
                      <w:sz w:val="15"/>
                      <w:szCs w:val="15"/>
                    </w:rPr>
                  </w:pPr>
                  <w:r>
                    <w:rPr>
                      <w:sz w:val="15"/>
                      <w:szCs w:val="15"/>
                    </w:rPr>
                    <w:t xml:space="preserve">4600.00</w:t>
                  </w:r>
                </w:p>
              </w:tc>
              <w:tc>
                <w:tcPr>
                  <w:tcW w:w="864" w:type="dxa"/>
                </w:tcPr>
                <w:p>
                  <w:pPr>
                    <w:pStyle w:val="Compact"/>
                    <w:jc w:val="left"/>
                    <w:rPr>
                      <w:sz w:val="15"/>
                      <w:szCs w:val="15"/>
                    </w:rPr>
                  </w:pPr>
                  <w:r>
                    <w:rPr>
                      <w:sz w:val="15"/>
                      <w:szCs w:val="15"/>
                    </w:rPr>
                    <w:t xml:space="preserve">+1.70</w:t>
                  </w:r>
                </w:p>
              </w:tc>
              <w:tc>
                <w:tcPr>
                  <w:tcW w:w="864" w:type="dxa"/>
                </w:tcPr>
                <w:p>
                  <w:pPr>
                    <w:pStyle w:val="Compact"/>
                    <w:jc w:val="left"/>
                    <w:rPr>
                      <w:sz w:val="15"/>
                      <w:szCs w:val="15"/>
                    </w:rPr>
                  </w:pPr>
                  <w:r>
                    <w:rPr>
                      <w:sz w:val="15"/>
                      <w:szCs w:val="15"/>
                    </w:rPr>
                    <w:t xml:space="preserve">+19.51</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27.38</w:t>
                  </w:r>
                </w:p>
              </w:tc>
              <w:tc>
                <w:tcPr>
                  <w:tcW w:w="864" w:type="dxa"/>
                </w:tcPr>
                <w:p>
                  <w:pPr>
                    <w:pStyle w:val="Compact"/>
                    <w:jc w:val="left"/>
                    <w:rPr>
                      <w:sz w:val="15"/>
                      <w:szCs w:val="15"/>
                    </w:rPr>
                  </w:pPr>
                  <w:r>
                    <w:rPr>
                      <w:sz w:val="15"/>
                      <w:szCs w:val="15"/>
                    </w:rPr>
                    <w:t xml:space="preserve">6.40</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26.95</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58.90</w:t>
                  </w:r>
                </w:p>
              </w:tc>
              <w:tc>
                <w:tcPr>
                  <w:tcW w:w="864" w:type="dxa"/>
                </w:tcPr>
                <w:p>
                  <w:pPr>
                    <w:pStyle w:val="Compact"/>
                    <w:jc w:val="left"/>
                    <w:rPr>
                      <w:sz w:val="15"/>
                      <w:szCs w:val="15"/>
                    </w:rPr>
                  </w:pPr>
                  <w:r>
                    <w:rPr>
                      <w:sz w:val="15"/>
                      <w:szCs w:val="15"/>
                    </w:rPr>
                    <w:t xml:space="preserve">+0.73</w:t>
                  </w:r>
                </w:p>
              </w:tc>
              <w:tc>
                <w:tcPr>
                  <w:tcW w:w="864" w:type="dxa"/>
                </w:tcPr>
                <w:p>
                  <w:pPr>
                    <w:pStyle w:val="Compact"/>
                    <w:jc w:val="left"/>
                    <w:rPr>
                      <w:sz w:val="15"/>
                      <w:szCs w:val="15"/>
                    </w:rPr>
                  </w:pPr>
                  <w:r>
                    <w:rPr>
                      <w:sz w:val="15"/>
                      <w:szCs w:val="15"/>
                    </w:rPr>
                    <w:t xml:space="preserve">+1.24</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115.46</w:t>
                  </w:r>
                </w:p>
              </w:tc>
              <w:tc>
                <w:tcPr>
                  <w:tcW w:w="864" w:type="dxa"/>
                </w:tcPr>
                <w:p>
                  <w:pPr>
                    <w:pStyle w:val="Compact"/>
                    <w:jc w:val="left"/>
                    <w:rPr>
                      <w:sz w:val="15"/>
                      <w:szCs w:val="15"/>
                    </w:rPr>
                  </w:pPr>
                  <w:r>
                    <w:rPr>
                      <w:sz w:val="15"/>
                      <w:szCs w:val="15"/>
                    </w:rPr>
                    <w:t xml:space="preserve">20.88</w:t>
                  </w:r>
                </w:p>
              </w:tc>
              <w:tc>
                <w:tcPr>
                  <w:tcW w:w="864" w:type="dxa"/>
                </w:tcPr>
                <w:p>
                  <w:pPr>
                    <w:pStyle w:val="Compact"/>
                    <w:jc w:val="left"/>
                    <w:rPr>
                      <w:sz w:val="15"/>
                      <w:szCs w:val="15"/>
                    </w:rPr>
                  </w:pPr>
                  <w:r>
                    <w:rPr>
                      <w:sz w:val="15"/>
                      <w:szCs w:val="15"/>
                    </w:rPr>
                    <w:t xml:space="preserve">0.062</w:t>
                  </w:r>
                </w:p>
              </w:tc>
              <w:tc>
                <w:tcPr>
                  <w:tcW w:w="864" w:type="dxa"/>
                </w:tcPr>
                <w:p>
                  <w:pPr>
                    <w:pStyle w:val="Compact"/>
                    <w:jc w:val="left"/>
                    <w:rPr>
                      <w:sz w:val="15"/>
                      <w:szCs w:val="15"/>
                    </w:rPr>
                  </w:pPr>
                  <w:r>
                    <w:rPr>
                      <w:sz w:val="15"/>
                      <w:szCs w:val="15"/>
                    </w:rPr>
                    <w:t xml:space="preserve">116.00</w:t>
                  </w:r>
                </w:p>
              </w:tc>
              <w:tc>
                <w:tcPr>
                  <w:tcW w:w="863" w:type="dxa"/>
                </w:tcPr>
                <w:p>
                  <w:pPr>
                    <w:pStyle w:val="Compact"/>
                    <w:jc w:val="left"/>
                    <w:rPr>
                      <w:sz w:val="15"/>
                      <w:szCs w:val="15"/>
                    </w:rPr>
                  </w:pPr>
                  <w:r>
                    <w:rPr>
                      <w:sz w:val="15"/>
                      <w:szCs w:val="15"/>
                    </w:rPr>
                    <w:t xml:space="preserve">22.00</w:t>
                  </w:r>
                </w:p>
              </w:tc>
              <w:tc>
                <w:tcPr>
                  <w:tcW w:w="864" w:type="dxa"/>
                </w:tcPr>
                <w:p>
                  <w:pPr>
                    <w:pStyle w:val="Compact"/>
                    <w:jc w:val="left"/>
                    <w:rPr>
                      <w:sz w:val="15"/>
                      <w:szCs w:val="15"/>
                    </w:rPr>
                  </w:pPr>
                  <w:r>
                    <w:rPr>
                      <w:sz w:val="15"/>
                      <w:szCs w:val="15"/>
                    </w:rPr>
                    <w:t xml:space="preserve">237.00</w:t>
                  </w:r>
                </w:p>
              </w:tc>
              <w:tc>
                <w:tcPr>
                  <w:tcW w:w="864" w:type="dxa"/>
                </w:tcPr>
                <w:p>
                  <w:pPr>
                    <w:pStyle w:val="Compact"/>
                    <w:jc w:val="left"/>
                    <w:rPr>
                      <w:sz w:val="15"/>
                      <w:szCs w:val="15"/>
                    </w:rPr>
                  </w:pPr>
                  <w:r>
                    <w:rPr>
                      <w:sz w:val="15"/>
                      <w:szCs w:val="15"/>
                    </w:rPr>
                    <w:t xml:space="preserve">-0.78</w:t>
                  </w:r>
                </w:p>
              </w:tc>
              <w:tc>
                <w:tcPr>
                  <w:tcW w:w="864" w:type="dxa"/>
                </w:tcPr>
                <w:p>
                  <w:pPr>
                    <w:pStyle w:val="Compact"/>
                    <w:jc w:val="left"/>
                    <w:rPr>
                      <w:sz w:val="15"/>
                      <w:szCs w:val="15"/>
                    </w:rPr>
                  </w:pPr>
                  <w:r>
                    <w:rPr>
                      <w:sz w:val="15"/>
                      <w:szCs w:val="15"/>
                    </w:rPr>
                    <w:t xml:space="preserve">+1.97</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26.97</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27.90</w:t>
                  </w:r>
                </w:p>
              </w:tc>
              <w:tc>
                <w:tcPr>
                  <w:tcW w:w="863" w:type="dxa"/>
                </w:tcPr>
                <w:p>
                  <w:pPr>
                    <w:pStyle w:val="Compact"/>
                    <w:jc w:val="left"/>
                    <w:rPr>
                      <w:sz w:val="15"/>
                      <w:szCs w:val="15"/>
                    </w:rPr>
                  </w:pPr>
                  <w:r>
                    <w:rPr>
                      <w:sz w:val="15"/>
                      <w:szCs w:val="15"/>
                    </w:rPr>
                    <w:t xml:space="preserve">7.00</w:t>
                  </w:r>
                </w:p>
              </w:tc>
              <w:tc>
                <w:tcPr>
                  <w:tcW w:w="864" w:type="dxa"/>
                </w:tcPr>
                <w:p>
                  <w:pPr>
                    <w:pStyle w:val="Compact"/>
                    <w:jc w:val="left"/>
                    <w:rPr>
                      <w:sz w:val="15"/>
                      <w:szCs w:val="15"/>
                    </w:rPr>
                  </w:pPr>
                  <w:r>
                    <w:rPr>
                      <w:sz w:val="15"/>
                      <w:szCs w:val="15"/>
                    </w:rPr>
                    <w:t xml:space="preserve">40.30</w:t>
                  </w:r>
                </w:p>
              </w:tc>
              <w:tc>
                <w:tcPr>
                  <w:tcW w:w="864" w:type="dxa"/>
                </w:tcPr>
                <w:p>
                  <w:pPr>
                    <w:pStyle w:val="Compact"/>
                    <w:jc w:val="left"/>
                    <w:rPr>
                      <w:sz w:val="15"/>
                      <w:szCs w:val="15"/>
                    </w:rPr>
                  </w:pPr>
                  <w:r>
                    <w:rPr>
                      <w:sz w:val="15"/>
                      <w:szCs w:val="15"/>
                    </w:rPr>
                    <w:t xml:space="preserve">-0.26</w:t>
                  </w:r>
                </w:p>
              </w:tc>
              <w:tc>
                <w:tcPr>
                  <w:tcW w:w="864" w:type="dxa"/>
                </w:tcPr>
                <w:p>
                  <w:pPr>
                    <w:pStyle w:val="Compact"/>
                    <w:jc w:val="left"/>
                    <w:rPr>
                      <w:sz w:val="15"/>
                      <w:szCs w:val="15"/>
                    </w:rPr>
                  </w:pPr>
                  <w:r>
                    <w:rPr>
                      <w:sz w:val="15"/>
                      <w:szCs w:val="15"/>
                    </w:rPr>
                    <w:t xml:space="preserve">+0.23</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272.33</w:t>
                  </w:r>
                </w:p>
              </w:tc>
              <w:tc>
                <w:tcPr>
                  <w:tcW w:w="864" w:type="dxa"/>
                </w:tcPr>
                <w:p>
                  <w:pPr>
                    <w:pStyle w:val="Compact"/>
                    <w:jc w:val="left"/>
                    <w:rPr>
                      <w:sz w:val="15"/>
                      <w:szCs w:val="15"/>
                    </w:rPr>
                  </w:pPr>
                  <w:r>
                    <w:rPr>
                      <w:sz w:val="15"/>
                      <w:szCs w:val="15"/>
                    </w:rPr>
                    <w:t xml:space="preserve">131.38</w:t>
                  </w:r>
                </w:p>
              </w:tc>
              <w:tc>
                <w:tcPr>
                  <w:tcW w:w="864" w:type="dxa"/>
                </w:tcPr>
                <w:p>
                  <w:pPr>
                    <w:pStyle w:val="Compact"/>
                    <w:jc w:val="left"/>
                    <w:rPr>
                      <w:sz w:val="15"/>
                      <w:szCs w:val="15"/>
                    </w:rPr>
                  </w:pPr>
                  <w:r>
                    <w:rPr>
                      <w:sz w:val="15"/>
                      <w:szCs w:val="15"/>
                    </w:rPr>
                    <w:t xml:space="preserve">0.393</w:t>
                  </w:r>
                </w:p>
              </w:tc>
              <w:tc>
                <w:tcPr>
                  <w:tcW w:w="864" w:type="dxa"/>
                </w:tcPr>
                <w:p>
                  <w:pPr>
                    <w:pStyle w:val="Compact"/>
                    <w:jc w:val="left"/>
                    <w:rPr>
                      <w:sz w:val="15"/>
                      <w:szCs w:val="15"/>
                    </w:rPr>
                  </w:pPr>
                  <w:r>
                    <w:rPr>
                      <w:sz w:val="15"/>
                      <w:szCs w:val="15"/>
                    </w:rPr>
                    <w:t xml:space="preserve">281.47</w:t>
                  </w:r>
                </w:p>
              </w:tc>
              <w:tc>
                <w:tcPr>
                  <w:tcW w:w="863" w:type="dxa"/>
                </w:tcPr>
                <w:p>
                  <w:pPr>
                    <w:pStyle w:val="Compact"/>
                    <w:jc w:val="left"/>
                    <w:rPr>
                      <w:sz w:val="15"/>
                      <w:szCs w:val="15"/>
                    </w:rPr>
                  </w:pPr>
                  <w:r>
                    <w:rPr>
                      <w:sz w:val="15"/>
                      <w:szCs w:val="15"/>
                    </w:rPr>
                    <w:t xml:space="preserve">0.82</w:t>
                  </w:r>
                </w:p>
              </w:tc>
              <w:tc>
                <w:tcPr>
                  <w:tcW w:w="864" w:type="dxa"/>
                </w:tcPr>
                <w:p>
                  <w:pPr>
                    <w:pStyle w:val="Compact"/>
                    <w:jc w:val="left"/>
                    <w:rPr>
                      <w:sz w:val="15"/>
                      <w:szCs w:val="15"/>
                    </w:rPr>
                  </w:pPr>
                  <w:r>
                    <w:rPr>
                      <w:sz w:val="15"/>
                      <w:szCs w:val="15"/>
                    </w:rPr>
                    <w:t xml:space="preserve">586.61</w:t>
                  </w:r>
                </w:p>
              </w:tc>
              <w:tc>
                <w:tcPr>
                  <w:tcW w:w="864" w:type="dxa"/>
                </w:tcPr>
                <w:p>
                  <w:pPr>
                    <w:pStyle w:val="Compact"/>
                    <w:jc w:val="left"/>
                    <w:rPr>
                      <w:sz w:val="15"/>
                      <w:szCs w:val="15"/>
                    </w:rPr>
                  </w:pPr>
                  <w:r>
                    <w:rPr>
                      <w:sz w:val="15"/>
                      <w:szCs w:val="15"/>
                    </w:rPr>
                    <w:t xml:space="preserve">+0.01</w:t>
                  </w:r>
                </w:p>
              </w:tc>
              <w:tc>
                <w:tcPr>
                  <w:tcW w:w="864" w:type="dxa"/>
                </w:tcPr>
                <w:p>
                  <w:pPr>
                    <w:pStyle w:val="Compact"/>
                    <w:jc w:val="left"/>
                    <w:rPr>
                      <w:sz w:val="15"/>
                      <w:szCs w:val="15"/>
                    </w:rPr>
                  </w:pPr>
                  <w:r>
                    <w:rPr>
                      <w:sz w:val="15"/>
                      <w:szCs w:val="15"/>
                    </w:rPr>
                    <w:t xml:space="preserve">-0.35</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20.11</w:t>
                  </w:r>
                </w:p>
              </w:tc>
              <w:tc>
                <w:tcPr>
                  <w:tcW w:w="864" w:type="dxa"/>
                </w:tcPr>
                <w:p>
                  <w:pPr>
                    <w:pStyle w:val="Compact"/>
                    <w:jc w:val="left"/>
                    <w:rPr>
                      <w:sz w:val="15"/>
                      <w:szCs w:val="15"/>
                    </w:rPr>
                  </w:pPr>
                  <w:r>
                    <w:rPr>
                      <w:sz w:val="15"/>
                      <w:szCs w:val="15"/>
                    </w:rPr>
                    <w:t xml:space="preserve">23.93</w:t>
                  </w:r>
                </w:p>
              </w:tc>
              <w:tc>
                <w:tcPr>
                  <w:tcW w:w="864" w:type="dxa"/>
                </w:tcPr>
                <w:p>
                  <w:pPr>
                    <w:pStyle w:val="Compact"/>
                    <w:jc w:val="left"/>
                    <w:rPr>
                      <w:sz w:val="15"/>
                      <w:szCs w:val="15"/>
                    </w:rPr>
                  </w:pPr>
                  <w:r>
                    <w:rPr>
                      <w:sz w:val="15"/>
                      <w:szCs w:val="15"/>
                    </w:rPr>
                    <w:t xml:space="preserve">0.072</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+1.45</w:t>
                  </w:r>
                </w:p>
              </w:tc>
              <w:tc>
                <w:tcPr>
                  <w:tcW w:w="864" w:type="dxa"/>
                </w:tcPr>
                <w:p>
                  <w:pPr>
                    <w:pStyle w:val="Compact"/>
                    <w:jc w:val="left"/>
                    <w:rPr>
                      <w:sz w:val="15"/>
                      <w:szCs w:val="15"/>
                    </w:rPr>
                  </w:pPr>
                  <w:r>
                    <w:rPr>
                      <w:sz w:val="15"/>
                      <w:szCs w:val="15"/>
                    </w:rPr>
                    <w:t xml:space="preserve">+1.56</w:t>
                  </w:r>
                </w:p>
              </w:tc>
            </w:tr>
            <w:tr>
              <w:trPr>
                <w:trHeight w:val="454" w:hRule="auto"/>
              </w:trPr>
              <w:tc>
                <w:tcPr>
                  <w:tcW w:w="2446" w:type="dxa"/>
                </w:tcPr>
                <w:p>
                  <w:pPr>
                    <w:pStyle w:val="Compact"/>
                    <w:jc w:val="left"/>
                    <w:rPr>
                      <w:sz w:val="16"/>
                      <w:szCs w:val="16"/>
                    </w:rPr>
                  </w:pPr>
                  <w:r>
                    <w:rPr>
                      <w:sz w:val="16"/>
                      <w:szCs w:val="16"/>
                    </w:rPr>
                    <w:t xml:space="preserve">Susceptible pine BA (m² ha⁻¹)</w:t>
                  </w:r>
                </w:p>
              </w:tc>
              <w:tc>
                <w:tcPr>
                  <w:tcW w:w="863" w:type="dxa"/>
                </w:tcPr>
                <w:p>
                  <w:pPr>
                    <w:pStyle w:val="Compact"/>
                    <w:jc w:val="left"/>
                    <w:rPr>
                      <w:sz w:val="15"/>
                      <w:szCs w:val="15"/>
                    </w:rPr>
                  </w:pPr>
                  <w:r>
                    <w:rPr>
                      <w:sz w:val="15"/>
                      <w:szCs w:val="15"/>
                    </w:rPr>
                    <w:t xml:space="preserve">7.07</w:t>
                  </w:r>
                </w:p>
              </w:tc>
              <w:tc>
                <w:tcPr>
                  <w:tcW w:w="864" w:type="dxa"/>
                </w:tcPr>
                <w:p>
                  <w:pPr>
                    <w:pStyle w:val="Compact"/>
                    <w:jc w:val="left"/>
                    <w:rPr>
                      <w:sz w:val="15"/>
                      <w:szCs w:val="15"/>
                    </w:rPr>
                  </w:pPr>
                  <w:r>
                    <w:rPr>
                      <w:sz w:val="15"/>
                      <w:szCs w:val="15"/>
                    </w:rPr>
                    <w:t xml:space="preserve">8.85</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4.00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+1.63</w:t>
                  </w:r>
                </w:p>
              </w:tc>
              <w:tc>
                <w:tcPr>
                  <w:tcW w:w="864" w:type="dxa"/>
                </w:tcPr>
                <w:p>
                  <w:pPr>
                    <w:pStyle w:val="Compact"/>
                    <w:jc w:val="left"/>
                    <w:rPr>
                      <w:sz w:val="15"/>
                      <w:szCs w:val="15"/>
                    </w:rPr>
                  </w:pPr>
                  <w:r>
                    <w:rPr>
                      <w:sz w:val="15"/>
                      <w:szCs w:val="15"/>
                    </w:rPr>
                    <w:t xml:space="preserve">+2.63</w:t>
                  </w:r>
                </w:p>
              </w:tc>
            </w:tr>
            <w:tr>
              <w:trPr>
                <w:trHeight w:val="340" w:hRule="atLeast"/>
              </w:trPr>
              <w:tc>
                <w:tcPr>
                  <w:tcW w:w="9356" w:type="dxa"/>
                  <w:gridSpan w:val="9"/>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r>
          </w:tbl>
          <w:bookmarkEnd w:id="40"/>
          <w:p/>
        </w:tc>
      </w:tr>
    </w:tbl>
    <w:p>
      <w:pPr>
        <w:pStyle w:val="BodyText"/>
      </w:pPr>
      <w:r>
        <w:t xml:space="preserve">The inventory is a projected operational product rather than a census, and its polygons here had reference years spanning several decades. A polygon interpreted from late-outbreak photography described a stand the beetle had already attacked, and basal area and pine cover were post-attack over part of the study window. Unattacked vintages were not reported in this study, and the limit this places on the results is taken up in the Discussion.</w:t>
      </w:r>
    </w:p>
    <w:bookmarkEnd w:id="41"/>
    <w:bookmarkStart w:id="42" w:name="geomorphometry"/>
    <w:p>
      <w:pPr>
        <w:pStyle w:val="Heading2"/>
      </w:pPr>
      <w:r>
        <w:t xml:space="preserve">2.5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and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7-fold range here against 2.6-fold for the season total.</w:t>
      </w:r>
    </w:p>
    <w:p>
      <w:pPr>
        <w:pStyle w:val="BodyText"/>
      </w:pPr>
      <w:r>
        <w:t xml:space="preserve">Exposure entered as the windward-leeward index and effective air flow height at the prevailing bearing, the wind exposition index over all directions,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and topographic openness. Shape entered as terrain ruggedness, vector ruggedness, topographic position and its multi-scale form, convergence, slope, curvature and geomorphon class, a landform class read from the pattern of horizons visible around a cell. Landform entered as topographic wetness, valley depth, height above the valley floor, normalised height and mid-slope position, because infested groups are reported in draws and gullies and deep snow insulates overwintering brood</w:t>
      </w:r>
      <w:r>
        <w:t xml:space="preserve"> </w:t>
      </w:r>
      <w:r>
        <w:t xml:space="preserve">(Safranyik and Carroll 2006)</w:t>
      </w:r>
      <w:r>
        <w:t xml:space="preserve">, and because slope was one of the two site variables that best explained symptom abundance after attack by the European spruce bark beetle</w:t>
      </w:r>
      <w:r>
        <w:t xml:space="preserve"> </w:t>
      </w:r>
      <w:r>
        <w:t xml:space="preserve">(Kautz et al. 2023)</w:t>
      </w:r>
      <w:r>
        <w:t xml:space="preserve">. Aspect entered as its northward and eastward components with the heat load index of</w:t>
      </w:r>
      <w:r>
        <w:t xml:space="preserve"> </w:t>
      </w:r>
      <w:r>
        <w:t xml:space="preserve">McCune and Keon (2002)</w:t>
      </w:r>
      <w:r>
        <w:t xml:space="preserve">.</w:t>
      </w:r>
    </w:p>
    <w:bookmarkEnd w:id="42"/>
    <w:bookmarkStart w:id="45" w:name="beetle-refugia-modelling"/>
    <w:p>
      <w:pPr>
        <w:pStyle w:val="Heading2"/>
      </w:pPr>
      <w:r>
        <w:t xml:space="preserve">2.6 Beetle refugia modelling</w:t>
      </w:r>
    </w:p>
    <w:p>
      <w:pPr>
        <w:pStyle w:val="FirstParagraph"/>
      </w:pPr>
      <w:r>
        <w:t xml:space="preserve">Candidates were grouped by pathway, stand density, host size, topographic shading, flight-window radiation, terrain exposure to wind, terrain shape, landform and flight-window wind. Selection ran over four stages and was required to keep at least one variable from each pathway, so that a filter could not silently remove a hypothesis the Introduction established. Candidates whose univariate logistic fit was not significant at 0.01 left first. Clusters at an absolute correlation of 0.75 then kept their member with the highest univariate area under the receiver operating characteristic curve (AUC), variables were removed until every variance inflation factor was below 5, and a lasso penalty chosen by ten-fold cross-validation at the one-standard-error rule, the selection</w:t>
      </w:r>
      <w:r>
        <w:t xml:space="preserve"> </w:t>
      </w:r>
      <w:r>
        <w:t xml:space="preserve">Murphy et al. (2026)</w:t>
      </w:r>
      <w:r>
        <w:t xml:space="preserve"> </w:t>
      </w:r>
      <w:r>
        <w:t xml:space="preserve">used, removed the rest, with the highest-ranked survivor of each pathway exempt. Table S3 gives every candidate and the stage at which it left. The 15 variables that entered the models, 8 of them terrain, are listed in</w:t>
      </w:r>
      <w:r>
        <w:t xml:space="preserve"> </w:t>
      </w:r>
      <w:hyperlink w:anchor="tbl-variables">
        <w:r>
          <w:rPr>
            <w:rStyle w:val="Hyperlink"/>
          </w:rPr>
          <w:t xml:space="preserve">Table 2</w:t>
        </w:r>
      </w:hyperlink>
      <w:r>
        <w:t xml:space="preserve"> </w:t>
      </w:r>
      <w:r>
        <w:t xml:space="preserve">with the direction expected of each. Fitting used a class-balanced sample of 42,791 cell-years, 4,000 of each class per year, because landscape prevalence was about 10 per cent and an unbalanced fit at that prevalence would report the magnitude of the intercept rather than the effect of the covariates.</w:t>
      </w:r>
    </w:p>
    <w:tbl>
      <w:tblPr>
        <w:tblStyle w:val="Table"/>
        <w:tblW w:type="pct" w:w="5000"/>
        <w:tblLayout w:type="fixed"/>
        <w:tblLook w:firstRow="0" w:lastRow="0" w:firstColumn="0" w:lastColumn="0" w:noHBand="0" w:noVBand="0" w:val="0000"/>
      </w:tblPr>
      <w:tblGrid>
        <w:gridCol w:w="7920"/>
      </w:tblGrid>
      <w:tr>
        <w:tc>
          <w:tcPr/>
          <w:bookmarkStart w:id="43" w:name="tbl-variables"/>
          <w:p>
            <w:pPr>
              <w:jc w:val="center"/>
            </w:pPr>
            <w:pPr>
              <w:jc w:val="start"/>
              <w:spacing w:before="200"/>
              <w:pStyle w:val="ImageCaption"/>
            </w:pPr>
            <w:r>
              <w:t xml:space="preserve">Table 2: 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Look w:firstRow="1" w:lastRow="0" w:firstColumn="0" w:lastColumn="0" w:noHBand="0" w:noVBand="0" w:val="0020"/>
              <w:tblW w:w="9354" w:type="dxa"/>
              <w:tblLayout w:type="fixed"/>
            </w:tblPr>
            <w:tblGrid>
              <w:gridCol w:w="1800"/>
              <w:gridCol w:w="2518"/>
              <w:gridCol w:w="2518"/>
              <w:gridCol w:w="2518"/>
            </w:tblGrid>
            <w:tr>
              <w:trPr>
                <w:tblHeader w:val="on"/>
                <w:trHeight w:val="397" w:hRule="exact"/>
              </w:trPr>
              <w:tc>
                <w:tcPr>
                  <w:tcW w:w="1800" w:type="dxa"/>
                  <w:vAlign w:val="center"/>
                </w:tcPr>
                <w:p>
                  <w:pPr>
                    <w:pStyle w:val="Compact"/>
                    <w:jc w:val="left"/>
                    <w:rPr>
                      <w:sz w:val="16"/>
                      <w:szCs w:val="16"/>
                    </w:rPr>
                  </w:pPr>
                  <w:r>
                    <w:rPr>
                      <w:b/>
                      <w:sz w:val="16"/>
                      <w:szCs w:val="16"/>
                    </w:rPr>
                    <w:t xml:space="preserve">Variable</w:t>
                  </w:r>
                </w:p>
              </w:tc>
              <w:tc>
                <w:tcPr>
                  <w:tcW w:w="2518" w:type="dxa"/>
                  <w:vAlign w:val="center"/>
                </w:tcPr>
                <w:p>
                  <w:pPr>
                    <w:pStyle w:val="Compact"/>
                    <w:jc w:val="left"/>
                    <w:rPr>
                      <w:sz w:val="16"/>
                      <w:szCs w:val="16"/>
                    </w:rPr>
                  </w:pPr>
                  <w:r>
                    <w:rPr>
                      <w:b/>
                      <w:sz w:val="16"/>
                      <w:szCs w:val="16"/>
                    </w:rPr>
                    <w:t xml:space="preserve">Pathway</w:t>
                  </w:r>
                </w:p>
              </w:tc>
              <w:tc>
                <w:tcPr>
                  <w:tcW w:w="2518" w:type="dxa"/>
                  <w:vAlign w:val="center"/>
                </w:tcPr>
                <w:p>
                  <w:pPr>
                    <w:pStyle w:val="Compact"/>
                    <w:jc w:val="left"/>
                    <w:rPr>
                      <w:sz w:val="16"/>
                      <w:szCs w:val="16"/>
                    </w:rPr>
                  </w:pPr>
                  <w:r>
                    <w:rPr>
                      <w:b/>
                      <w:sz w:val="16"/>
                      <w:szCs w:val="16"/>
                    </w:rPr>
                    <w:t xml:space="preserve">Expected</w:t>
                  </w:r>
                </w:p>
              </w:tc>
              <w:tc>
                <w:tcPr>
                  <w:tcW w:w="2518" w:type="dxa"/>
                  <w:vAlign w:val="center"/>
                </w:tcPr>
                <w:p>
                  <w:pPr>
                    <w:pStyle w:val="Compact"/>
                    <w:jc w:val="left"/>
                    <w:rPr>
                      <w:sz w:val="16"/>
                      <w:szCs w:val="16"/>
                    </w:rPr>
                  </w:pPr>
                  <w:r>
                    <w:rPr>
                      <w:b/>
                      <w:sz w:val="16"/>
                      <w:szCs w:val="16"/>
                    </w:rPr>
                    <w:t xml:space="preserve">Univariate AUC</w:t>
                  </w:r>
                </w:p>
              </w:tc>
            </w:tr>
            <w:tr>
              <w:trPr>
                <w:trHeight w:val="624" w:hRule="exact"/>
              </w:trPr>
              <w:tc>
                <w:tcPr>
                  <w:tcW w:w="1800" w:type="dxa"/>
                  <w:vAlign w:val="center"/>
                </w:tcPr>
                <w:p>
                  <w:pPr>
                    <w:pStyle w:val="Compact"/>
                    <w:jc w:val="left"/>
                    <w:rPr>
                      <w:sz w:val="16"/>
                      <w:szCs w:val="16"/>
                    </w:rPr>
                  </w:pPr>
                  <w:r>
                    <w:rPr>
                      <w:sz w:val="16"/>
                      <w:szCs w:val="16"/>
                    </w:rPr>
                    <w:t xml:space="preserve">Elevation (m)</w:t>
                  </w:r>
                </w:p>
              </w:tc>
              <w:tc>
                <w:tcPr>
                  <w:tcW w:w="2518" w:type="dxa"/>
                  <w:vAlign w:val="center"/>
                </w:tcPr>
                <w:p>
                  <w:pPr>
                    <w:pStyle w:val="Compact"/>
                    <w:jc w:val="left"/>
                    <w:rPr>
                      <w:sz w:val="16"/>
                      <w:szCs w:val="16"/>
                    </w:rPr>
                  </w:pPr>
                  <w:r>
                    <w:rPr>
                      <w:sz w:val="16"/>
                      <w:szCs w:val="16"/>
                    </w:rPr>
                    <w:t xml:space="preserve">Landform</w:t>
                  </w:r>
                </w:p>
              </w:tc>
              <w:tc>
                <w:tcPr>
                  <w:tcW w:w="2518" w:type="dxa"/>
                  <w:vAlign w:val="center"/>
                </w:tcPr>
                <w:p>
                  <w:pPr>
                    <w:pStyle w:val="Compact"/>
                    <w:jc w:val="left"/>
                    <w:rPr>
                      <w:sz w:val="16"/>
                      <w:szCs w:val="16"/>
                    </w:rPr>
                  </w:pPr>
                  <w:r>
                    <w:rPr>
                      <w:sz w:val="16"/>
                      <w:szCs w:val="16"/>
                    </w:rPr>
                    <w:t xml:space="preserve">uncertain</w:t>
                  </w:r>
                </w:p>
              </w:tc>
              <w:tc>
                <w:tcPr>
                  <w:tcW w:w="2518" w:type="dxa"/>
                  <w:vAlign w:val="center"/>
                </w:tcPr>
                <w:p>
                  <w:pPr>
                    <w:pStyle w:val="Compact"/>
                    <w:jc w:val="left"/>
                    <w:rPr>
                      <w:sz w:val="16"/>
                      <w:szCs w:val="16"/>
                    </w:rPr>
                  </w:pPr>
                  <w:r>
                    <w:rPr>
                      <w:sz w:val="16"/>
                      <w:szCs w:val="16"/>
                    </w:rPr>
                    <w:t xml:space="preserve">0.682****</w:t>
                  </w:r>
                </w:p>
              </w:tc>
            </w:tr>
            <w:tr>
              <w:trPr>
                <w:trHeight w:val="624" w:hRule="exact"/>
              </w:trPr>
              <w:tc>
                <w:tcPr>
                  <w:tcW w:w="1800" w:type="dxa"/>
                  <w:vAlign w:val="center"/>
                </w:tcPr>
                <w:p>
                  <w:pPr>
                    <w:pStyle w:val="Compact"/>
                    <w:jc w:val="left"/>
                    <w:rPr>
                      <w:sz w:val="16"/>
                      <w:szCs w:val="16"/>
                    </w:rPr>
                  </w:pPr>
                  <w:r>
                    <w:rPr>
                      <w:sz w:val="16"/>
                      <w:szCs w:val="16"/>
                    </w:rPr>
                    <w:t xml:space="preserve">Susceptible pine BA (m² ha⁻¹)</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0.678****</w:t>
                  </w:r>
                </w:p>
              </w:tc>
            </w:tr>
            <w:tr>
              <w:trPr>
                <w:trHeight w:val="624" w:hRule="exact"/>
              </w:trPr>
              <w:tc>
                <w:tcPr>
                  <w:tcW w:w="1800" w:type="dxa"/>
                  <w:vAlign w:val="center"/>
                </w:tcPr>
                <w:p>
                  <w:pPr>
                    <w:pStyle w:val="Compact"/>
                    <w:jc w:val="left"/>
                    <w:rPr>
                      <w:sz w:val="16"/>
                      <w:szCs w:val="16"/>
                    </w:rPr>
                  </w:pPr>
                  <w:r>
                    <w:rPr>
                      <w:sz w:val="16"/>
                      <w:szCs w:val="16"/>
                    </w:rPr>
                    <w:t xml:space="preserve">Stand basal area (m² ha⁻¹)</w:t>
                  </w:r>
                </w:p>
              </w:tc>
              <w:tc>
                <w:tcPr>
                  <w:tcW w:w="2518" w:type="dxa"/>
                  <w:vAlign w:val="center"/>
                </w:tcPr>
                <w:p>
                  <w:pPr>
                    <w:pStyle w:val="Compact"/>
                    <w:jc w:val="left"/>
                    <w:rPr>
                      <w:sz w:val="16"/>
                      <w:szCs w:val="16"/>
                    </w:rPr>
                  </w:pPr>
                  <w:r>
                    <w:rPr>
                      <w:sz w:val="16"/>
                      <w:szCs w:val="16"/>
                    </w:rPr>
                    <w:t xml:space="preserve">Stand density</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0.601****</w:t>
                  </w:r>
                </w:p>
              </w:tc>
            </w:tr>
            <w:tr>
              <w:trPr>
                <w:trHeight w:val="624" w:hRule="exact"/>
              </w:trPr>
              <w:tc>
                <w:tcPr>
                  <w:tcW w:w="1800" w:type="dxa"/>
                  <w:vAlign w:val="center"/>
                </w:tcPr>
                <w:p>
                  <w:pPr>
                    <w:pStyle w:val="Compact"/>
                    <w:jc w:val="left"/>
                    <w:rPr>
                      <w:sz w:val="16"/>
                      <w:szCs w:val="16"/>
                    </w:rPr>
                  </w:pPr>
                  <w:r>
                    <w:rPr>
                      <w:sz w:val="16"/>
                      <w:szCs w:val="16"/>
                    </w:rPr>
                    <w:t xml:space="preserve">Sky view factor</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positive, as main effect</w:t>
                  </w:r>
                </w:p>
              </w:tc>
              <w:tc>
                <w:tcPr>
                  <w:tcW w:w="2518" w:type="dxa"/>
                  <w:vAlign w:val="center"/>
                </w:tcPr>
                <w:p>
                  <w:pPr>
                    <w:pStyle w:val="Compact"/>
                    <w:jc w:val="left"/>
                    <w:rPr>
                      <w:sz w:val="16"/>
                      <w:szCs w:val="16"/>
                    </w:rPr>
                  </w:pPr>
                  <w:r>
                    <w:rPr>
                      <w:sz w:val="16"/>
                      <w:szCs w:val="16"/>
                    </w:rPr>
                    <w:t xml:space="preserve">0.686****</w:t>
                  </w:r>
                </w:p>
              </w:tc>
            </w:tr>
            <w:tr>
              <w:trPr>
                <w:trHeight w:val="624" w:hRule="exact"/>
              </w:trPr>
              <w:tc>
                <w:tcPr>
                  <w:tcW w:w="1800" w:type="dxa"/>
                  <w:vAlign w:val="center"/>
                </w:tcPr>
                <w:p>
                  <w:pPr>
                    <w:pStyle w:val="Compact"/>
                    <w:jc w:val="left"/>
                    <w:rPr>
                      <w:sz w:val="16"/>
                      <w:szCs w:val="16"/>
                    </w:rPr>
                  </w:pPr>
                  <w:r>
                    <w:rPr>
                      <w:sz w:val="16"/>
                      <w:szCs w:val="16"/>
                    </w:rPr>
                    <w:t xml:space="preserve">Stand age (years)</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0.571****</w:t>
                  </w:r>
                </w:p>
              </w:tc>
            </w:tr>
            <w:tr>
              <w:trPr>
                <w:trHeight w:val="624" w:hRule="exact"/>
              </w:trPr>
              <w:tc>
                <w:tcPr>
                  <w:tcW w:w="1800" w:type="dxa"/>
                  <w:vAlign w:val="center"/>
                </w:tcPr>
                <w:p>
                  <w:pPr>
                    <w:pStyle w:val="Compact"/>
                    <w:jc w:val="left"/>
                    <w:rPr>
                      <w:sz w:val="16"/>
                      <w:szCs w:val="16"/>
                    </w:rPr>
                  </w:pPr>
                  <w:r>
                    <w:rPr>
                      <w:sz w:val="16"/>
                      <w:szCs w:val="16"/>
                    </w:rPr>
                    <w:t xml:space="preserve">July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0.563****</w:t>
                  </w:r>
                </w:p>
              </w:tc>
            </w:tr>
            <w:tr>
              <w:trPr>
                <w:trHeight w:val="624" w:hRule="exact"/>
              </w:trPr>
              <w:tc>
                <w:tcPr>
                  <w:tcW w:w="1800" w:type="dxa"/>
                  <w:vAlign w:val="center"/>
                </w:tcPr>
                <w:p>
                  <w:pPr>
                    <w:pStyle w:val="Compact"/>
                    <w:jc w:val="left"/>
                    <w:rPr>
                      <w:sz w:val="16"/>
                      <w:szCs w:val="16"/>
                    </w:rPr>
                  </w:pPr>
                  <w:r>
                    <w:rPr>
                      <w:sz w:val="16"/>
                      <w:szCs w:val="16"/>
                    </w:rPr>
                    <w:t xml:space="preserve">Northness</w:t>
                  </w:r>
                </w:p>
              </w:tc>
              <w:tc>
                <w:tcPr>
                  <w:tcW w:w="2518" w:type="dxa"/>
                  <w:vAlign w:val="center"/>
                </w:tcPr>
                <w:p>
                  <w:pPr>
                    <w:pStyle w:val="Compact"/>
                    <w:jc w:val="left"/>
                    <w:rPr>
                      <w:sz w:val="16"/>
                      <w:szCs w:val="16"/>
                    </w:rPr>
                  </w:pPr>
                  <w:r>
                    <w:rPr>
                      <w:sz w:val="16"/>
                      <w:szCs w:val="16"/>
                    </w:rPr>
                    <w:t xml:space="preserve">Topographic shading</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0.586****</w:t>
                  </w:r>
                </w:p>
              </w:tc>
            </w:tr>
            <w:tr>
              <w:trPr>
                <w:trHeight w:val="624" w:hRule="exact"/>
              </w:trPr>
              <w:tc>
                <w:tcPr>
                  <w:tcW w:w="1800" w:type="dxa"/>
                  <w:vAlign w:val="center"/>
                </w:tcPr>
                <w:p>
                  <w:pPr>
                    <w:pStyle w:val="Compact"/>
                    <w:jc w:val="left"/>
                    <w:rPr>
                      <w:sz w:val="16"/>
                      <w:szCs w:val="16"/>
                    </w:rPr>
                  </w:pPr>
                  <w:r>
                    <w:rPr>
                      <w:sz w:val="16"/>
                      <w:szCs w:val="16"/>
                    </w:rPr>
                    <w:t xml:space="preserve">Quadratic mean diameter (cm)</w:t>
                  </w:r>
                </w:p>
              </w:tc>
              <w:tc>
                <w:tcPr>
                  <w:tcW w:w="2518" w:type="dxa"/>
                  <w:vAlign w:val="center"/>
                </w:tcPr>
                <w:p>
                  <w:pPr>
                    <w:pStyle w:val="Compact"/>
                    <w:jc w:val="left"/>
                    <w:rPr>
                      <w:sz w:val="16"/>
                      <w:szCs w:val="16"/>
                    </w:rPr>
                  </w:pPr>
                  <w:r>
                    <w:rPr>
                      <w:sz w:val="16"/>
                      <w:szCs w:val="16"/>
                    </w:rPr>
                    <w:t xml:space="preserve">Host size</w:t>
                  </w:r>
                </w:p>
              </w:tc>
              <w:tc>
                <w:tcPr>
                  <w:tcW w:w="2518" w:type="dxa"/>
                  <w:vAlign w:val="center"/>
                </w:tcPr>
                <w:p>
                  <w:pPr>
                    <w:pStyle w:val="Compact"/>
                    <w:jc w:val="left"/>
                    <w:rPr>
                      <w:sz w:val="16"/>
                      <w:szCs w:val="16"/>
                    </w:rPr>
                  </w:pPr>
                  <w:r>
                    <w:rPr>
                      <w:sz w:val="16"/>
                      <w:szCs w:val="16"/>
                    </w:rPr>
                    <w:t xml:space="preserve">positive above 25 cm</w:t>
                  </w:r>
                </w:p>
              </w:tc>
              <w:tc>
                <w:tcPr>
                  <w:tcW w:w="2518" w:type="dxa"/>
                  <w:vAlign w:val="center"/>
                </w:tcPr>
                <w:p>
                  <w:pPr>
                    <w:pStyle w:val="Compact"/>
                    <w:jc w:val="left"/>
                    <w:rPr>
                      <w:sz w:val="16"/>
                      <w:szCs w:val="16"/>
                    </w:rPr>
                  </w:pPr>
                  <w:r>
                    <w:rPr>
                      <w:sz w:val="16"/>
                      <w:szCs w:val="16"/>
                    </w:rPr>
                    <w:t xml:space="preserve">0.510****</w:t>
                  </w:r>
                </w:p>
              </w:tc>
            </w:tr>
            <w:tr>
              <w:trPr>
                <w:trHeight w:val="624" w:hRule="exact"/>
              </w:trPr>
              <w:tc>
                <w:tcPr>
                  <w:tcW w:w="1800" w:type="dxa"/>
                  <w:vAlign w:val="center"/>
                </w:tcPr>
                <w:p>
                  <w:pPr>
                    <w:pStyle w:val="Compact"/>
                    <w:jc w:val="left"/>
                    <w:rPr>
                      <w:sz w:val="16"/>
                      <w:szCs w:val="16"/>
                    </w:rPr>
                  </w:pPr>
                  <w:r>
                    <w:rPr>
                      <w:sz w:val="16"/>
                      <w:szCs w:val="16"/>
                    </w:rPr>
                    <w:t xml:space="preserve">June mean wind (km/h)</w:t>
                  </w:r>
                </w:p>
              </w:tc>
              <w:tc>
                <w:tcPr>
                  <w:tcW w:w="2518" w:type="dxa"/>
                  <w:vAlign w:val="center"/>
                </w:tcPr>
                <w:p>
                  <w:pPr>
                    <w:pStyle w:val="Compact"/>
                    <w:jc w:val="left"/>
                    <w:rPr>
                      <w:sz w:val="16"/>
                      <w:szCs w:val="16"/>
                    </w:rPr>
                  </w:pPr>
                  <w:r>
                    <w:rPr>
                      <w:sz w:val="16"/>
                      <w:szCs w:val="16"/>
                    </w:rPr>
                    <w:t xml:space="preserve">Flight-window wind, stations</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0.534****</w:t>
                  </w:r>
                </w:p>
              </w:tc>
            </w:tr>
            <w:tr>
              <w:trPr>
                <w:trHeight w:val="624" w:hRule="exact"/>
              </w:trPr>
              <w:tc>
                <w:tcPr>
                  <w:tcW w:w="1800" w:type="dxa"/>
                  <w:vAlign w:val="center"/>
                </w:tcPr>
                <w:p>
                  <w:pPr>
                    <w:pStyle w:val="Compact"/>
                    <w:jc w:val="left"/>
                    <w:rPr>
                      <w:sz w:val="16"/>
                      <w:szCs w:val="16"/>
                    </w:rPr>
                  </w:pPr>
                  <w:r>
                    <w:rPr>
                      <w:sz w:val="16"/>
                      <w:szCs w:val="16"/>
                    </w:rPr>
                    <w:t xml:space="preserve">Wind shelter index</w:t>
                  </w:r>
                </w:p>
              </w:tc>
              <w:tc>
                <w:tcPr>
                  <w:tcW w:w="2518" w:type="dxa"/>
                  <w:vAlign w:val="center"/>
                </w:tcPr>
                <w:p>
                  <w:pPr>
                    <w:pStyle w:val="Compact"/>
                    <w:jc w:val="left"/>
                    <w:rPr>
                      <w:sz w:val="16"/>
                      <w:szCs w:val="16"/>
                    </w:rPr>
                  </w:pPr>
                  <w:r>
                    <w:rPr>
                      <w:sz w:val="16"/>
                      <w:szCs w:val="16"/>
                    </w:rPr>
                    <w:t xml:space="preserve">Terrain exposure to wind</w:t>
                  </w:r>
                </w:p>
              </w:tc>
              <w:tc>
                <w:tcPr>
                  <w:tcW w:w="2518" w:type="dxa"/>
                  <w:vAlign w:val="center"/>
                </w:tcPr>
                <w:p>
                  <w:pPr>
                    <w:pStyle w:val="Compact"/>
                    <w:jc w:val="left"/>
                    <w:rPr>
                      <w:sz w:val="16"/>
                      <w:szCs w:val="16"/>
                    </w:rPr>
                  </w:pPr>
                  <w:r>
                    <w:rPr>
                      <w:sz w:val="16"/>
                      <w:szCs w:val="16"/>
                    </w:rPr>
                    <w:t xml:space="preserve">negative, the index rising windward</w:t>
                  </w:r>
                </w:p>
              </w:tc>
              <w:tc>
                <w:tcPr>
                  <w:tcW w:w="2518" w:type="dxa"/>
                  <w:vAlign w:val="center"/>
                </w:tcPr>
                <w:p>
                  <w:pPr>
                    <w:pStyle w:val="Compact"/>
                    <w:jc w:val="left"/>
                    <w:rPr>
                      <w:sz w:val="16"/>
                      <w:szCs w:val="16"/>
                    </w:rPr>
                  </w:pPr>
                  <w:r>
                    <w:rPr>
                      <w:sz w:val="16"/>
                      <w:szCs w:val="16"/>
                    </w:rPr>
                    <w:t xml:space="preserve">0.526****</w:t>
                  </w:r>
                </w:p>
              </w:tc>
            </w:tr>
            <w:tr>
              <w:trPr>
                <w:trHeight w:val="624" w:hRule="exact"/>
              </w:trPr>
              <w:tc>
                <w:tcPr>
                  <w:tcW w:w="1800" w:type="dxa"/>
                  <w:vAlign w:val="center"/>
                </w:tcPr>
                <w:p>
                  <w:pPr>
                    <w:pStyle w:val="Compact"/>
                    <w:jc w:val="left"/>
                    <w:rPr>
                      <w:sz w:val="16"/>
                      <w:szCs w:val="16"/>
                    </w:rPr>
                  </w:pPr>
                  <w:r>
                    <w:rPr>
                      <w:sz w:val="16"/>
                      <w:szCs w:val="16"/>
                    </w:rPr>
                    <w:t xml:space="preserve">MicroMet flight-window wind (km/h)</w:t>
                  </w:r>
                </w:p>
              </w:tc>
              <w:tc>
                <w:tcPr>
                  <w:tcW w:w="2518" w:type="dxa"/>
                  <w:vAlign w:val="center"/>
                </w:tcPr>
                <w:p>
                  <w:pPr>
                    <w:pStyle w:val="Compact"/>
                    <w:jc w:val="left"/>
                    <w:rPr>
                      <w:sz w:val="16"/>
                      <w:szCs w:val="16"/>
                    </w:rPr>
                  </w:pPr>
                  <w:r>
                    <w:rPr>
                      <w:sz w:val="16"/>
                      <w:szCs w:val="16"/>
                    </w:rPr>
                    <w:t xml:space="preserve">Flight-window wind, terrain-resolved</w:t>
                  </w:r>
                </w:p>
              </w:tc>
              <w:tc>
                <w:tcPr>
                  <w:tcW w:w="2518" w:type="dxa"/>
                  <w:vAlign w:val="center"/>
                </w:tcPr>
                <w:p>
                  <w:pPr>
                    <w:pStyle w:val="Compact"/>
                    <w:jc w:val="left"/>
                    <w:rPr>
                      <w:sz w:val="16"/>
                      <w:szCs w:val="16"/>
                    </w:rPr>
                  </w:pPr>
                  <w:r>
                    <w:rPr>
                      <w:sz w:val="16"/>
                      <w:szCs w:val="16"/>
                    </w:rPr>
                    <w:t xml:space="preserve">negative</w:t>
                  </w:r>
                </w:p>
              </w:tc>
              <w:tc>
                <w:tcPr>
                  <w:tcW w:w="2518" w:type="dxa"/>
                  <w:vAlign w:val="center"/>
                </w:tcPr>
                <w:p>
                  <w:pPr>
                    <w:pStyle w:val="Compact"/>
                    <w:jc w:val="left"/>
                    <w:rPr>
                      <w:sz w:val="16"/>
                      <w:szCs w:val="16"/>
                    </w:rPr>
                  </w:pPr>
                  <w:r>
                    <w:rPr>
                      <w:sz w:val="16"/>
                      <w:szCs w:val="16"/>
                    </w:rPr>
                    <w:t xml:space="preserve">0.580****</w:t>
                  </w:r>
                </w:p>
              </w:tc>
            </w:tr>
            <w:tr>
              <w:trPr>
                <w:trHeight w:val="624" w:hRule="exact"/>
              </w:trPr>
              <w:tc>
                <w:tcPr>
                  <w:tcW w:w="1800" w:type="dxa"/>
                  <w:vAlign w:val="center"/>
                </w:tcPr>
                <w:p>
                  <w:pPr>
                    <w:pStyle w:val="Compact"/>
                    <w:jc w:val="left"/>
                    <w:rPr>
                      <w:sz w:val="16"/>
                      <w:szCs w:val="16"/>
                    </w:rPr>
                  </w:pPr>
                  <w:r>
                    <w:rPr>
                      <w:sz w:val="16"/>
                      <w:szCs w:val="16"/>
                    </w:rPr>
                    <w:t xml:space="preserve">Topographic position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0.585****</w:t>
                  </w:r>
                </w:p>
              </w:tc>
            </w:tr>
            <w:tr>
              <w:trPr>
                <w:trHeight w:val="624" w:hRule="exact"/>
              </w:trPr>
              <w:tc>
                <w:tcPr>
                  <w:tcW w:w="1800" w:type="dxa"/>
                  <w:vAlign w:val="center"/>
                </w:tcPr>
                <w:p>
                  <w:pPr>
                    <w:pStyle w:val="Compact"/>
                    <w:jc w:val="left"/>
                    <w:rPr>
                      <w:sz w:val="16"/>
                      <w:szCs w:val="16"/>
                    </w:rPr>
                  </w:pPr>
                  <w:r>
                    <w:rPr>
                      <w:sz w:val="16"/>
                      <w:szCs w:val="16"/>
                    </w:rPr>
                    <w:t xml:space="preserve">Flight-window direct radiation (kWh/m2)</w:t>
                  </w:r>
                </w:p>
              </w:tc>
              <w:tc>
                <w:tcPr>
                  <w:tcW w:w="2518" w:type="dxa"/>
                  <w:vAlign w:val="center"/>
                </w:tcPr>
                <w:p>
                  <w:pPr>
                    <w:pStyle w:val="Compact"/>
                    <w:jc w:val="left"/>
                    <w:rPr>
                      <w:sz w:val="16"/>
                      <w:szCs w:val="16"/>
                    </w:rPr>
                  </w:pPr>
                  <w:r>
                    <w:rPr>
                      <w:sz w:val="16"/>
                      <w:szCs w:val="16"/>
                    </w:rPr>
                    <w:t xml:space="preserve">Flight-window radiation</w:t>
                  </w:r>
                </w:p>
              </w:tc>
              <w:tc>
                <w:tcPr>
                  <w:tcW w:w="2518" w:type="dxa"/>
                  <w:vAlign w:val="center"/>
                </w:tcPr>
                <w:p>
                  <w:pPr>
                    <w:pStyle w:val="Compact"/>
                    <w:jc w:val="left"/>
                    <w:rPr>
                      <w:sz w:val="16"/>
                      <w:szCs w:val="16"/>
                    </w:rPr>
                  </w:pPr>
                  <w:r>
                    <w:rPr>
                      <w:sz w:val="16"/>
                      <w:szCs w:val="16"/>
                    </w:rPr>
                    <w:t xml:space="preserve">positive</w:t>
                  </w:r>
                </w:p>
              </w:tc>
              <w:tc>
                <w:tcPr>
                  <w:tcW w:w="2518" w:type="dxa"/>
                  <w:vAlign w:val="center"/>
                </w:tcPr>
                <w:p>
                  <w:pPr>
                    <w:pStyle w:val="Compact"/>
                    <w:jc w:val="left"/>
                    <w:rPr>
                      <w:sz w:val="16"/>
                      <w:szCs w:val="16"/>
                    </w:rPr>
                  </w:pPr>
                  <w:r>
                    <w:rPr>
                      <w:sz w:val="16"/>
                      <w:szCs w:val="16"/>
                    </w:rPr>
                    <w:t xml:space="preserve">0.561****</w:t>
                  </w:r>
                </w:p>
              </w:tc>
            </w:tr>
            <w:tr>
              <w:trPr>
                <w:trHeight w:val="624" w:hRule="exact"/>
              </w:trPr>
              <w:tc>
                <w:tcPr>
                  <w:tcW w:w="1800" w:type="dxa"/>
                  <w:vAlign w:val="center"/>
                </w:tcPr>
                <w:p>
                  <w:pPr>
                    <w:pStyle w:val="Compact"/>
                    <w:jc w:val="left"/>
                    <w:rPr>
                      <w:sz w:val="16"/>
                      <w:szCs w:val="16"/>
                    </w:rPr>
                  </w:pPr>
                  <w:r>
                    <w:rPr>
                      <w:sz w:val="16"/>
                      <w:szCs w:val="16"/>
                    </w:rPr>
                    <w:t xml:space="preserve">Convergence index</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0.530****</w:t>
                  </w:r>
                </w:p>
              </w:tc>
            </w:tr>
            <w:tr>
              <w:trPr>
                <w:trHeight w:val="624" w:hRule="exact"/>
              </w:trPr>
              <w:tc>
                <w:tcPr>
                  <w:tcW w:w="1800" w:type="dxa"/>
                  <w:vAlign w:val="center"/>
                </w:tcPr>
                <w:p>
                  <w:pPr>
                    <w:pStyle w:val="Compact"/>
                    <w:jc w:val="left"/>
                    <w:rPr>
                      <w:sz w:val="16"/>
                      <w:szCs w:val="16"/>
                    </w:rPr>
                  </w:pPr>
                  <w:r>
                    <w:rPr>
                      <w:sz w:val="16"/>
                      <w:szCs w:val="16"/>
                    </w:rPr>
                    <w:t xml:space="preserve">Profile curvature</w:t>
                  </w:r>
                </w:p>
              </w:tc>
              <w:tc>
                <w:tcPr>
                  <w:tcW w:w="2518" w:type="dxa"/>
                  <w:vAlign w:val="center"/>
                </w:tcPr>
                <w:p>
                  <w:pPr>
                    <w:pStyle w:val="Compact"/>
                    <w:jc w:val="left"/>
                    <w:rPr>
                      <w:sz w:val="16"/>
                      <w:szCs w:val="16"/>
                    </w:rPr>
                  </w:pPr>
                  <w:r>
                    <w:rPr>
                      <w:sz w:val="16"/>
                      <w:szCs w:val="16"/>
                    </w:rPr>
                    <w:t xml:space="preserve">Terrain shape</w:t>
                  </w:r>
                </w:p>
              </w:tc>
              <w:tc>
                <w:tcPr>
                  <w:tcW w:w="2518" w:type="dxa"/>
                  <w:vAlign w:val="center"/>
                </w:tcPr>
                <w:p>
                  <w:pPr>
                    <w:pStyle w:val="Compact"/>
                    <w:jc w:val="left"/>
                    <w:rPr>
                      <w:sz w:val="16"/>
                      <w:szCs w:val="16"/>
                    </w:rPr>
                  </w:pPr>
                  <w:r>
                    <w:rPr>
                      <w:sz w:val="16"/>
                      <w:szCs w:val="16"/>
                    </w:rPr>
                    <w:t xml:space="preserve">more attack in convergent terrain</w:t>
                  </w:r>
                </w:p>
              </w:tc>
              <w:tc>
                <w:tcPr>
                  <w:tcW w:w="2518" w:type="dxa"/>
                  <w:vAlign w:val="center"/>
                </w:tcPr>
                <w:p>
                  <w:pPr>
                    <w:pStyle w:val="Compact"/>
                    <w:jc w:val="left"/>
                    <w:rPr>
                      <w:sz w:val="16"/>
                      <w:szCs w:val="16"/>
                    </w:rPr>
                  </w:pPr>
                  <w:r>
                    <w:rPr>
                      <w:sz w:val="16"/>
                      <w:szCs w:val="16"/>
                    </w:rPr>
                    <w:t xml:space="preserve">0.514****</w:t>
                  </w:r>
                </w:p>
              </w:tc>
            </w:tr>
          </w:tbl>
          <w:bookmarkEnd w:id="43"/>
          <w:p/>
        </w:tc>
      </w:tr>
    </w:tbl>
    <w:p>
      <w:pPr>
        <w:pStyle w:val="BodyText"/>
      </w:pPr>
      <w:r>
        <w:t xml:space="preserve">Every model was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4"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1</m:t>
              </m:r>
            </m:e>
          </m:d>
        </m:oMath>
      </m:oMathPara>
      <w:bookmarkEnd w:id="44"/>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was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were the interaction terms, so that every coefficient was a change in log-odds per standard deviation of its variable. Four annual models were fitted in sequence, each adding one mechanism to the one before, M0 host size, shading and landform, M1 stand density, M2 terrain shape, terrain exposure and flight-window radiation, and M3 the interactions of stand density with terrain exposure, flight-window radiation and flight-window wind. They were compared on AIC and on predictive error on the fitted probabilities. M0 to M2 answered the first question and M3 the second at the annual scale. The sixteen-day models answered the second question again where wind varied within a season, the scale at which the plume mechanism acts. Their response was a fall in NDMI at or below -0.080 against the same sixteen-day epoch of 2005, nine epochs from May in each of the eight years. It was regressed on the same covariates, with the epoch wind regime of the terrain-resolved field in place of the annual wind terms and its interactions with stem density and standing volume, and refitted with the attack of the previous epoch in the cell and within 90 m entered, so that the interaction was read against within-season spread. The third question compared the coefficient of terrain shelter on its own, from M2 and M3, with the coefficient of the shelter by density interaction from M3. Deposition predicts the first present and the second absent, whereas plume disruption predicts the second present whether or not the first is.</w:t>
      </w:r>
    </w:p>
    <w:bookmarkEnd w:id="45"/>
    <w:bookmarkEnd w:id="46"/>
    <w:bookmarkStart w:id="58" w:name="sec-results"/>
    <w:p>
      <w:pPr>
        <w:pStyle w:val="Heading1"/>
      </w:pPr>
      <w:r>
        <w:t xml:space="preserve">3. Results</w:t>
      </w:r>
    </w:p>
    <w:bookmarkStart w:id="50" w:name="the-three-mechanisms"/>
    <w:p>
      <w:pPr>
        <w:pStyle w:val="Heading2"/>
      </w:pPr>
      <w:r>
        <w:t xml:space="preserve">3.1 The three mechanisms</w:t>
      </w:r>
    </w:p>
    <w:tbl>
      <w:tblPr>
        <w:tblStyle w:val="Table"/>
        <w:tblW w:type="pct" w:w="5000"/>
        <w:tblLayout w:type="fixed"/>
        <w:tblLook w:firstRow="0" w:lastRow="0" w:firstColumn="0" w:lastColumn="0" w:noHBand="0" w:noVBand="0" w:val="0000"/>
      </w:tblPr>
      <w:tblGrid>
        <w:gridCol w:w="7920"/>
      </w:tblGrid>
      <w:tr>
        <w:tc>
          <w:tcPr/>
          <w:bookmarkStart w:id="47" w:name="tbl-aic"/>
          <w:p>
            <w:pPr>
              <w:jc w:val="center"/>
            </w:pPr>
            <w:pPr>
              <w:jc w:val="start"/>
              <w:spacing w:before="200"/>
              <w:pStyle w:val="ImageCaption"/>
            </w:pPr>
            <w:r>
              <w:t xml:space="preserve">Table 3: 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2447"/>
              <w:gridCol w:w="1151"/>
              <w:gridCol w:w="1151"/>
              <w:gridCol w:w="1151"/>
              <w:gridCol w:w="1151"/>
              <w:gridCol w:w="1151"/>
              <w:gridCol w:w="1152"/>
            </w:tblGrid>
            <w:tr>
              <w:trPr>
                <w:tblHeader w:val="on"/>
                <w:trHeight w:val="567" w:hRule="auto"/>
              </w:trPr>
              <w:tc>
                <w:tcPr>
                  <w:tcW w:w="2447" w:type="dxa"/>
                  <w:vAlign w:val="center"/>
                </w:tcPr>
                <w:p>
                  <w:pPr>
                    <w:pStyle w:val="Compact"/>
                    <w:jc w:val="left"/>
                    <w:rPr>
                      <w:sz w:val="16"/>
                      <w:szCs w:val="16"/>
                    </w:rPr>
                  </w:pPr>
                  <w:r>
                    <w:rPr>
                      <w:b/>
                      <w:sz w:val="16"/>
                      <w:szCs w:val="16"/>
                    </w:rPr>
                    <w:t xml:space="preserve">Model</w:t>
                  </w:r>
                </w:p>
              </w:tc>
              <w:tc>
                <w:tcPr>
                  <w:tcW w:w="1151" w:type="dxa"/>
                  <w:vAlign w:val="center"/>
                </w:tcPr>
                <w:p>
                  <w:pPr>
                    <w:pStyle w:val="Compact"/>
                    <w:jc w:val="left"/>
                    <w:rPr>
                      <w:sz w:val="16"/>
                      <w:szCs w:val="16"/>
                    </w:rPr>
                  </w:pPr>
                  <w:r>
                    <w:rPr>
                      <w:b/>
                      <w:sz w:val="16"/>
                      <w:szCs w:val="16"/>
                    </w:rPr>
                    <w:t xml:space="preserve">AIC</w:t>
                  </w:r>
                </w:p>
              </w:tc>
              <w:tc>
                <w:tcPr>
                  <w:tcW w:w="1151" w:type="dxa"/>
                  <w:vAlign w:val="center"/>
                </w:tcPr>
                <w:p>
                  <w:pPr>
                    <w:pStyle w:val="Compact"/>
                    <w:jc w:val="left"/>
                    <w:rPr>
                      <w:sz w:val="16"/>
                      <w:szCs w:val="16"/>
                    </w:rPr>
                  </w:pPr>
                  <w:r>
                    <w:rPr>
                      <w:b/>
                      <w:sz w:val="16"/>
                      <w:szCs w:val="16"/>
                    </w:rPr>
                    <w:t xml:space="preserve">ΔAIC</w:t>
                  </w:r>
                </w:p>
              </w:tc>
              <w:tc>
                <w:tcPr>
                  <w:tcW w:w="1151" w:type="dxa"/>
                  <w:vAlign w:val="center"/>
                </w:tcPr>
                <w:p>
                  <w:pPr>
                    <w:pStyle w:val="Compact"/>
                    <w:jc w:val="left"/>
                    <w:rPr>
                      <w:sz w:val="16"/>
                      <w:szCs w:val="16"/>
                    </w:rPr>
                  </w:pPr>
                  <w:r>
                    <w:rPr>
                      <w:b/>
                      <w:sz w:val="16"/>
                      <w:szCs w:val="16"/>
                    </w:rPr>
                    <w:t xml:space="preserve">RMSE</w:t>
                  </w:r>
                </w:p>
              </w:tc>
              <w:tc>
                <w:tcPr>
                  <w:tcW w:w="1151" w:type="dxa"/>
                  <w:vAlign w:val="center"/>
                </w:tcPr>
                <w:p>
                  <w:pPr>
                    <w:pStyle w:val="Compact"/>
                    <w:jc w:val="left"/>
                    <w:rPr>
                      <w:sz w:val="16"/>
                      <w:szCs w:val="16"/>
                    </w:rPr>
                  </w:pPr>
                  <w:r>
                    <w:rPr>
                      <w:b/>
                      <w:sz w:val="16"/>
                      <w:szCs w:val="16"/>
                    </w:rPr>
                    <w:t xml:space="preserve">MAE</w:t>
                  </w:r>
                </w:p>
              </w:tc>
              <w:tc>
                <w:tcPr>
                  <w:tcW w:w="1151" w:type="dxa"/>
                  <w:vAlign w:val="center"/>
                </w:tcPr>
                <w:p>
                  <w:pPr>
                    <w:pStyle w:val="Compact"/>
                    <w:jc w:val="left"/>
                    <w:rPr>
                      <w:sz w:val="16"/>
                      <w:szCs w:val="16"/>
                    </w:rPr>
                  </w:pPr>
                  <w:r>
                    <w:rPr>
                      <w:b/>
                      <w:sz w:val="16"/>
                      <w:szCs w:val="16"/>
                    </w:rPr>
                    <w:t xml:space="preserve">AUC</w:t>
                  </w:r>
                </w:p>
              </w:tc>
              <w:tc>
                <w:tcPr>
                  <w:tcW w:w="1152" w:type="dxa"/>
                  <w:vAlign w:val="center"/>
                </w:tcPr>
                <w:p>
                  <w:pPr>
                    <w:pStyle w:val="Compact"/>
                    <w:jc w:val="left"/>
                    <w:rPr>
                      <w:sz w:val="16"/>
                      <w:szCs w:val="16"/>
                    </w:rPr>
                  </w:pPr>
                  <w:r>
                    <w:rPr>
                      <w:b/>
                      <w:sz w:val="16"/>
                      <w:szCs w:val="16"/>
                    </w:rPr>
                    <w:t xml:space="preserve">Brier skill</w:t>
                  </w:r>
                </w:p>
              </w:tc>
            </w:tr>
            <w:tr>
              <w:trPr>
                <w:trHeight w:val="397" w:hRule="auto"/>
              </w:trPr>
              <w:tc>
                <w:tcPr>
                  <w:tcW w:w="2447" w:type="dxa"/>
                  <w:vAlign w:val="center"/>
                </w:tcPr>
                <w:p>
                  <w:pPr>
                    <w:pStyle w:val="Compact"/>
                    <w:jc w:val="left"/>
                    <w:rPr>
                      <w:sz w:val="16"/>
                      <w:szCs w:val="16"/>
                    </w:rPr>
                  </w:pPr>
                  <w:r>
                    <w:rPr>
                      <w:sz w:val="16"/>
                      <w:szCs w:val="16"/>
                    </w:rPr>
                    <w:t xml:space="preserve">M0 host size, shading, terrain</w:t>
                  </w:r>
                </w:p>
              </w:tc>
              <w:tc>
                <w:tcPr>
                  <w:tcW w:w="1151" w:type="dxa"/>
                  <w:vAlign w:val="center"/>
                </w:tcPr>
                <w:p>
                  <w:pPr>
                    <w:pStyle w:val="Compact"/>
                    <w:jc w:val="left"/>
                    <w:rPr>
                      <w:sz w:val="16"/>
                      <w:szCs w:val="16"/>
                    </w:rPr>
                  </w:pPr>
                  <w:r>
                    <w:rPr>
                      <w:sz w:val="16"/>
                      <w:szCs w:val="16"/>
                    </w:rPr>
                    <w:t xml:space="preserve">41,269</w:t>
                  </w:r>
                </w:p>
              </w:tc>
              <w:tc>
                <w:tcPr>
                  <w:tcW w:w="1151" w:type="dxa"/>
                  <w:vAlign w:val="center"/>
                </w:tcPr>
                <w:p>
                  <w:pPr>
                    <w:pStyle w:val="Compact"/>
                    <w:jc w:val="left"/>
                    <w:rPr>
                      <w:sz w:val="16"/>
                      <w:szCs w:val="16"/>
                    </w:rPr>
                  </w:pPr>
                  <w:r>
                    <w:rPr>
                      <w:sz w:val="16"/>
                      <w:szCs w:val="16"/>
                    </w:rPr>
                    <w:t xml:space="preserve">1,182</w:t>
                  </w:r>
                </w:p>
              </w:tc>
              <w:tc>
                <w:tcPr>
                  <w:tcW w:w="1151" w:type="dxa"/>
                  <w:vAlign w:val="center"/>
                </w:tcPr>
                <w:p>
                  <w:pPr>
                    <w:pStyle w:val="Compact"/>
                    <w:jc w:val="left"/>
                    <w:rPr>
                      <w:sz w:val="16"/>
                      <w:szCs w:val="16"/>
                    </w:rPr>
                  </w:pPr>
                  <w:r>
                    <w:rPr>
                      <w:sz w:val="16"/>
                      <w:szCs w:val="16"/>
                    </w:rPr>
                    <w:t xml:space="preserve">0.396</w:t>
                  </w:r>
                </w:p>
              </w:tc>
              <w:tc>
                <w:tcPr>
                  <w:tcW w:w="1151" w:type="dxa"/>
                  <w:vAlign w:val="center"/>
                </w:tcPr>
                <w:p>
                  <w:pPr>
                    <w:pStyle w:val="Compact"/>
                    <w:jc w:val="left"/>
                    <w:rPr>
                      <w:sz w:val="16"/>
                      <w:szCs w:val="16"/>
                    </w:rPr>
                  </w:pPr>
                  <w:r>
                    <w:rPr>
                      <w:sz w:val="16"/>
                      <w:szCs w:val="16"/>
                    </w:rPr>
                    <w:t xml:space="preserve">0.315</w:t>
                  </w:r>
                </w:p>
              </w:tc>
              <w:tc>
                <w:tcPr>
                  <w:tcW w:w="1151" w:type="dxa"/>
                  <w:vAlign w:val="center"/>
                </w:tcPr>
                <w:p>
                  <w:pPr>
                    <w:pStyle w:val="Compact"/>
                    <w:jc w:val="left"/>
                    <w:rPr>
                      <w:sz w:val="16"/>
                      <w:szCs w:val="16"/>
                    </w:rPr>
                  </w:pPr>
                  <w:r>
                    <w:rPr>
                      <w:sz w:val="16"/>
                      <w:szCs w:val="16"/>
                    </w:rPr>
                    <w:t xml:space="preserve">0.758</w:t>
                  </w:r>
                </w:p>
              </w:tc>
              <w:tc>
                <w:tcPr>
                  <w:tcW w:w="1152" w:type="dxa"/>
                  <w:vAlign w:val="center"/>
                </w:tcPr>
                <w:p>
                  <w:pPr>
                    <w:pStyle w:val="Compact"/>
                    <w:jc w:val="left"/>
                    <w:rPr>
                      <w:sz w:val="16"/>
                      <w:szCs w:val="16"/>
                    </w:rPr>
                  </w:pPr>
                  <w:r>
                    <w:rPr>
                      <w:sz w:val="16"/>
                      <w:szCs w:val="16"/>
                    </w:rPr>
                    <w:t xml:space="preserve">0.166</w:t>
                  </w:r>
                </w:p>
              </w:tc>
            </w:tr>
            <w:tr>
              <w:trPr>
                <w:trHeight w:val="397" w:hRule="auto"/>
              </w:trPr>
              <w:tc>
                <w:tcPr>
                  <w:tcW w:w="2447" w:type="dxa"/>
                  <w:vAlign w:val="center"/>
                </w:tcPr>
                <w:p>
                  <w:pPr>
                    <w:pStyle w:val="Compact"/>
                    <w:jc w:val="left"/>
                    <w:rPr>
                      <w:sz w:val="16"/>
                      <w:szCs w:val="16"/>
                    </w:rPr>
                  </w:pPr>
                  <w:r>
                    <w:rPr>
                      <w:sz w:val="16"/>
                      <w:szCs w:val="16"/>
                    </w:rPr>
                    <w:t xml:space="preserve">M1 + stand density</w:t>
                  </w:r>
                </w:p>
              </w:tc>
              <w:tc>
                <w:tcPr>
                  <w:tcW w:w="1151" w:type="dxa"/>
                  <w:vAlign w:val="center"/>
                </w:tcPr>
                <w:p>
                  <w:pPr>
                    <w:pStyle w:val="Compact"/>
                    <w:jc w:val="left"/>
                    <w:rPr>
                      <w:sz w:val="16"/>
                      <w:szCs w:val="16"/>
                    </w:rPr>
                  </w:pPr>
                  <w:r>
                    <w:rPr>
                      <w:sz w:val="16"/>
                      <w:szCs w:val="16"/>
                    </w:rPr>
                    <w:t xml:space="preserve">40,971</w:t>
                  </w:r>
                </w:p>
              </w:tc>
              <w:tc>
                <w:tcPr>
                  <w:tcW w:w="1151" w:type="dxa"/>
                  <w:vAlign w:val="center"/>
                </w:tcPr>
                <w:p>
                  <w:pPr>
                    <w:pStyle w:val="Compact"/>
                    <w:jc w:val="left"/>
                    <w:rPr>
                      <w:sz w:val="16"/>
                      <w:szCs w:val="16"/>
                    </w:rPr>
                  </w:pPr>
                  <w:r>
                    <w:rPr>
                      <w:sz w:val="16"/>
                      <w:szCs w:val="16"/>
                    </w:rPr>
                    <w:t xml:space="preserve">884</w:t>
                  </w:r>
                </w:p>
              </w:tc>
              <w:tc>
                <w:tcPr>
                  <w:tcW w:w="1151" w:type="dxa"/>
                  <w:vAlign w:val="center"/>
                </w:tcPr>
                <w:p>
                  <w:pPr>
                    <w:pStyle w:val="Compact"/>
                    <w:jc w:val="left"/>
                    <w:rPr>
                      <w:sz w:val="16"/>
                      <w:szCs w:val="16"/>
                    </w:rPr>
                  </w:pPr>
                  <w:r>
                    <w:rPr>
                      <w:sz w:val="16"/>
                      <w:szCs w:val="16"/>
                    </w:rPr>
                    <w:t xml:space="preserve">0.394</w:t>
                  </w:r>
                </w:p>
              </w:tc>
              <w:tc>
                <w:tcPr>
                  <w:tcW w:w="1151" w:type="dxa"/>
                  <w:vAlign w:val="center"/>
                </w:tcPr>
                <w:p>
                  <w:pPr>
                    <w:pStyle w:val="Compact"/>
                    <w:jc w:val="left"/>
                    <w:rPr>
                      <w:sz w:val="16"/>
                      <w:szCs w:val="16"/>
                    </w:rPr>
                  </w:pPr>
                  <w:r>
                    <w:rPr>
                      <w:sz w:val="16"/>
                      <w:szCs w:val="16"/>
                    </w:rPr>
                    <w:t xml:space="preserve">0.312</w:t>
                  </w:r>
                </w:p>
              </w:tc>
              <w:tc>
                <w:tcPr>
                  <w:tcW w:w="1151" w:type="dxa"/>
                  <w:vAlign w:val="center"/>
                </w:tcPr>
                <w:p>
                  <w:pPr>
                    <w:pStyle w:val="Compact"/>
                    <w:jc w:val="left"/>
                    <w:rPr>
                      <w:sz w:val="16"/>
                      <w:szCs w:val="16"/>
                    </w:rPr>
                  </w:pPr>
                  <w:r>
                    <w:rPr>
                      <w:sz w:val="16"/>
                      <w:szCs w:val="16"/>
                    </w:rPr>
                    <w:t xml:space="preserve">0.761</w:t>
                  </w:r>
                </w:p>
              </w:tc>
              <w:tc>
                <w:tcPr>
                  <w:tcW w:w="1152" w:type="dxa"/>
                  <w:vAlign w:val="center"/>
                </w:tcPr>
                <w:p>
                  <w:pPr>
                    <w:pStyle w:val="Compact"/>
                    <w:jc w:val="left"/>
                    <w:rPr>
                      <w:sz w:val="16"/>
                      <w:szCs w:val="16"/>
                    </w:rPr>
                  </w:pPr>
                  <w:r>
                    <w:rPr>
                      <w:sz w:val="16"/>
                      <w:szCs w:val="16"/>
                    </w:rPr>
                    <w:t xml:space="preserve">0.175</w:t>
                  </w:r>
                </w:p>
              </w:tc>
            </w:tr>
            <w:tr>
              <w:trPr>
                <w:trHeight w:val="397" w:hRule="auto"/>
              </w:trPr>
              <w:tc>
                <w:tcPr>
                  <w:tcW w:w="2447" w:type="dxa"/>
                  <w:vAlign w:val="center"/>
                </w:tcPr>
                <w:p>
                  <w:pPr>
                    <w:pStyle w:val="Compact"/>
                    <w:jc w:val="left"/>
                    <w:rPr>
                      <w:sz w:val="16"/>
                      <w:szCs w:val="16"/>
                    </w:rPr>
                  </w:pPr>
                  <w:r>
                    <w:rPr>
                      <w:sz w:val="16"/>
                      <w:szCs w:val="16"/>
                    </w:rPr>
                    <w:t xml:space="preserve">M2 + terrain, flight radiation</w:t>
                  </w:r>
                </w:p>
              </w:tc>
              <w:tc>
                <w:tcPr>
                  <w:tcW w:w="1151" w:type="dxa"/>
                  <w:vAlign w:val="center"/>
                </w:tcPr>
                <w:p>
                  <w:pPr>
                    <w:pStyle w:val="Compact"/>
                    <w:jc w:val="left"/>
                    <w:rPr>
                      <w:sz w:val="16"/>
                      <w:szCs w:val="16"/>
                    </w:rPr>
                  </w:pPr>
                  <w:r>
                    <w:rPr>
                      <w:sz w:val="16"/>
                      <w:szCs w:val="16"/>
                    </w:rPr>
                    <w:t xml:space="preserve">40,649</w:t>
                  </w:r>
                </w:p>
              </w:tc>
              <w:tc>
                <w:tcPr>
                  <w:tcW w:w="1151" w:type="dxa"/>
                  <w:vAlign w:val="center"/>
                </w:tcPr>
                <w:p>
                  <w:pPr>
                    <w:pStyle w:val="Compact"/>
                    <w:jc w:val="left"/>
                    <w:rPr>
                      <w:sz w:val="16"/>
                      <w:szCs w:val="16"/>
                    </w:rPr>
                  </w:pPr>
                  <w:r>
                    <w:rPr>
                      <w:sz w:val="16"/>
                      <w:szCs w:val="16"/>
                    </w:rPr>
                    <w:t xml:space="preserve">562</w:t>
                  </w:r>
                </w:p>
              </w:tc>
              <w:tc>
                <w:tcPr>
                  <w:tcW w:w="1151" w:type="dxa"/>
                  <w:vAlign w:val="center"/>
                </w:tcPr>
                <w:p>
                  <w:pPr>
                    <w:pStyle w:val="Compact"/>
                    <w:jc w:val="left"/>
                    <w:rPr>
                      <w:sz w:val="16"/>
                      <w:szCs w:val="16"/>
                    </w:rPr>
                  </w:pPr>
                  <w:r>
                    <w:rPr>
                      <w:sz w:val="16"/>
                      <w:szCs w:val="16"/>
                    </w:rPr>
                    <w:t xml:space="preserve">0.393</w:t>
                  </w:r>
                </w:p>
              </w:tc>
              <w:tc>
                <w:tcPr>
                  <w:tcW w:w="1151" w:type="dxa"/>
                  <w:vAlign w:val="center"/>
                </w:tcPr>
                <w:p>
                  <w:pPr>
                    <w:pStyle w:val="Compact"/>
                    <w:jc w:val="left"/>
                    <w:rPr>
                      <w:sz w:val="16"/>
                      <w:szCs w:val="16"/>
                    </w:rPr>
                  </w:pPr>
                  <w:r>
                    <w:rPr>
                      <w:sz w:val="16"/>
                      <w:szCs w:val="16"/>
                    </w:rPr>
                    <w:t xml:space="preserve">0.309</w:t>
                  </w:r>
                </w:p>
              </w:tc>
              <w:tc>
                <w:tcPr>
                  <w:tcW w:w="1151" w:type="dxa"/>
                  <w:vAlign w:val="center"/>
                </w:tcPr>
                <w:p>
                  <w:pPr>
                    <w:pStyle w:val="Compact"/>
                    <w:jc w:val="left"/>
                    <w:rPr>
                      <w:sz w:val="16"/>
                      <w:szCs w:val="16"/>
                    </w:rPr>
                  </w:pPr>
                  <w:r>
                    <w:rPr>
                      <w:sz w:val="16"/>
                      <w:szCs w:val="16"/>
                    </w:rPr>
                    <w:t xml:space="preserve">0.767</w:t>
                  </w:r>
                </w:p>
              </w:tc>
              <w:tc>
                <w:tcPr>
                  <w:tcW w:w="1152" w:type="dxa"/>
                  <w:vAlign w:val="center"/>
                </w:tcPr>
                <w:p>
                  <w:pPr>
                    <w:pStyle w:val="Compact"/>
                    <w:jc w:val="left"/>
                    <w:rPr>
                      <w:sz w:val="16"/>
                      <w:szCs w:val="16"/>
                    </w:rPr>
                  </w:pPr>
                  <w:r>
                    <w:rPr>
                      <w:sz w:val="16"/>
                      <w:szCs w:val="16"/>
                    </w:rPr>
                    <w:t xml:space="preserve">0.182</w:t>
                  </w:r>
                </w:p>
              </w:tc>
            </w:tr>
            <w:tr>
              <w:trPr>
                <w:trHeight w:val="397" w:hRule="auto"/>
              </w:trPr>
              <w:tc>
                <w:tcPr>
                  <w:tcW w:w="2447" w:type="dxa"/>
                  <w:vAlign w:val="center"/>
                </w:tcPr>
                <w:p>
                  <w:pPr>
                    <w:pStyle w:val="Compact"/>
                    <w:jc w:val="left"/>
                    <w:rPr>
                      <w:sz w:val="16"/>
                      <w:szCs w:val="16"/>
                    </w:rPr>
                  </w:pPr>
                  <w:r>
                    <w:rPr>
                      <w:sz w:val="16"/>
                      <w:szCs w:val="16"/>
                    </w:rPr>
                    <w:t xml:space="preserve">M3 + interactions</w:t>
                  </w:r>
                </w:p>
              </w:tc>
              <w:tc>
                <w:tcPr>
                  <w:tcW w:w="1151" w:type="dxa"/>
                  <w:vAlign w:val="center"/>
                </w:tcPr>
                <w:p>
                  <w:pPr>
                    <w:pStyle w:val="Compact"/>
                    <w:jc w:val="left"/>
                    <w:rPr>
                      <w:sz w:val="16"/>
                      <w:szCs w:val="16"/>
                    </w:rPr>
                  </w:pPr>
                  <w:r>
                    <w:rPr>
                      <w:sz w:val="16"/>
                      <w:szCs w:val="16"/>
                    </w:rPr>
                    <w:t xml:space="preserve">40,087</w:t>
                  </w:r>
                </w:p>
              </w:tc>
              <w:tc>
                <w:tcPr>
                  <w:tcW w:w="1151" w:type="dxa"/>
                  <w:vAlign w:val="center"/>
                </w:tcPr>
                <w:p>
                  <w:pPr>
                    <w:pStyle w:val="Compact"/>
                    <w:jc w:val="left"/>
                    <w:rPr>
                      <w:sz w:val="16"/>
                      <w:szCs w:val="16"/>
                    </w:rPr>
                  </w:pPr>
                  <w:r>
                    <w:rPr>
                      <w:sz w:val="16"/>
                      <w:szCs w:val="16"/>
                    </w:rPr>
                    <w:t xml:space="preserve">0</w:t>
                  </w:r>
                </w:p>
              </w:tc>
              <w:tc>
                <w:tcPr>
                  <w:tcW w:w="1151" w:type="dxa"/>
                  <w:vAlign w:val="center"/>
                </w:tcPr>
                <w:p>
                  <w:pPr>
                    <w:pStyle w:val="Compact"/>
                    <w:jc w:val="left"/>
                    <w:rPr>
                      <w:sz w:val="16"/>
                      <w:szCs w:val="16"/>
                    </w:rPr>
                  </w:pPr>
                  <w:r>
                    <w:rPr>
                      <w:sz w:val="16"/>
                      <w:szCs w:val="16"/>
                    </w:rPr>
                    <w:t xml:space="preserve">0.390</w:t>
                  </w:r>
                </w:p>
              </w:tc>
              <w:tc>
                <w:tcPr>
                  <w:tcW w:w="1151" w:type="dxa"/>
                  <w:vAlign w:val="center"/>
                </w:tcPr>
                <w:p>
                  <w:pPr>
                    <w:pStyle w:val="Compact"/>
                    <w:jc w:val="left"/>
                    <w:rPr>
                      <w:sz w:val="16"/>
                      <w:szCs w:val="16"/>
                    </w:rPr>
                  </w:pPr>
                  <w:r>
                    <w:rPr>
                      <w:sz w:val="16"/>
                      <w:szCs w:val="16"/>
                    </w:rPr>
                    <w:t xml:space="preserve">0.305</w:t>
                  </w:r>
                </w:p>
              </w:tc>
              <w:tc>
                <w:tcPr>
                  <w:tcW w:w="1151" w:type="dxa"/>
                  <w:vAlign w:val="center"/>
                </w:tcPr>
                <w:p>
                  <w:pPr>
                    <w:pStyle w:val="Compact"/>
                    <w:jc w:val="left"/>
                    <w:rPr>
                      <w:sz w:val="16"/>
                      <w:szCs w:val="16"/>
                    </w:rPr>
                  </w:pPr>
                  <w:r>
                    <w:rPr>
                      <w:sz w:val="16"/>
                      <w:szCs w:val="16"/>
                    </w:rPr>
                    <w:t xml:space="preserve">0.778</w:t>
                  </w:r>
                </w:p>
              </w:tc>
              <w:tc>
                <w:tcPr>
                  <w:tcW w:w="1152" w:type="dxa"/>
                  <w:vAlign w:val="center"/>
                </w:tcPr>
                <w:p>
                  <w:pPr>
                    <w:pStyle w:val="Compact"/>
                    <w:jc w:val="left"/>
                    <w:rPr>
                      <w:sz w:val="16"/>
                      <w:szCs w:val="16"/>
                    </w:rPr>
                  </w:pPr>
                  <w:r>
                    <w:rPr>
                      <w:sz w:val="16"/>
                      <w:szCs w:val="16"/>
                    </w:rPr>
                    <w:t xml:space="preserve">0.193</w:t>
                  </w:r>
                </w:p>
              </w:tc>
            </w:tr>
          </w:tbl>
          <w:bookmarkEnd w:id="47"/>
          <w:p/>
        </w:tc>
      </w:tr>
    </w:tbl>
    <w:p>
      <w:pPr>
        <w:pStyle w:val="BodyText"/>
      </w:pPr>
      <w:r>
        <w:t xml:space="preserve">Each mechanism improved the fit when it entered. AIC fell by 298 when stand density entered, by a further 322 with terrain and flight-window radiation, and by a further 562 with the interactions (</w:t>
      </w:r>
      <w:hyperlink w:anchor="tbl-aic">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m3"/>
          <w:p>
            <w:pPr>
              <w:jc w:val="center"/>
            </w:pPr>
            <w:pPr>
              <w:jc w:val="start"/>
              <w:spacing w:before="200"/>
              <w:pStyle w:val="ImageCaption"/>
            </w:pPr>
            <w:r>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w:t>
            </w:r>
            <w:r>
              <w:t xml:space="preserve"> </w:t>
            </w:r>
            <w:hyperlink w:anchor="tbl-geomorphon">
              <w:r>
                <w:rPr>
                  <w:rStyle w:val="Hyperlink"/>
                </w:rPr>
                <w:t xml:space="preserve">Table 6</w:t>
              </w:r>
            </w:hyperlink>
            <w:r>
              <w:t xml:space="preserve">.</w:t>
            </w:r>
          </w:p>
          <w:tbl>
            <w:tblPr>
              <w:tblStyle w:val="Table"/>
              <w:tblLook w:firstRow="1" w:lastRow="0" w:firstColumn="0" w:lastColumn="0" w:noHBand="0" w:noVBand="0" w:val="0020"/>
              <w:tblW w:w="9354" w:type="dxa"/>
              <w:tblLayout w:type="fixed"/>
            </w:tblPr>
            <w:tblGrid>
              <w:gridCol w:w="5997"/>
              <w:gridCol w:w="1119"/>
              <w:gridCol w:w="1119"/>
              <w:gridCol w:w="1119"/>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1119" w:type="dxa"/>
                  <w:vAlign w:val="center"/>
                </w:tcPr>
                <w:p>
                  <w:pPr>
                    <w:pStyle w:val="Compact"/>
                    <w:jc w:val="left"/>
                    <w:rPr>
                      <w:sz w:val="16"/>
                      <w:szCs w:val="16"/>
                    </w:rPr>
                  </w:pPr>
                  <w:r>
                    <w:rPr>
                      <w:b/>
                      <w:sz w:val="16"/>
                      <w:szCs w:val="16"/>
                    </w:rPr>
                    <w:t xml:space="preserve">Beta</w:t>
                  </w:r>
                </w:p>
              </w:tc>
              <w:tc>
                <w:tcPr>
                  <w:tcW w:w="1119" w:type="dxa"/>
                  <w:vAlign w:val="center"/>
                </w:tcPr>
                <w:p>
                  <w:pPr>
                    <w:pStyle w:val="Compact"/>
                    <w:jc w:val="left"/>
                    <w:rPr>
                      <w:sz w:val="16"/>
                      <w:szCs w:val="16"/>
                    </w:rPr>
                  </w:pPr>
                  <w:r>
                    <w:rPr>
                      <w:b/>
                      <w:sz w:val="16"/>
                      <w:szCs w:val="16"/>
                    </w:rPr>
                    <w:t xml:space="preserve">SE</w:t>
                  </w:r>
                </w:p>
              </w:tc>
              <w:tc>
                <w:tcPr>
                  <w:tcW w:w="1119" w:type="dxa"/>
                  <w:vAlign w:val="center"/>
                </w:tcPr>
                <w:p>
                  <w:pPr>
                    <w:pStyle w:val="Compact"/>
                    <w:jc w:val="left"/>
                    <w:rPr>
                      <w:sz w:val="16"/>
                      <w:szCs w:val="16"/>
                    </w:rPr>
                  </w:pPr>
                  <w:r>
                    <w:rPr>
                      <w:b/>
                      <w:sz w:val="16"/>
                      <w:szCs w:val="16"/>
                    </w:rPr>
                    <w:t xml:space="preserve">z</w:t>
                  </w:r>
                </w:p>
              </w:tc>
            </w:tr>
            <w:tr>
              <w:trPr>
                <w:trHeight w:val="340" w:hRule="exact"/>
              </w:trPr>
              <w:tc>
                <w:tcPr>
                  <w:tcW w:w="5997" w:type="dxa"/>
                </w:tcPr>
                <w:p>
                  <w:pPr>
                    <w:pStyle w:val="Compact"/>
                    <w:jc w:val="left"/>
                    <w:rPr>
                      <w:sz w:val="16"/>
                      <w:szCs w:val="16"/>
                    </w:rPr>
                  </w:pPr>
                  <w:r>
                    <w:rPr>
                      <w:sz w:val="16"/>
                      <w:szCs w:val="16"/>
                    </w:rPr>
                    <w:t xml:space="preserve">Stand basal area (m² ha⁻¹)</w:t>
                  </w:r>
                </w:p>
              </w:tc>
              <w:tc>
                <w:tcPr>
                  <w:tcW w:w="1119" w:type="dxa"/>
                </w:tcPr>
                <w:p>
                  <w:pPr>
                    <w:pStyle w:val="Compact"/>
                    <w:jc w:val="left"/>
                    <w:rPr>
                      <w:sz w:val="16"/>
                      <w:szCs w:val="16"/>
                    </w:rPr>
                  </w:pPr>
                  <w:r>
                    <w:rPr>
                      <w:sz w:val="16"/>
                      <w:szCs w:val="16"/>
                    </w:rPr>
                    <w:t xml:space="preserve">+0.430****</w:t>
                  </w:r>
                </w:p>
              </w:tc>
              <w:tc>
                <w:tcPr>
                  <w:tcW w:w="1119" w:type="dxa"/>
                </w:tcPr>
                <w:p>
                  <w:pPr>
                    <w:pStyle w:val="Compact"/>
                    <w:jc w:val="left"/>
                    <w:rPr>
                      <w:sz w:val="16"/>
                      <w:szCs w:val="16"/>
                    </w:rPr>
                  </w:pPr>
                  <w:r>
                    <w:rPr>
                      <w:sz w:val="16"/>
                      <w:szCs w:val="16"/>
                    </w:rPr>
                    <w:t xml:space="preserve">0.024</w:t>
                  </w:r>
                </w:p>
              </w:tc>
              <w:tc>
                <w:tcPr>
                  <w:tcW w:w="1119" w:type="dxa"/>
                </w:tcPr>
                <w:p>
                  <w:pPr>
                    <w:pStyle w:val="Compact"/>
                    <w:jc w:val="left"/>
                    <w:rPr>
                      <w:sz w:val="16"/>
                      <w:szCs w:val="16"/>
                    </w:rPr>
                  </w:pPr>
                  <w:r>
                    <w:rPr>
                      <w:sz w:val="16"/>
                      <w:szCs w:val="16"/>
                    </w:rPr>
                    <w:t xml:space="preserve">18.20</w:t>
                  </w:r>
                </w:p>
              </w:tc>
            </w:tr>
            <w:tr>
              <w:trPr>
                <w:trHeight w:val="340" w:hRule="exact"/>
              </w:trPr>
              <w:tc>
                <w:tcPr>
                  <w:tcW w:w="5997" w:type="dxa"/>
                </w:tcPr>
                <w:p>
                  <w:pPr>
                    <w:pStyle w:val="Compact"/>
                    <w:jc w:val="left"/>
                    <w:rPr>
                      <w:sz w:val="16"/>
                      <w:szCs w:val="16"/>
                    </w:rPr>
                  </w:pPr>
                  <w:r>
                    <w:rPr>
                      <w:sz w:val="16"/>
                      <w:szCs w:val="16"/>
                    </w:rPr>
                    <w:t xml:space="preserve">Northness</w:t>
                  </w:r>
                </w:p>
              </w:tc>
              <w:tc>
                <w:tcPr>
                  <w:tcW w:w="1119" w:type="dxa"/>
                </w:tcPr>
                <w:p>
                  <w:pPr>
                    <w:pStyle w:val="Compact"/>
                    <w:jc w:val="left"/>
                    <w:rPr>
                      <w:sz w:val="16"/>
                      <w:szCs w:val="16"/>
                    </w:rPr>
                  </w:pPr>
                  <w:r>
                    <w:rPr>
                      <w:sz w:val="16"/>
                      <w:szCs w:val="16"/>
                    </w:rPr>
                    <w:t xml:space="preserve">+0.384****</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24.85</w:t>
                  </w:r>
                </w:p>
              </w:tc>
            </w:tr>
            <w:tr>
              <w:trPr>
                <w:trHeight w:val="340" w:hRule="exact"/>
              </w:trPr>
              <w:tc>
                <w:tcPr>
                  <w:tcW w:w="5997" w:type="dxa"/>
                </w:tcPr>
                <w:p>
                  <w:pPr>
                    <w:pStyle w:val="Compact"/>
                    <w:jc w:val="left"/>
                    <w:rPr>
                      <w:sz w:val="16"/>
                      <w:szCs w:val="16"/>
                    </w:rPr>
                  </w:pPr>
                  <w:r>
                    <w:rPr>
                      <w:sz w:val="16"/>
                      <w:szCs w:val="16"/>
                    </w:rPr>
                    <w:t xml:space="preserve">Elevation (m)</w:t>
                  </w:r>
                </w:p>
              </w:tc>
              <w:tc>
                <w:tcPr>
                  <w:tcW w:w="1119" w:type="dxa"/>
                </w:tcPr>
                <w:p>
                  <w:pPr>
                    <w:pStyle w:val="Compact"/>
                    <w:jc w:val="left"/>
                    <w:rPr>
                      <w:sz w:val="16"/>
                      <w:szCs w:val="16"/>
                    </w:rPr>
                  </w:pPr>
                  <w:r>
                    <w:rPr>
                      <w:sz w:val="16"/>
                      <w:szCs w:val="16"/>
                    </w:rPr>
                    <w:t xml:space="preserve">+0.381****</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24.18</w:t>
                  </w:r>
                </w:p>
              </w:tc>
            </w:tr>
            <w:tr>
              <w:trPr>
                <w:trHeight w:val="340" w:hRule="exact"/>
              </w:trPr>
              <w:tc>
                <w:tcPr>
                  <w:tcW w:w="5997" w:type="dxa"/>
                </w:tcPr>
                <w:p>
                  <w:pPr>
                    <w:pStyle w:val="Compact"/>
                    <w:jc w:val="left"/>
                    <w:rPr>
                      <w:sz w:val="16"/>
                      <w:szCs w:val="16"/>
                    </w:rPr>
                  </w:pPr>
                  <w:r>
                    <w:rPr>
                      <w:sz w:val="16"/>
                      <w:szCs w:val="16"/>
                    </w:rPr>
                    <w:t xml:space="preserve">Susceptible pine BA (m² ha⁻¹)</w:t>
                  </w:r>
                </w:p>
              </w:tc>
              <w:tc>
                <w:tcPr>
                  <w:tcW w:w="1119" w:type="dxa"/>
                </w:tcPr>
                <w:p>
                  <w:pPr>
                    <w:pStyle w:val="Compact"/>
                    <w:jc w:val="left"/>
                    <w:rPr>
                      <w:sz w:val="16"/>
                      <w:szCs w:val="16"/>
                    </w:rPr>
                  </w:pPr>
                  <w:r>
                    <w:rPr>
                      <w:sz w:val="16"/>
                      <w:szCs w:val="16"/>
                    </w:rPr>
                    <w:t xml:space="preserve">+0.343****</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23.65</w:t>
                  </w:r>
                </w:p>
              </w:tc>
            </w:tr>
            <w:tr>
              <w:trPr>
                <w:trHeight w:val="340" w:hRule="exact"/>
              </w:trPr>
              <w:tc>
                <w:tcPr>
                  <w:tcW w:w="5997" w:type="dxa"/>
                </w:tcPr>
                <w:p>
                  <w:pPr>
                    <w:pStyle w:val="Compact"/>
                    <w:jc w:val="left"/>
                    <w:rPr>
                      <w:sz w:val="16"/>
                      <w:szCs w:val="16"/>
                    </w:rPr>
                  </w:pPr>
                  <w:r>
                    <w:rPr>
                      <w:sz w:val="16"/>
                      <w:szCs w:val="16"/>
                    </w:rPr>
                    <w:t xml:space="preserve">Quadratic mean diameter (cm)</w:t>
                  </w:r>
                </w:p>
              </w:tc>
              <w:tc>
                <w:tcPr>
                  <w:tcW w:w="1119" w:type="dxa"/>
                </w:tcPr>
                <w:p>
                  <w:pPr>
                    <w:pStyle w:val="Compact"/>
                    <w:jc w:val="left"/>
                    <w:rPr>
                      <w:sz w:val="16"/>
                      <w:szCs w:val="16"/>
                    </w:rPr>
                  </w:pPr>
                  <w:r>
                    <w:rPr>
                      <w:sz w:val="16"/>
                      <w:szCs w:val="16"/>
                    </w:rPr>
                    <w:t xml:space="preserve">-0.341****</w:t>
                  </w:r>
                </w:p>
              </w:tc>
              <w:tc>
                <w:tcPr>
                  <w:tcW w:w="1119" w:type="dxa"/>
                </w:tcPr>
                <w:p>
                  <w:pPr>
                    <w:pStyle w:val="Compact"/>
                    <w:jc w:val="left"/>
                    <w:rPr>
                      <w:sz w:val="16"/>
                      <w:szCs w:val="16"/>
                    </w:rPr>
                  </w:pPr>
                  <w:r>
                    <w:rPr>
                      <w:sz w:val="16"/>
                      <w:szCs w:val="16"/>
                    </w:rPr>
                    <w:t xml:space="preserve">0.022</w:t>
                  </w:r>
                </w:p>
              </w:tc>
              <w:tc>
                <w:tcPr>
                  <w:tcW w:w="1119" w:type="dxa"/>
                </w:tcPr>
                <w:p>
                  <w:pPr>
                    <w:pStyle w:val="Compact"/>
                    <w:jc w:val="left"/>
                    <w:rPr>
                      <w:sz w:val="16"/>
                      <w:szCs w:val="16"/>
                    </w:rPr>
                  </w:pPr>
                  <w:r>
                    <w:rPr>
                      <w:sz w:val="16"/>
                      <w:szCs w:val="16"/>
                    </w:rPr>
                    <w:t xml:space="preserve">-15.37</w:t>
                  </w:r>
                </w:p>
              </w:tc>
            </w:tr>
            <w:tr>
              <w:trPr>
                <w:trHeight w:val="340" w:hRule="exact"/>
              </w:trPr>
              <w:tc>
                <w:tcPr>
                  <w:tcW w:w="5997" w:type="dxa"/>
                </w:tcPr>
                <w:p>
                  <w:pPr>
                    <w:pStyle w:val="Compact"/>
                    <w:jc w:val="left"/>
                    <w:rPr>
                      <w:sz w:val="16"/>
                      <w:szCs w:val="16"/>
                    </w:rPr>
                  </w:pPr>
                  <w:r>
                    <w:rPr>
                      <w:sz w:val="16"/>
                      <w:szCs w:val="16"/>
                    </w:rPr>
                    <w:t xml:space="preserve">Flight-window direct radiation (kWh/m2)</w:t>
                  </w:r>
                </w:p>
              </w:tc>
              <w:tc>
                <w:tcPr>
                  <w:tcW w:w="1119" w:type="dxa"/>
                </w:tcPr>
                <w:p>
                  <w:pPr>
                    <w:pStyle w:val="Compact"/>
                    <w:jc w:val="left"/>
                    <w:rPr>
                      <w:sz w:val="16"/>
                      <w:szCs w:val="16"/>
                    </w:rPr>
                  </w:pPr>
                  <w:r>
                    <w:rPr>
                      <w:sz w:val="16"/>
                      <w:szCs w:val="16"/>
                    </w:rPr>
                    <w:t xml:space="preserve">+0.319****</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13.98</w:t>
                  </w:r>
                </w:p>
              </w:tc>
            </w:tr>
            <w:tr>
              <w:trPr>
                <w:trHeight w:val="340" w:hRule="exact"/>
              </w:trPr>
              <w:tc>
                <w:tcPr>
                  <w:tcW w:w="5997" w:type="dxa"/>
                </w:tcPr>
                <w:p>
                  <w:pPr>
                    <w:pStyle w:val="Compact"/>
                    <w:jc w:val="left"/>
                    <w:rPr>
                      <w:sz w:val="16"/>
                      <w:szCs w:val="16"/>
                    </w:rPr>
                  </w:pPr>
                  <w:r>
                    <w:rPr>
                      <w:sz w:val="16"/>
                      <w:szCs w:val="16"/>
                    </w:rPr>
                    <w:t xml:space="preserve">July mean wind (km/h)</w:t>
                  </w:r>
                </w:p>
              </w:tc>
              <w:tc>
                <w:tcPr>
                  <w:tcW w:w="1119" w:type="dxa"/>
                </w:tcPr>
                <w:p>
                  <w:pPr>
                    <w:pStyle w:val="Compact"/>
                    <w:jc w:val="left"/>
                    <w:rPr>
                      <w:sz w:val="16"/>
                      <w:szCs w:val="16"/>
                    </w:rPr>
                  </w:pPr>
                  <w:r>
                    <w:rPr>
                      <w:sz w:val="16"/>
                      <w:szCs w:val="16"/>
                    </w:rPr>
                    <w:t xml:space="preserve">+0.286****</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20.95</w:t>
                  </w:r>
                </w:p>
              </w:tc>
            </w:tr>
            <w:tr>
              <w:trPr>
                <w:trHeight w:val="340" w:hRule="exact"/>
              </w:trPr>
              <w:tc>
                <w:tcPr>
                  <w:tcW w:w="5997" w:type="dxa"/>
                </w:tcPr>
                <w:p>
                  <w:pPr>
                    <w:pStyle w:val="Compact"/>
                    <w:jc w:val="left"/>
                    <w:rPr>
                      <w:sz w:val="16"/>
                      <w:szCs w:val="16"/>
                    </w:rPr>
                  </w:pPr>
                  <w:r>
                    <w:rPr>
                      <w:sz w:val="16"/>
                      <w:szCs w:val="16"/>
                    </w:rPr>
                    <w:t xml:space="preserve">Sky view factor</w:t>
                  </w:r>
                </w:p>
              </w:tc>
              <w:tc>
                <w:tcPr>
                  <w:tcW w:w="1119" w:type="dxa"/>
                </w:tcPr>
                <w:p>
                  <w:pPr>
                    <w:pStyle w:val="Compact"/>
                    <w:jc w:val="left"/>
                    <w:rPr>
                      <w:sz w:val="16"/>
                      <w:szCs w:val="16"/>
                    </w:rPr>
                  </w:pPr>
                  <w:r>
                    <w:rPr>
                      <w:sz w:val="16"/>
                      <w:szCs w:val="16"/>
                    </w:rPr>
                    <w:t xml:space="preserve">+0.285****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12.60</w:t>
                  </w:r>
                </w:p>
              </w:tc>
            </w:tr>
            <w:tr>
              <w:trPr>
                <w:trHeight w:val="340" w:hRule="exact"/>
              </w:trPr>
              <w:tc>
                <w:tcPr>
                  <w:tcW w:w="5997" w:type="dxa"/>
                </w:tcPr>
                <w:p>
                  <w:pPr>
                    <w:pStyle w:val="Compact"/>
                    <w:jc w:val="left"/>
                    <w:rPr>
                      <w:sz w:val="16"/>
                      <w:szCs w:val="16"/>
                    </w:rPr>
                  </w:pPr>
                  <w:r>
                    <w:rPr>
                      <w:sz w:val="16"/>
                      <w:szCs w:val="16"/>
                    </w:rPr>
                    <w:t xml:space="preserve">Wind shelter index</w:t>
                  </w:r>
                </w:p>
              </w:tc>
              <w:tc>
                <w:tcPr>
                  <w:tcW w:w="1119" w:type="dxa"/>
                </w:tcPr>
                <w:p>
                  <w:pPr>
                    <w:pStyle w:val="Compact"/>
                    <w:jc w:val="left"/>
                    <w:rPr>
                      <w:sz w:val="16"/>
                      <w:szCs w:val="16"/>
                    </w:rPr>
                  </w:pPr>
                  <w:r>
                    <w:rPr>
                      <w:sz w:val="16"/>
                      <w:szCs w:val="16"/>
                    </w:rPr>
                    <w:t xml:space="preserve">-0.267****</w:t>
                  </w:r>
                </w:p>
              </w:tc>
              <w:tc>
                <w:tcPr>
                  <w:tcW w:w="1119" w:type="dxa"/>
                </w:tcPr>
                <w:p>
                  <w:pPr>
                    <w:pStyle w:val="Compact"/>
                    <w:jc w:val="left"/>
                    <w:rPr>
                      <w:sz w:val="16"/>
                      <w:szCs w:val="16"/>
                    </w:rPr>
                  </w:pPr>
                  <w:r>
                    <w:rPr>
                      <w:sz w:val="16"/>
                      <w:szCs w:val="16"/>
                    </w:rPr>
                    <w:t xml:space="preserve">0.021</w:t>
                  </w:r>
                </w:p>
              </w:tc>
              <w:tc>
                <w:tcPr>
                  <w:tcW w:w="1119" w:type="dxa"/>
                </w:tcPr>
                <w:p>
                  <w:pPr>
                    <w:pStyle w:val="Compact"/>
                    <w:jc w:val="left"/>
                    <w:rPr>
                      <w:sz w:val="16"/>
                      <w:szCs w:val="16"/>
                    </w:rPr>
                  </w:pPr>
                  <w:r>
                    <w:rPr>
                      <w:sz w:val="16"/>
                      <w:szCs w:val="16"/>
                    </w:rPr>
                    <w:t xml:space="preserve">-12.48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1119" w:type="dxa"/>
                </w:tcPr>
                <w:p>
                  <w:pPr>
                    <w:pStyle w:val="Compact"/>
                    <w:jc w:val="left"/>
                    <w:rPr>
                      <w:sz w:val="16"/>
                      <w:szCs w:val="16"/>
                    </w:rPr>
                  </w:pPr>
                  <w:r>
                    <w:rPr>
                      <w:sz w:val="16"/>
                      <w:szCs w:val="16"/>
                    </w:rPr>
                    <w:t xml:space="preserve">+0.201****</w:t>
                  </w:r>
                </w:p>
              </w:tc>
              <w:tc>
                <w:tcPr>
                  <w:tcW w:w="1119" w:type="dxa"/>
                </w:tcPr>
                <w:p>
                  <w:pPr>
                    <w:pStyle w:val="Compact"/>
                    <w:jc w:val="left"/>
                    <w:rPr>
                      <w:sz w:val="16"/>
                      <w:szCs w:val="16"/>
                    </w:rPr>
                  </w:pPr>
                  <w:r>
                    <w:rPr>
                      <w:sz w:val="16"/>
                      <w:szCs w:val="16"/>
                    </w:rPr>
                    <w:t xml:space="preserve">0.018</w:t>
                  </w:r>
                </w:p>
              </w:tc>
              <w:tc>
                <w:tcPr>
                  <w:tcW w:w="1119" w:type="dxa"/>
                </w:tcPr>
                <w:p>
                  <w:pPr>
                    <w:pStyle w:val="Compact"/>
                    <w:jc w:val="left"/>
                    <w:rPr>
                      <w:sz w:val="16"/>
                      <w:szCs w:val="16"/>
                    </w:rPr>
                  </w:pPr>
                  <w:r>
                    <w:rPr>
                      <w:sz w:val="16"/>
                      <w:szCs w:val="16"/>
                    </w:rPr>
                    <w:t xml:space="preserve">11.31</w:t>
                  </w:r>
                </w:p>
              </w:tc>
            </w:tr>
            <w:tr>
              <w:trPr>
                <w:trHeight w:val="340" w:hRule="exact"/>
              </w:trPr>
              <w:tc>
                <w:tcPr>
                  <w:tcW w:w="5997" w:type="dxa"/>
                </w:tcPr>
                <w:p>
                  <w:pPr>
                    <w:pStyle w:val="Compact"/>
                    <w:jc w:val="left"/>
                    <w:rPr>
                      <w:sz w:val="16"/>
                      <w:szCs w:val="16"/>
                    </w:rPr>
                  </w:pPr>
                  <w:r>
                    <w:rPr>
                      <w:sz w:val="16"/>
                      <w:szCs w:val="16"/>
                    </w:rPr>
                    <w:t xml:space="preserve">Convergence index</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-5.07</w:t>
                  </w:r>
                </w:p>
              </w:tc>
            </w:tr>
            <w:tr>
              <w:trPr>
                <w:trHeight w:val="340" w:hRule="exact"/>
              </w:trPr>
              <w:tc>
                <w:tcPr>
                  <w:tcW w:w="5997" w:type="dxa"/>
                </w:tcPr>
                <w:p>
                  <w:pPr>
                    <w:pStyle w:val="Compact"/>
                    <w:jc w:val="left"/>
                    <w:rPr>
                      <w:sz w:val="16"/>
                      <w:szCs w:val="16"/>
                    </w:rPr>
                  </w:pPr>
                  <w:r>
                    <w:rPr>
                      <w:sz w:val="16"/>
                      <w:szCs w:val="16"/>
                    </w:rPr>
                    <w:t xml:space="preserve">Stand basal area x July mean wind</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-4.81</w:t>
                  </w:r>
                </w:p>
              </w:tc>
            </w:tr>
            <w:tr>
              <w:trPr>
                <w:trHeight w:val="340" w:hRule="exact"/>
              </w:trPr>
              <w:tc>
                <w:tcPr>
                  <w:tcW w:w="5997" w:type="dxa"/>
                </w:tcPr>
                <w:p>
                  <w:pPr>
                    <w:pStyle w:val="Compact"/>
                    <w:jc w:val="left"/>
                    <w:rPr>
                      <w:sz w:val="16"/>
                      <w:szCs w:val="16"/>
                    </w:rPr>
                  </w:pPr>
                  <w:r>
                    <w:rPr>
                      <w:sz w:val="16"/>
                      <w:szCs w:val="16"/>
                    </w:rPr>
                    <w:t xml:space="preserve">Stand basal area x Flight-window direct radiation</w:t>
                  </w:r>
                </w:p>
              </w:tc>
              <w:tc>
                <w:tcPr>
                  <w:tcW w:w="1119" w:type="dxa"/>
                </w:tcPr>
                <w:p>
                  <w:pPr>
                    <w:pStyle w:val="Compact"/>
                    <w:jc w:val="left"/>
                    <w:rPr>
                      <w:sz w:val="16"/>
                      <w:szCs w:val="16"/>
                    </w:rPr>
                  </w:pPr>
                  <w:r>
                    <w:rPr>
                      <w:sz w:val="16"/>
                      <w:szCs w:val="16"/>
                    </w:rPr>
                    <w:t xml:space="preserve">+0.073***</w:t>
                  </w:r>
                </w:p>
              </w:tc>
              <w:tc>
                <w:tcPr>
                  <w:tcW w:w="1119" w:type="dxa"/>
                </w:tcPr>
                <w:p>
                  <w:pPr>
                    <w:pStyle w:val="Compact"/>
                    <w:jc w:val="left"/>
                    <w:rPr>
                      <w:sz w:val="16"/>
                      <w:szCs w:val="16"/>
                    </w:rPr>
                  </w:pPr>
                  <w:r>
                    <w:rPr>
                      <w:sz w:val="16"/>
                      <w:szCs w:val="16"/>
                    </w:rPr>
                    <w:t xml:space="preserve">0.020</w:t>
                  </w:r>
                </w:p>
              </w:tc>
              <w:tc>
                <w:tcPr>
                  <w:tcW w:w="1119" w:type="dxa"/>
                </w:tcPr>
                <w:p>
                  <w:pPr>
                    <w:pStyle w:val="Compact"/>
                    <w:jc w:val="left"/>
                    <w:rPr>
                      <w:sz w:val="16"/>
                      <w:szCs w:val="16"/>
                    </w:rPr>
                  </w:pPr>
                  <w:r>
                    <w:rPr>
                      <w:sz w:val="16"/>
                      <w:szCs w:val="16"/>
                    </w:rPr>
                    <w:t xml:space="preserve">3.58</w:t>
                  </w:r>
                </w:p>
              </w:tc>
            </w:tr>
            <w:tr>
              <w:trPr>
                <w:trHeight w:val="340" w:hRule="exact"/>
              </w:trPr>
              <w:tc>
                <w:tcPr>
                  <w:tcW w:w="5997" w:type="dxa"/>
                </w:tcPr>
                <w:p>
                  <w:pPr>
                    <w:pStyle w:val="Compact"/>
                    <w:jc w:val="left"/>
                    <w:rPr>
                      <w:sz w:val="16"/>
                      <w:szCs w:val="16"/>
                    </w:rPr>
                  </w:pPr>
                  <w:r>
                    <w:rPr>
                      <w:sz w:val="16"/>
                      <w:szCs w:val="16"/>
                    </w:rPr>
                    <w:t xml:space="preserve">Profile curvature</w:t>
                  </w:r>
                </w:p>
              </w:tc>
              <w:tc>
                <w:tcPr>
                  <w:tcW w:w="1119" w:type="dxa"/>
                </w:tcPr>
                <w:p>
                  <w:pPr>
                    <w:pStyle w:val="Compact"/>
                    <w:jc w:val="left"/>
                    <w:rPr>
                      <w:sz w:val="16"/>
                      <w:szCs w:val="16"/>
                    </w:rPr>
                  </w:pPr>
                  <w:r>
                    <w:rPr>
                      <w:sz w:val="16"/>
                      <w:szCs w:val="16"/>
                    </w:rPr>
                    <w:t xml:space="preserve">-0.059****</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-4.10</w:t>
                  </w:r>
                </w:p>
              </w:tc>
            </w:tr>
            <w:tr>
              <w:trPr>
                <w:trHeight w:val="340" w:hRule="exact"/>
              </w:trPr>
              <w:tc>
                <w:tcPr>
                  <w:tcW w:w="5997" w:type="dxa"/>
                </w:tcPr>
                <w:p>
                  <w:pPr>
                    <w:pStyle w:val="Compact"/>
                    <w:jc w:val="left"/>
                    <w:rPr>
                      <w:sz w:val="16"/>
                      <w:szCs w:val="16"/>
                    </w:rPr>
                  </w:pPr>
                  <w:r>
                    <w:rPr>
                      <w:sz w:val="16"/>
                      <w:szCs w:val="16"/>
                    </w:rPr>
                    <w:t xml:space="preserve">June mean wind (km/h)</w:t>
                  </w:r>
                </w:p>
              </w:tc>
              <w:tc>
                <w:tcPr>
                  <w:tcW w:w="1119" w:type="dxa"/>
                </w:tcPr>
                <w:p>
                  <w:pPr>
                    <w:pStyle w:val="Compact"/>
                    <w:jc w:val="left"/>
                    <w:rPr>
                      <w:sz w:val="16"/>
                      <w:szCs w:val="16"/>
                    </w:rPr>
                  </w:pPr>
                  <w:r>
                    <w:rPr>
                      <w:sz w:val="16"/>
                      <w:szCs w:val="16"/>
                    </w:rPr>
                    <w:t xml:space="preserve">+0.030*</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2.20</w:t>
                  </w:r>
                </w:p>
              </w:tc>
            </w:tr>
            <w:tr>
              <w:trPr>
                <w:trHeight w:val="340" w:hRule="exact"/>
              </w:trPr>
              <w:tc>
                <w:tcPr>
                  <w:tcW w:w="5997" w:type="dxa"/>
                </w:tcPr>
                <w:p>
                  <w:pPr>
                    <w:pStyle w:val="Compact"/>
                    <w:jc w:val="left"/>
                    <w:rPr>
                      <w:sz w:val="16"/>
                      <w:szCs w:val="16"/>
                    </w:rPr>
                  </w:pPr>
                  <w:r>
                    <w:rPr>
                      <w:sz w:val="16"/>
                      <w:szCs w:val="16"/>
                    </w:rPr>
                    <w:t xml:space="preserve">Stand basal area x Wind shelter index</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0.025</w:t>
                  </w:r>
                </w:p>
              </w:tc>
              <w:tc>
                <w:tcPr>
                  <w:tcW w:w="1119" w:type="dxa"/>
                </w:tcPr>
                <w:p>
                  <w:pPr>
                    <w:pStyle w:val="Compact"/>
                    <w:jc w:val="left"/>
                    <w:rPr>
                      <w:sz w:val="16"/>
                      <w:szCs w:val="16"/>
                    </w:rPr>
                  </w:pPr>
                  <w:r>
                    <w:rPr>
                      <w:sz w:val="16"/>
                      <w:szCs w:val="16"/>
                    </w:rPr>
                    <w:t xml:space="preserve">0.89</w:t>
                  </w:r>
                </w:p>
              </w:tc>
            </w:tr>
            <w:tr>
              <w:trPr>
                <w:trHeight w:val="340" w:hRule="exact"/>
              </w:trPr>
              <w:tc>
                <w:tcPr>
                  <w:tcW w:w="5997" w:type="dxa"/>
                </w:tcPr>
                <w:p>
                  <w:pPr>
                    <w:pStyle w:val="Compact"/>
                    <w:jc w:val="left"/>
                    <w:rPr>
                      <w:sz w:val="16"/>
                      <w:szCs w:val="16"/>
                    </w:rPr>
                  </w:pPr>
                  <w:r>
                    <w:rPr>
                      <w:sz w:val="16"/>
                      <w:szCs w:val="16"/>
                    </w:rPr>
                    <w:t xml:space="preserve">Topographic position index</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-0.64</w:t>
                  </w:r>
                </w:p>
              </w:tc>
            </w:tr>
          </w:tbl>
          <w:bookmarkEnd w:id="48"/>
          <w:p/>
        </w:tc>
      </w:tr>
    </w:tbl>
    <w:p>
      <w:pPr>
        <w:pStyle w:val="BodyText"/>
      </w:pPr>
      <w:r>
        <w:t xml:space="preserve">Stand basal area was the density term the penalty kept. It entered at +0.430 log-odds per standard deviation, an odds ratio of 1.537, so a stand one standard deviation above the mean in basal area had 53.7 per cent higher odds of moderate-to-high disturbance (p &lt; 0.001), the direction a canopy that keeps the pheromone plume together implies. Live stems and crown closure left at the penalty stage (Table S3), and crown closure is in any case recorded by the inventory to a ceiling of 60 per cent.</w:t>
      </w:r>
    </w:p>
    <w:tbl>
      <w:tblPr>
        <w:tblStyle w:val="Table"/>
        <w:tblW w:type="pct" w:w="5000"/>
        <w:tblLayout w:type="fixed"/>
        <w:tblLook w:firstRow="0" w:lastRow="0" w:firstColumn="0" w:lastColumn="0" w:noHBand="0" w:noVBand="0" w:val="0000"/>
      </w:tblPr>
      <w:tblGrid>
        <w:gridCol w:w="7920"/>
      </w:tblGrid>
      <w:tr>
        <w:tc>
          <w:tcPr/>
          <w:bookmarkStart w:id="49" w:name="tbl-qmd"/>
          <w:p>
            <w:pPr>
              <w:jc w:val="center"/>
            </w:pPr>
            <w:pPr>
              <w:jc w:val="start"/>
              <w:spacing w:before="200"/>
              <w:pStyle w:val="ImageCaption"/>
            </w:pPr>
            <w:r>
              <w:t xml:space="preserve">Table 5: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vAlign w:val="center"/>
                </w:tcPr>
                <w:p>
                  <w:pPr>
                    <w:pStyle w:val="Compact"/>
                    <w:jc w:val="left"/>
                    <w:rPr>
                      <w:sz w:val="16"/>
                      <w:szCs w:val="16"/>
                    </w:rPr>
                  </w:pPr>
                  <w:r>
                    <w:rPr>
                      <w:b/>
                      <w:sz w:val="16"/>
                      <w:szCs w:val="16"/>
                    </w:rPr>
                    <w:t xml:space="preserve">QMD class (cm)</w:t>
                  </w:r>
                </w:p>
              </w:tc>
              <w:tc>
                <w:tcPr>
                  <w:tcW w:w="1871" w:type="dxa"/>
                  <w:vAlign w:val="center"/>
                </w:tcPr>
                <w:p>
                  <w:pPr>
                    <w:pStyle w:val="Compact"/>
                    <w:jc w:val="left"/>
                    <w:rPr>
                      <w:sz w:val="16"/>
                      <w:szCs w:val="16"/>
                    </w:rPr>
                  </w:pPr>
                  <w:r>
                    <w:rPr>
                      <w:b/>
                      <w:sz w:val="16"/>
                      <w:szCs w:val="16"/>
                    </w:rPr>
                    <w:t xml:space="preserve">n</w:t>
                  </w:r>
                </w:p>
              </w:tc>
              <w:tc>
                <w:tcPr>
                  <w:tcW w:w="1871" w:type="dxa"/>
                  <w:vAlign w:val="center"/>
                </w:tcPr>
                <w:p>
                  <w:pPr>
                    <w:pStyle w:val="Compact"/>
                    <w:jc w:val="left"/>
                    <w:rPr>
                      <w:sz w:val="16"/>
                      <w:szCs w:val="16"/>
                    </w:rPr>
                  </w:pPr>
                  <w:r>
                    <w:rPr>
                      <w:b/>
                      <w:sz w:val="16"/>
                      <w:szCs w:val="16"/>
                    </w:rPr>
                    <w:t xml:space="preserve">Attacked</w:t>
                  </w:r>
                </w:p>
              </w:tc>
              <w:tc>
                <w:tcPr>
                  <w:tcW w:w="1871" w:type="dxa"/>
                  <w:vAlign w:val="center"/>
                </w:tcPr>
                <w:p>
                  <w:pPr>
                    <w:pStyle w:val="Compact"/>
                    <w:jc w:val="left"/>
                    <w:rPr>
                      <w:sz w:val="16"/>
                      <w:szCs w:val="16"/>
                    </w:rPr>
                  </w:pPr>
                  <w:r>
                    <w:rPr>
                      <w:b/>
                      <w:sz w:val="16"/>
                      <w:szCs w:val="16"/>
                    </w:rPr>
                    <w:t xml:space="preserve">Attacked (%)</w:t>
                  </w:r>
                </w:p>
              </w:tc>
              <w:tc>
                <w:tcPr>
                  <w:tcW w:w="1870" w:type="dxa"/>
                  <w:vAlign w:val="center"/>
                </w:tcPr>
                <w:p>
                  <w:pPr>
                    <w:pStyle w:val="Compact"/>
                    <w:jc w:val="left"/>
                    <w:rPr>
                      <w:sz w:val="16"/>
                      <w:szCs w:val="16"/>
                    </w:rPr>
                  </w:pPr>
                  <w:r>
                    <w:rPr>
                      <w:b/>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49"/>
          <w:p/>
        </w:tc>
      </w:tr>
    </w:tbl>
    <w:p>
      <w:pPr>
        <w:pStyle w:val="BodyText"/>
      </w:pPr>
      <w:r>
        <w:t xml:space="preserve">Host size acted as a threshold rather than a gradient. Attack peaked in the 25 to 30 cm class at 31.5 per cent and fell above it, to 22.4 per cent at 30 to 40 cm and 13.2 per cent above 40 (</w:t>
      </w:r>
      <w:hyperlink w:anchor="tbl-qmd">
        <w:r>
          <w:rPr>
            <w:rStyle w:val="Hyperlink"/>
          </w:rPr>
          <w:t xml:space="preserve">Table 5</w:t>
        </w:r>
      </w:hyperlink>
      <w:r>
        <w:t xml:space="preserve">). The step across the 25 cm source-sink boundary ran from 21.5 to 31.5 per cent, +10.0 percentage points (95 per cent confidence interval 8.9 to 11.1, P &lt; 0.001). In the full model diameter was -0.341 per standard deviation (z = -15.37), negative because a linear term fitted through a humped response returned the slope of its falling limb, so the class table rather than the coefficient was the result here. Across all six classes attack depended on diameter class [</w:t>
      </w:r>
      <m:oMath>
        <m:sSup>
          <m:e>
            <m:r>
              <m:t>χ</m:t>
            </m:r>
          </m:e>
          <m:sup>
            <m:r>
              <m:t>2</m:t>
            </m:r>
          </m:sup>
        </m:sSup>
      </m:oMath>
      <w:r>
        <w:t xml:space="preserve"> </w:t>
      </w:r>
      <w:r>
        <w:t xml:space="preserve">= 678.2 on 5 degrees of freedom, P &lt; 0.001, Cramer’s V = 0.126], while 30 m cells in a spreading outbreak were not independent, so both P-values were anti-conservative.</w:t>
      </w:r>
    </w:p>
    <w:p>
      <w:pPr>
        <w:pStyle w:val="BodyText"/>
      </w:pPr>
      <w:r>
        <w:t xml:space="preserve">Topographic shading was not supported. Radiation entered the model once, as direct radiation during the flight window, at +0.319, the term that represents the temperature limit on flight, while growing-season radiation did not survive selection, so northness, which correlated -0.824 with it, stood in for the shading pathway. Northness entered at +0.384, so shaded, north-facing ground had more attack rather than less, against the prediction.</w:t>
      </w:r>
    </w:p>
    <w:bookmarkEnd w:id="50"/>
    <w:bookmarkStart w:id="55" w:name="wind-through-stand-density-in-time"/>
    <w:p>
      <w:pPr>
        <w:pStyle w:val="Heading2"/>
      </w:pPr>
      <w:r>
        <w:t xml:space="preserve">3.2 Wind through stand density in time</w:t>
      </w:r>
    </w:p>
    <w:p>
      <w:pPr>
        <w:pStyle w:val="FirstParagraph"/>
      </w:pPr>
      <w:r>
        <w:t xml:space="preserve">Stand density interacted negatively with terrain-resolved wind, the form the pheromone mechanism predicted.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remained after the previous epoch of the same season was entered, so neither was the outbreak’s own spread appearing as a wind coefficient.</w:t>
      </w:r>
    </w:p>
    <w:p>
      <w:pPr>
        <w:pStyle w:val="BodyText"/>
      </w:pPr>
      <w:r>
        <w:t xml:space="preserve">Wind alone gave no protection. Its main effect was +0.022, marginally more attack rather than less, and the density terms were positive, so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Manuscript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bookmarkEnd w:id="54"/>
        </w:tc>
      </w:tr>
    </w:tbl>
    <w:p>
      <w:pPr>
        <w:pStyle w:val="BodyText"/>
      </w:pPr>
      <w:r>
        <w:t xml:space="preserve">Attack recurred where it had already occurred, by a margin large enough to change how every other coefficient should be read. A cell attacked in one year was between 9 and 88 times more likely to be attacked in the next. Entering persistence and 90 m neighbourhood spread separately, following the autologistic design used for this province, gave +0.725 and +0.692 and raised discrimination from 0.774 to 0.857.</w:t>
      </w:r>
    </w:p>
    <w:p>
      <w:pPr>
        <w:pStyle w:val="BodyText"/>
      </w:pPr>
      <w:r>
        <w:t xml:space="preserve">The result that mattered was which environmental terms remained after that term entered. Sky view moved from +0.317 to +0.225 and the wind shelter index from -0.260 to -0.215, both describing conditions a cell had whether or not the beetle was ever present. Conversely, the shape terms were less stable, convergence moving from -0.081 to -0.045 and profile curvature from -0.064 to -0.036. Part of what the landform terms measured was thus where the outbreak had already been, the same failure the terrain-wind index showed against radiation.</w:t>
      </w:r>
    </w:p>
    <w:bookmarkEnd w:id="55"/>
    <w:bookmarkStart w:id="57" w:name="terrain-shelter-alone-or-through-density"/>
    <w:p>
      <w:pPr>
        <w:pStyle w:val="Heading2"/>
      </w:pPr>
      <w:r>
        <w:t xml:space="preserve">3.3 Terrain shelter alone or through density</w:t>
      </w:r>
    </w:p>
    <w:p>
      <w:pPr>
        <w:pStyle w:val="FirstParagraph"/>
      </w:pPr>
      <w:r>
        <w:t xml:space="preserve">Terrain predicted attack after stand structure and radiation were in the model, through shelter and openness rather than ruggedness, since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ground less. Sky view factor, the share of the sky visible from a cell, which is high on gentle, open, upper ground, entered at +0.285 (p &lt; 0.001), so open, sheltered ground had the most attack. The two valley terms, valley depth and height above the valley floor, left at the penalty stage once sky view and elevation were in the model. Elevation entered at +0.381. Of the shape terms, convergence entered at -0.077 and profile curvature at -0.059, while topographic position was not distinguishable from zero (p = 0.521). The landform classes are in</w:t>
      </w:r>
      <w:r>
        <w:t xml:space="preserve"> </w:t>
      </w:r>
      <w:hyperlink w:anchor="tbl-geomorphon">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tbl-geomorphon"/>
          <w:p>
            <w:pPr>
              <w:jc w:val="center"/>
            </w:pPr>
            <w:pPr>
              <w:jc w:val="start"/>
              <w:spacing w:before="200"/>
              <w:pStyle w:val="ImageCaption"/>
            </w:pPr>
            <w:r>
              <w:t xml:space="preserve">Table 6: 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Look w:firstRow="1" w:lastRow="0" w:firstColumn="0" w:lastColumn="0" w:noHBand="0" w:noVBand="0" w:val="0020"/>
              <w:tblW w:w="9354" w:type="dxa"/>
              <w:tblLayout w:type="fixed"/>
            </w:tblPr>
            <w:tblGrid>
              <w:gridCol w:w="1559"/>
              <w:gridCol w:w="1948"/>
              <w:gridCol w:w="1948"/>
              <w:gridCol w:w="1948"/>
              <w:gridCol w:w="1951"/>
            </w:tblGrid>
            <w:tr>
              <w:trPr>
                <w:tblHeader w:val="on"/>
                <w:trHeight w:val="624" w:hRule="exact"/>
              </w:trPr>
              <w:tc>
                <w:tcPr>
                  <w:tcW w:w="1559" w:type="dxa"/>
                  <w:vAlign w:val="center"/>
                </w:tcPr>
                <w:p>
                  <w:pPr>
                    <w:pStyle w:val="Compact"/>
                    <w:jc w:val="left"/>
                    <w:rPr>
                      <w:sz w:val="16"/>
                      <w:szCs w:val="16"/>
                    </w:rPr>
                  </w:pPr>
                  <w:r>
                    <w:rPr>
                      <w:b/>
                      <w:sz w:val="16"/>
                      <w:szCs w:val="16"/>
                    </w:rPr>
                    <w:t xml:space="preserve">Class</w:t>
                  </w:r>
                </w:p>
              </w:tc>
              <w:tc>
                <w:tcPr>
                  <w:tcW w:w="1948" w:type="dxa"/>
                  <w:vAlign w:val="center"/>
                </w:tcPr>
                <w:p>
                  <w:pPr>
                    <w:pStyle w:val="Compact"/>
                    <w:jc w:val="left"/>
                    <w:rPr>
                      <w:sz w:val="16"/>
                      <w:szCs w:val="16"/>
                    </w:rPr>
                  </w:pPr>
                  <w:r>
                    <w:rPr>
                      <w:b/>
                      <w:sz w:val="16"/>
                      <w:szCs w:val="16"/>
                    </w:rPr>
                    <w:t xml:space="preserve">Cells</w:t>
                  </w:r>
                </w:p>
              </w:tc>
              <w:tc>
                <w:tcPr>
                  <w:tcW w:w="1948" w:type="dxa"/>
                  <w:vAlign w:val="center"/>
                </w:tcPr>
                <w:p>
                  <w:pPr>
                    <w:pStyle w:val="Compact"/>
                    <w:jc w:val="left"/>
                    <w:rPr>
                      <w:sz w:val="16"/>
                      <w:szCs w:val="16"/>
                    </w:rPr>
                  </w:pPr>
                  <w:r>
                    <w:rPr>
                      <w:b/>
                      <w:sz w:val="16"/>
                      <w:szCs w:val="16"/>
                    </w:rPr>
                    <w:t xml:space="preserve">Attacked (%)</w:t>
                  </w:r>
                </w:p>
              </w:tc>
              <w:tc>
                <w:tcPr>
                  <w:tcW w:w="1948" w:type="dxa"/>
                  <w:vAlign w:val="center"/>
                </w:tcPr>
                <w:p>
                  <w:pPr>
                    <w:pStyle w:val="Compact"/>
                    <w:jc w:val="left"/>
                    <w:rPr>
                      <w:sz w:val="16"/>
                      <w:szCs w:val="16"/>
                    </w:rPr>
                  </w:pPr>
                  <w:r>
                    <w:rPr>
                      <w:b/>
                      <w:sz w:val="16"/>
                      <w:szCs w:val="16"/>
                    </w:rPr>
                    <w:t xml:space="preserve">Beta</w:t>
                  </w:r>
                </w:p>
              </w:tc>
              <w:tc>
                <w:tcPr>
                  <w:tcW w:w="1951" w:type="dxa"/>
                  <w:vAlign w:val="center"/>
                </w:tcPr>
                <w:p>
                  <w:pPr>
                    <w:pStyle w:val="Compact"/>
                    <w:jc w:val="left"/>
                    <w:rPr>
                      <w:sz w:val="16"/>
                      <w:szCs w:val="16"/>
                    </w:rPr>
                  </w:pPr>
                  <w:r>
                    <w:rPr>
                      <w:b/>
                      <w:sz w:val="16"/>
                      <w:szCs w:val="16"/>
                    </w:rPr>
                    <w:t xml:space="preserve">SE</w:t>
                  </w:r>
                </w:p>
              </w:tc>
            </w:tr>
            <w:tr>
              <w:trPr>
                <w:trHeight w:val="340" w:hRule="exact"/>
              </w:trPr>
              <w:tc>
                <w:tcPr>
                  <w:tcW w:w="1559" w:type="dxa"/>
                </w:tcPr>
                <w:p>
                  <w:pPr>
                    <w:pStyle w:val="Compact"/>
                    <w:jc w:val="left"/>
                    <w:rPr>
                      <w:sz w:val="16"/>
                      <w:szCs w:val="16"/>
                    </w:rPr>
                  </w:pPr>
                  <w:r>
                    <w:rPr>
                      <w:sz w:val="16"/>
                      <w:szCs w:val="16"/>
                    </w:rPr>
                    <w:t xml:space="preserve">slope (reference)</w:t>
                  </w:r>
                </w:p>
              </w:tc>
              <w:tc>
                <w:tcPr>
                  <w:tcW w:w="1948" w:type="dxa"/>
                </w:tcPr>
                <w:p>
                  <w:pPr>
                    <w:pStyle w:val="Compact"/>
                    <w:jc w:val="left"/>
                    <w:rPr>
                      <w:sz w:val="16"/>
                      <w:szCs w:val="16"/>
                    </w:rPr>
                  </w:pPr>
                  <w:r>
                    <w:rPr>
                      <w:sz w:val="16"/>
                      <w:szCs w:val="16"/>
                    </w:rPr>
                    <w:t xml:space="preserve">72,262</w:t>
                  </w:r>
                </w:p>
              </w:tc>
              <w:tc>
                <w:tcPr>
                  <w:tcW w:w="1948" w:type="dxa"/>
                </w:tcPr>
                <w:p>
                  <w:pPr>
                    <w:pStyle w:val="Compact"/>
                    <w:jc w:val="left"/>
                    <w:rPr>
                      <w:sz w:val="16"/>
                      <w:szCs w:val="16"/>
                    </w:rPr>
                  </w:pPr>
                  <w:r>
                    <w:rPr>
                      <w:sz w:val="16"/>
                      <w:szCs w:val="16"/>
                    </w:rPr>
                    <w:t xml:space="preserve">9.6</w:t>
                  </w:r>
                </w:p>
              </w:tc>
              <w:tc>
                <w:tcPr>
                  <w:tcW w:w="1948" w:type="dxa"/>
                </w:tcPr>
                <w:p>
                  <w:pPr>
                    <w:pStyle w:val="Compact"/>
                    <w:jc w:val="left"/>
                    <w:rPr>
                      <w:sz w:val="16"/>
                      <w:szCs w:val="16"/>
                    </w:rPr>
                  </w:pPr>
                </w:p>
              </w:tc>
              <w:tc>
                <w:tcPr>
                  <w:tcW w:w="1951" w:type="dxa"/>
                </w:tcPr>
                <w:p>
                  <w:pPr>
                    <w:pStyle w:val="Compact"/>
                    <w:jc w:val="left"/>
                    <w:rPr>
                      <w:sz w:val="16"/>
                      <w:szCs w:val="16"/>
                    </w:rPr>
                  </w:pPr>
                </w:p>
              </w:tc>
            </w:tr>
            <w:tr>
              <w:trPr>
                <w:trHeight w:val="340" w:hRule="exact"/>
              </w:trPr>
              <w:tc>
                <w:tcPr>
                  <w:tcW w:w="1559" w:type="dxa"/>
                </w:tcPr>
                <w:p>
                  <w:pPr>
                    <w:pStyle w:val="Compact"/>
                    <w:jc w:val="left"/>
                    <w:rPr>
                      <w:sz w:val="16"/>
                      <w:szCs w:val="16"/>
                    </w:rPr>
                  </w:pPr>
                  <w:r>
                    <w:rPr>
                      <w:sz w:val="16"/>
                      <w:szCs w:val="16"/>
                    </w:rPr>
                    <w:t xml:space="preserve">spur</w:t>
                  </w:r>
                </w:p>
              </w:tc>
              <w:tc>
                <w:tcPr>
                  <w:tcW w:w="1948" w:type="dxa"/>
                </w:tcPr>
                <w:p>
                  <w:pPr>
                    <w:pStyle w:val="Compact"/>
                    <w:jc w:val="left"/>
                    <w:rPr>
                      <w:sz w:val="16"/>
                      <w:szCs w:val="16"/>
                    </w:rPr>
                  </w:pPr>
                  <w:r>
                    <w:rPr>
                      <w:sz w:val="16"/>
                      <w:szCs w:val="16"/>
                    </w:rPr>
                    <w:t xml:space="preserve">22,050</w:t>
                  </w:r>
                </w:p>
              </w:tc>
              <w:tc>
                <w:tcPr>
                  <w:tcW w:w="1948" w:type="dxa"/>
                </w:tcPr>
                <w:p>
                  <w:pPr>
                    <w:pStyle w:val="Compact"/>
                    <w:jc w:val="left"/>
                    <w:rPr>
                      <w:sz w:val="16"/>
                      <w:szCs w:val="16"/>
                    </w:rPr>
                  </w:pPr>
                  <w:r>
                    <w:rPr>
                      <w:sz w:val="16"/>
                      <w:szCs w:val="16"/>
                    </w:rPr>
                    <w:t xml:space="preserve">12.6</w:t>
                  </w:r>
                </w:p>
              </w:tc>
              <w:tc>
                <w:tcPr>
                  <w:tcW w:w="1948" w:type="dxa"/>
                </w:tcPr>
                <w:p>
                  <w:pPr>
                    <w:pStyle w:val="Compact"/>
                    <w:jc w:val="left"/>
                    <w:rPr>
                      <w:sz w:val="16"/>
                      <w:szCs w:val="16"/>
                    </w:rPr>
                  </w:pPr>
                  <w:r>
                    <w:rPr>
                      <w:sz w:val="16"/>
                      <w:szCs w:val="16"/>
                    </w:rPr>
                    <w:t xml:space="preserve">-0.075*</w:t>
                  </w:r>
                </w:p>
              </w:tc>
              <w:tc>
                <w:tcPr>
                  <w:tcW w:w="1951" w:type="dxa"/>
                </w:tcPr>
                <w:p>
                  <w:pPr>
                    <w:pStyle w:val="Compact"/>
                    <w:jc w:val="left"/>
                    <w:rPr>
                      <w:sz w:val="16"/>
                      <w:szCs w:val="16"/>
                    </w:rPr>
                  </w:pPr>
                  <w:r>
                    <w:rPr>
                      <w:sz w:val="16"/>
                      <w:szCs w:val="16"/>
                    </w:rPr>
                    <w:t xml:space="preserve">0.035</w:t>
                  </w:r>
                </w:p>
              </w:tc>
            </w:tr>
            <w:tr>
              <w:trPr>
                <w:trHeight w:val="340" w:hRule="exact"/>
              </w:trPr>
              <w:tc>
                <w:tcPr>
                  <w:tcW w:w="1559" w:type="dxa"/>
                </w:tcPr>
                <w:p>
                  <w:pPr>
                    <w:pStyle w:val="Compact"/>
                    <w:jc w:val="left"/>
                    <w:rPr>
                      <w:sz w:val="16"/>
                      <w:szCs w:val="16"/>
                    </w:rPr>
                  </w:pPr>
                  <w:r>
                    <w:rPr>
                      <w:sz w:val="16"/>
                      <w:szCs w:val="16"/>
                    </w:rPr>
                    <w:t xml:space="preserve">hollow</w:t>
                  </w:r>
                </w:p>
              </w:tc>
              <w:tc>
                <w:tcPr>
                  <w:tcW w:w="1948" w:type="dxa"/>
                </w:tcPr>
                <w:p>
                  <w:pPr>
                    <w:pStyle w:val="Compact"/>
                    <w:jc w:val="left"/>
                    <w:rPr>
                      <w:sz w:val="16"/>
                      <w:szCs w:val="16"/>
                    </w:rPr>
                  </w:pPr>
                  <w:r>
                    <w:rPr>
                      <w:sz w:val="16"/>
                      <w:szCs w:val="16"/>
                    </w:rPr>
                    <w:t xml:space="preserve">12,988</w:t>
                  </w:r>
                </w:p>
              </w:tc>
              <w:tc>
                <w:tcPr>
                  <w:tcW w:w="1948" w:type="dxa"/>
                </w:tcPr>
                <w:p>
                  <w:pPr>
                    <w:pStyle w:val="Compact"/>
                    <w:jc w:val="left"/>
                    <w:rPr>
                      <w:sz w:val="16"/>
                      <w:szCs w:val="16"/>
                    </w:rPr>
                  </w:pPr>
                  <w:r>
                    <w:rPr>
                      <w:sz w:val="16"/>
                      <w:szCs w:val="16"/>
                    </w:rPr>
                    <w:t xml:space="preserve">6.0</w:t>
                  </w:r>
                </w:p>
              </w:tc>
              <w:tc>
                <w:tcPr>
                  <w:tcW w:w="1948" w:type="dxa"/>
                </w:tcPr>
                <w:p>
                  <w:pPr>
                    <w:pStyle w:val="Compact"/>
                    <w:jc w:val="left"/>
                    <w:rPr>
                      <w:sz w:val="16"/>
                      <w:szCs w:val="16"/>
                    </w:rPr>
                  </w:pPr>
                  <w:r>
                    <w:rPr>
                      <w:sz w:val="16"/>
                      <w:szCs w:val="16"/>
                    </w:rPr>
                    <w:t xml:space="preserve">-0.091</w:t>
                  </w:r>
                </w:p>
              </w:tc>
              <w:tc>
                <w:tcPr>
                  <w:tcW w:w="1951" w:type="dxa"/>
                </w:tcPr>
                <w:p>
                  <w:pPr>
                    <w:pStyle w:val="Compact"/>
                    <w:jc w:val="left"/>
                    <w:rPr>
                      <w:sz w:val="16"/>
                      <w:szCs w:val="16"/>
                    </w:rPr>
                  </w:pPr>
                  <w:r>
                    <w:rPr>
                      <w:sz w:val="16"/>
                      <w:szCs w:val="16"/>
                    </w:rPr>
                    <w:t xml:space="preserve">0.053</w:t>
                  </w:r>
                </w:p>
              </w:tc>
            </w:tr>
            <w:tr>
              <w:trPr>
                <w:trHeight w:val="340" w:hRule="exact"/>
              </w:trPr>
              <w:tc>
                <w:tcPr>
                  <w:tcW w:w="1559" w:type="dxa"/>
                </w:tcPr>
                <w:p>
                  <w:pPr>
                    <w:pStyle w:val="Compact"/>
                    <w:jc w:val="left"/>
                    <w:rPr>
                      <w:sz w:val="16"/>
                      <w:szCs w:val="16"/>
                    </w:rPr>
                  </w:pPr>
                  <w:r>
                    <w:rPr>
                      <w:sz w:val="16"/>
                      <w:szCs w:val="16"/>
                    </w:rPr>
                    <w:t xml:space="preserve">valley</w:t>
                  </w:r>
                </w:p>
              </w:tc>
              <w:tc>
                <w:tcPr>
                  <w:tcW w:w="1948" w:type="dxa"/>
                </w:tcPr>
                <w:p>
                  <w:pPr>
                    <w:pStyle w:val="Compact"/>
                    <w:jc w:val="left"/>
                    <w:rPr>
                      <w:sz w:val="16"/>
                      <w:szCs w:val="16"/>
                    </w:rPr>
                  </w:pPr>
                  <w:r>
                    <w:rPr>
                      <w:sz w:val="16"/>
                      <w:szCs w:val="16"/>
                    </w:rPr>
                    <w:t xml:space="preserve">2,963</w:t>
                  </w:r>
                </w:p>
              </w:tc>
              <w:tc>
                <w:tcPr>
                  <w:tcW w:w="1948" w:type="dxa"/>
                </w:tcPr>
                <w:p>
                  <w:pPr>
                    <w:pStyle w:val="Compact"/>
                    <w:jc w:val="left"/>
                    <w:rPr>
                      <w:sz w:val="16"/>
                      <w:szCs w:val="16"/>
                    </w:rPr>
                  </w:pPr>
                  <w:r>
                    <w:rPr>
                      <w:sz w:val="16"/>
                      <w:szCs w:val="16"/>
                    </w:rPr>
                    <w:t xml:space="preserve">3.8</w:t>
                  </w:r>
                </w:p>
              </w:tc>
              <w:tc>
                <w:tcPr>
                  <w:tcW w:w="1948" w:type="dxa"/>
                </w:tcPr>
                <w:p>
                  <w:pPr>
                    <w:pStyle w:val="Compact"/>
                    <w:jc w:val="left"/>
                    <w:rPr>
                      <w:sz w:val="16"/>
                      <w:szCs w:val="16"/>
                    </w:rPr>
                  </w:pPr>
                  <w:r>
                    <w:rPr>
                      <w:sz w:val="16"/>
                      <w:szCs w:val="16"/>
                    </w:rPr>
                    <w:t xml:space="preserve">-0.676****</w:t>
                  </w:r>
                </w:p>
              </w:tc>
              <w:tc>
                <w:tcPr>
                  <w:tcW w:w="1951" w:type="dxa"/>
                </w:tcPr>
                <w:p>
                  <w:pPr>
                    <w:pStyle w:val="Compact"/>
                    <w:jc w:val="left"/>
                    <w:rPr>
                      <w:sz w:val="16"/>
                      <w:szCs w:val="16"/>
                    </w:rPr>
                  </w:pPr>
                  <w:r>
                    <w:rPr>
                      <w:sz w:val="16"/>
                      <w:szCs w:val="16"/>
                    </w:rPr>
                    <w:t xml:space="preserve">0.121</w:t>
                  </w:r>
                </w:p>
              </w:tc>
            </w:tr>
            <w:tr>
              <w:trPr>
                <w:trHeight w:val="340" w:hRule="exact"/>
              </w:trPr>
              <w:tc>
                <w:tcPr>
                  <w:tcW w:w="1559" w:type="dxa"/>
                </w:tcPr>
                <w:p>
                  <w:pPr>
                    <w:pStyle w:val="Compact"/>
                    <w:jc w:val="left"/>
                    <w:rPr>
                      <w:sz w:val="16"/>
                      <w:szCs w:val="16"/>
                    </w:rPr>
                  </w:pPr>
                  <w:r>
                    <w:rPr>
                      <w:sz w:val="16"/>
                      <w:szCs w:val="16"/>
                    </w:rPr>
                    <w:t xml:space="preserve">ridge#</w:t>
                  </w:r>
                </w:p>
              </w:tc>
              <w:tc>
                <w:tcPr>
                  <w:tcW w:w="1948" w:type="dxa"/>
                </w:tcPr>
                <w:p>
                  <w:pPr>
                    <w:pStyle w:val="Compact"/>
                    <w:jc w:val="left"/>
                    <w:rPr>
                      <w:sz w:val="16"/>
                      <w:szCs w:val="16"/>
                    </w:rPr>
                  </w:pPr>
                  <w:r>
                    <w:rPr>
                      <w:sz w:val="16"/>
                      <w:szCs w:val="16"/>
                    </w:rPr>
                    <w:t xml:space="preserve">1,276</w:t>
                  </w:r>
                </w:p>
              </w:tc>
              <w:tc>
                <w:tcPr>
                  <w:tcW w:w="1948" w:type="dxa"/>
                </w:tcPr>
                <w:p>
                  <w:pPr>
                    <w:pStyle w:val="Compact"/>
                    <w:jc w:val="left"/>
                    <w:rPr>
                      <w:sz w:val="16"/>
                      <w:szCs w:val="16"/>
                    </w:rPr>
                  </w:pPr>
                  <w:r>
                    <w:rPr>
                      <w:sz w:val="16"/>
                      <w:szCs w:val="16"/>
                    </w:rPr>
                    <w:t xml:space="preserve">11.0</w:t>
                  </w:r>
                </w:p>
              </w:tc>
              <w:tc>
                <w:tcPr>
                  <w:tcW w:w="1948" w:type="dxa"/>
                </w:tcPr>
                <w:p>
                  <w:pPr>
                    <w:pStyle w:val="Compact"/>
                    <w:jc w:val="left"/>
                    <w:rPr>
                      <w:sz w:val="16"/>
                      <w:szCs w:val="16"/>
                    </w:rPr>
                  </w:pPr>
                  <w:r>
                    <w:rPr>
                      <w:sz w:val="16"/>
                      <w:szCs w:val="16"/>
                    </w:rPr>
                    <w:t xml:space="preserve">-1.160****</w:t>
                  </w:r>
                </w:p>
              </w:tc>
              <w:tc>
                <w:tcPr>
                  <w:tcW w:w="1951" w:type="dxa"/>
                </w:tcPr>
                <w:p>
                  <w:pPr>
                    <w:pStyle w:val="Compact"/>
                    <w:jc w:val="left"/>
                    <w:rPr>
                      <w:sz w:val="16"/>
                      <w:szCs w:val="16"/>
                    </w:rPr>
                  </w:pPr>
                  <w:r>
                    <w:rPr>
                      <w:sz w:val="16"/>
                      <w:szCs w:val="16"/>
                    </w:rPr>
                    <w:t xml:space="preserve">0.119</w:t>
                  </w:r>
                </w:p>
              </w:tc>
            </w:tr>
            <w:tr>
              <w:trPr>
                <w:trHeight w:val="340" w:hRule="exact"/>
              </w:trPr>
              <w:tc>
                <w:tcPr>
                  <w:tcW w:w="1559" w:type="dxa"/>
                </w:tcPr>
                <w:p>
                  <w:pPr>
                    <w:pStyle w:val="Compact"/>
                    <w:jc w:val="left"/>
                    <w:rPr>
                      <w:sz w:val="16"/>
                      <w:szCs w:val="16"/>
                    </w:rPr>
                  </w:pPr>
                  <w:r>
                    <w:rPr>
                      <w:sz w:val="16"/>
                      <w:szCs w:val="16"/>
                    </w:rPr>
                    <w:t xml:space="preserve">peak</w:t>
                  </w:r>
                </w:p>
              </w:tc>
              <w:tc>
                <w:tcPr>
                  <w:tcW w:w="1948" w:type="dxa"/>
                </w:tcPr>
                <w:p>
                  <w:pPr>
                    <w:pStyle w:val="Compact"/>
                    <w:jc w:val="left"/>
                    <w:rPr>
                      <w:sz w:val="16"/>
                      <w:szCs w:val="16"/>
                    </w:rPr>
                  </w:pPr>
                  <w:r>
                    <w:rPr>
                      <w:sz w:val="16"/>
                      <w:szCs w:val="16"/>
                    </w:rPr>
                    <w:t xml:space="preserve">168</w:t>
                  </w:r>
                </w:p>
              </w:tc>
              <w:tc>
                <w:tcPr>
                  <w:tcW w:w="1948" w:type="dxa"/>
                </w:tcPr>
                <w:p>
                  <w:pPr>
                    <w:pStyle w:val="Compact"/>
                    <w:jc w:val="left"/>
                    <w:rPr>
                      <w:sz w:val="16"/>
                      <w:szCs w:val="16"/>
                    </w:rPr>
                  </w:pPr>
                  <w:r>
                    <w:rPr>
                      <w:sz w:val="16"/>
                      <w:szCs w:val="16"/>
                    </w:rPr>
                    <w:t xml:space="preserve">22.6</w:t>
                  </w:r>
                </w:p>
              </w:tc>
              <w:tc>
                <w:tcPr>
                  <w:tcW w:w="1948" w:type="dxa"/>
                </w:tcPr>
                <w:p>
                  <w:pPr>
                    <w:pStyle w:val="Compact"/>
                    <w:jc w:val="left"/>
                    <w:rPr>
                      <w:sz w:val="16"/>
                      <w:szCs w:val="16"/>
                    </w:rPr>
                  </w:pPr>
                  <w:r>
                    <w:rPr>
                      <w:sz w:val="16"/>
                      <w:szCs w:val="16"/>
                    </w:rPr>
                    <w:t xml:space="preserve">-0.523*</w:t>
                  </w:r>
                </w:p>
              </w:tc>
              <w:tc>
                <w:tcPr>
                  <w:tcW w:w="1951" w:type="dxa"/>
                </w:tcPr>
                <w:p>
                  <w:pPr>
                    <w:pStyle w:val="Compact"/>
                    <w:jc w:val="left"/>
                    <w:rPr>
                      <w:sz w:val="16"/>
                      <w:szCs w:val="16"/>
                    </w:rPr>
                  </w:pPr>
                  <w:r>
                    <w:rPr>
                      <w:sz w:val="16"/>
                      <w:szCs w:val="16"/>
                    </w:rPr>
                    <w:t xml:space="preserve">0.227</w:t>
                  </w:r>
                </w:p>
              </w:tc>
            </w:tr>
            <w:tr>
              <w:trPr>
                <w:trHeight w:val="340" w:hRule="atLeast"/>
              </w:trPr>
              <w:tc>
                <w:tcPr>
                  <w:tcW w:w="9354" w:type="dxa"/>
                  <w:gridSpan w:val="5"/>
                </w:tcPr>
                <w:p>
                  <w:pPr>
                    <w:pStyle w:val="Compact"/>
                    <w:jc w:val="left"/>
                    <w:rPr>
                      <w:sz w:val="16"/>
                      <w:szCs w:val="16"/>
                    </w:rPr>
                  </w:pPr>
                  <w:r>
                    <w:rPr>
                      <w:sz w:val="16"/>
                      <w:szCs w:val="16"/>
                    </w:rPr>
                    <w:t xml:space="preserve"># Ridge includes the 16 shoulder cells on the perimeter. No shoulder cell was classed as attacked in any year, so the class could not be estimated on its own and was counted with ridge, its neighbour on the geomorphon scale.</w:t>
                  </w:r>
                </w:p>
              </w:tc>
            </w:tr>
          </w:tbl>
          <w:bookmarkEnd w:id="56"/>
          <w:p/>
        </w:tc>
      </w:tr>
    </w:tbl>
    <w:p>
      <w:pPr>
        <w:pStyle w:val="BodyText"/>
      </w:pPr>
      <w:r>
        <w:t xml:space="preserve">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bookmarkEnd w:id="57"/>
    <w:bookmarkEnd w:id="58"/>
    <w:bookmarkStart w:id="64" w:name="discussion"/>
    <w:p>
      <w:pPr>
        <w:pStyle w:val="Heading1"/>
      </w:pPr>
      <w:r>
        <w:t xml:space="preserve">4. Discussion</w:t>
      </w:r>
    </w:p>
    <w:bookmarkStart w:id="59" w:name="two-scales"/>
    <w:p>
      <w:pPr>
        <w:pStyle w:val="Heading2"/>
      </w:pPr>
      <w:r>
        <w:t xml:space="preserve">4.1 Two scales</w:t>
      </w:r>
    </w:p>
    <w:p>
      <w:pPr>
        <w:pStyle w:val="FirstParagraph"/>
      </w:pPr>
      <w:r>
        <w:t xml:space="preserve">The three questions resolved into one pattern. Terrain acted on attack as a main effect of shelter and openness that did not depend on stand density, while wind acted on attack as an interaction with stand density that appeared only where wind varied in time. Deposition predicted the first and plume disruption the second, and neither mechanism produced the other’s signature. The one place the two could have been confused, the density by shelter interaction, fell by 59 per cent when flight-window radiation entered and could not then be distinguished from zero, while the shelter main effect did not move. A terrain index alone would therefore have supported the plume mechanism on evidence that was partly sunlight.</w:t>
      </w:r>
    </w:p>
    <w:p>
      <w:pPr>
        <w:pStyle w:val="BodyText"/>
      </w:pPr>
      <w:r>
        <w:t xml:space="preserve">The wind half of that pattern remained after the previous epoch of the same season was entered, so it was not the outbreak’s own spread appearing as a wind coefficient. Two limits remained attached to it. The interaction was small, roughly a tenth of the stand basal area main effect, and the wind field was terrain-modified station data rather than measurement on the ridge, so what was established was that the modelled wind field behaved as the mechanism required, not that the air itself did.</w:t>
      </w:r>
    </w:p>
    <w:bookmarkEnd w:id="59"/>
    <w:bookmarkStart w:id="60" w:name="what-was-supported"/>
    <w:p>
      <w:pPr>
        <w:pStyle w:val="Heading2"/>
      </w:pPr>
      <w:r>
        <w:t xml:space="preserve">4.2 What was supported</w:t>
      </w:r>
    </w:p>
    <w:p>
      <w:pPr>
        <w:pStyle w:val="FirstParagraph"/>
      </w:pPr>
      <w:r>
        <w:t xml:space="preserve">Of the three mechanisms</w:t>
      </w:r>
      <w:r>
        <w:t xml:space="preserve"> </w:t>
      </w:r>
      <w:r>
        <w:t xml:space="preserve">Krawchuk et al. (2020)</w:t>
      </w:r>
      <w:r>
        <w:t xml:space="preserve"> </w:t>
      </w:r>
      <w:r>
        <w:t xml:space="preserve">proposed, two were supported and one failed. Low host density admitting the wind that disperses the aggregation pheromone was supported in the conditional form the mechanism specified rather than as a main effect. The claim was never that dense stands were attacked more, but that a dense canopy kept a plume together and that the advantage this conferred on the beetle should diminish as wind speed rose, and both halves of that prediction were present. A scarcity of large-diameter hosts was supported as a threshold rather than as a gradient, attack peaking at 31.5 per cent in the 25 to 30 cm class, at the source-sink boundary of</w:t>
      </w:r>
      <w:r>
        <w:t xml:space="preserve"> </w:t>
      </w:r>
      <w:r>
        <w:t xml:space="preserve">Carroll and Safranyik (2004)</w:t>
      </w:r>
      <w:r>
        <w:t xml:space="preserve">, and falling away on both sides.</w:t>
      </w:r>
    </w:p>
    <w:p>
      <w:pPr>
        <w:pStyle w:val="BodyText"/>
      </w:pPr>
      <w:r>
        <w:t xml:space="preserve">Topographic shading was not supported, and it failed on a surrogate rather than on the quantity the mechanism named. Growing-season radiation did not survive variable selection, so northness stood in for the pathway, the two correlating -0.824. Northness was +0.384, so shaded ground had more attack where the mechanism required less. Northness tested aspect, and aspect measured more than shade, which made this the least secure of the three verdicts, while the water-stress pathway</w:t>
      </w:r>
      <w:r>
        <w:t xml:space="preserve"> </w:t>
      </w:r>
      <w:r>
        <w:t xml:space="preserve">Krawchuk et al. (2020)</w:t>
      </w:r>
      <w:r>
        <w:t xml:space="preserve"> </w:t>
      </w:r>
      <w:r>
        <w:t xml:space="preserve">described was not measured here at all.</w:t>
      </w:r>
    </w:p>
    <w:bookmarkEnd w:id="60"/>
    <w:bookmarkStart w:id="61" w:name="landing-zones"/>
    <w:p>
      <w:pPr>
        <w:pStyle w:val="Heading2"/>
      </w:pPr>
      <w:r>
        <w:t xml:space="preserve">4.3 Landing zones</w:t>
      </w:r>
    </w:p>
    <w:p>
      <w:pPr>
        <w:pStyle w:val="FirstParagraph"/>
      </w:pPr>
      <w:r>
        <w:t xml:space="preserve">Read with the dispersal literature, the terrain results described where beetles came down rather than where they chose to attack.</w:t>
      </w:r>
      <w:r>
        <w:t xml:space="preserve"> </w:t>
      </w:r>
      <w:r>
        <w:t xml:space="preserve">Hynum and Berryman (1980)</w:t>
      </w:r>
      <w:r>
        <w:t xml:space="preserve"> </w:t>
      </w:r>
      <w:r>
        <w:t xml:space="preserve">showed that landing was not host-directed,</w:t>
      </w:r>
      <w:r>
        <w:t xml:space="preserve"> </w:t>
      </w:r>
      <w:r>
        <w:t xml:space="preserve">Jackson et al. (2008)</w:t>
      </w:r>
      <w:r>
        <w:t xml:space="preserve"> </w:t>
      </w:r>
      <w:r>
        <w:t xml:space="preserve">that part of the population flew far above the canopy, and</w:t>
      </w:r>
      <w:r>
        <w:t xml:space="preserve"> </w:t>
      </w:r>
      <w:r>
        <w:t xml:space="preserve">Chen and Jackson (2017)</w:t>
      </w:r>
      <w:r>
        <w:t xml:space="preserve"> </w:t>
      </w:r>
      <w:r>
        <w:t xml:space="preserve">that the descent phase of that transport was the least understood. A beetle descending through slowing air behaved as any wind-borne particle did and settled where the flow decelerated, in the lee of ridges and on sheltered slopes, which was what the shelter index measured and why the same index predicted where snow accumulated</w:t>
      </w:r>
      <w:r>
        <w:t xml:space="preserve"> </w:t>
      </w:r>
      <w:r>
        <w:t xml:space="preserve">(Plattner et al. 2004)</w:t>
      </w:r>
      <w:r>
        <w:t xml:space="preserve">. Three results fitted that reading and none contradicted it. Leeward ground had more attack as a main effect, -0.267, and the effect did not detectably depend on stand density. Open, gently sloping ground had more attack, sky view +0.285, and the valley terms did not survive the penalty beside it.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pPr>
        <w:pStyle w:val="BodyText"/>
      </w:pPr>
      <w:r>
        <w:t xml:space="preserve">A prior study that read terrain this way found the opposite association.</w:t>
      </w:r>
      <w:r>
        <w:t xml:space="preserve"> </w:t>
      </w:r>
      <w:r>
        <w:t xml:space="preserve">de la Giroday et al. (2011)</w:t>
      </w:r>
      <w:r>
        <w:t xml:space="preserve"> </w:t>
      </w:r>
      <w:r>
        <w:t xml:space="preserve">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pPr>
        <w:pStyle w:val="BodyText"/>
      </w:pPr>
      <w:r>
        <w:t xml:space="preserve">The reading was an interpretation rather than an observation. No beetle was tracked to the ground here, sky view factor also set diffuse radiation, so part of its coefficient may have been sunlight, and open upper ground warmed first, so the same pattern would have followed from faster development as readily as from deposition</w:t>
      </w:r>
      <w:r>
        <w:t xml:space="preserve"> </w:t>
      </w:r>
      <w:r>
        <w:t xml:space="preserve">(Sambaraju and Goodsman 2021)</w:t>
      </w:r>
      <w:r>
        <w:t xml:space="preserve">. The component reading was nonetheless more than a ruggedness index could give, since that index recorded that relief mattered without saying how.</w:t>
      </w:r>
    </w:p>
    <w:bookmarkEnd w:id="61"/>
    <w:bookmarkStart w:id="62" w:name="two-measurement-lessons"/>
    <w:p>
      <w:pPr>
        <w:pStyle w:val="Heading2"/>
      </w:pPr>
      <w:r>
        <w:t xml:space="preserve">4.4 Two measurement lessons</w:t>
      </w:r>
    </w:p>
    <w:p>
      <w:pPr>
        <w:pStyle w:val="FirstParagraph"/>
      </w:pPr>
      <w:r>
        <w:t xml:space="preserve">Two measurement results extended beyond this landscape. The first was that a terrain wind index was in part a measurement of incident radiation, flight-window radiation having moved the density by shelter interaction from +0.055 to +0.023. That confusion was unlikely to be peculiar to the present dataset.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pPr>
        <w:pStyle w:val="BodyText"/>
      </w:pPr>
      <w:r>
        <w:t xml:space="preserve">The second was that a landform variable in a spreading outbreak recorded in part where the outbreak had already been, previous-year attack having moved convergence from -0.081 to -0.045 while sky view moved only from +0.317 to +0.225. The terms that remained described conditions a cell had whether or not the beetle was ever present, and the terms that moved described its shape, so part of what a landform coefficient measured in this outbreak was the outbreak’s own history.</w:t>
      </w:r>
    </w:p>
    <w:bookmarkEnd w:id="62"/>
    <w:bookmarkStart w:id="63" w:name="limits-and-management"/>
    <w:p>
      <w:pPr>
        <w:pStyle w:val="Heading2"/>
      </w:pPr>
      <w:r>
        <w:t xml:space="preserve">4.5 Limits and management</w:t>
      </w:r>
    </w:p>
    <w:p>
      <w:pPr>
        <w:pStyle w:val="FirstParagraph"/>
      </w:pPr>
      <w:r>
        <w:t xml:space="preserve">Elevation was among the largest terms in the model at +0.381, but it was not a single quantity. It combined temperature, snowpack, growing-season length and the distribution of lodgepole pine in a way this design could not separate, so reporting the elevation coefficient as a result would have been reporting a composite.</w:t>
      </w:r>
    </w:p>
    <w:p>
      <w:pPr>
        <w:pStyle w:val="BodyText"/>
      </w:pPr>
      <w:r>
        <w:t xml:space="preserve">Three limits lay outside the model and bounded every result in it. The inventory postdated part of the outbreak, since polygons interpreted after the beetle passed described the stand it left, and total basal area discriminated only weakly on its own, a univariate AUC of 0.601. The response was classified rather than observed, from 38 plots inside one burn, so the reported accuracy measured how well the classifier reproduced those plots and not agreement with ground mortality elsewhere. Every conclusion rested on one mountain range across eight years.</w:t>
      </w:r>
    </w:p>
    <w:p>
      <w:pPr>
        <w:pStyle w:val="BodyText"/>
      </w:pPr>
      <w:r>
        <w:t xml:space="preserve">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Thinning could therefore be expected to lower attack on windward ground during windy flight periods and to do little on the sheltered lee slopes where beetles came down, and only by the modest margin the interaction measured.</w:t>
      </w:r>
    </w:p>
    <w:bookmarkEnd w:id="63"/>
    <w:bookmarkEnd w:id="64"/>
    <w:bookmarkStart w:id="122" w:name="references"/>
    <w:p>
      <w:pPr>
        <w:pStyle w:val="Heading1"/>
      </w:pPr>
      <w:r>
        <w:t xml:space="preserve">References</w:t>
      </w:r>
    </w:p>
    <w:bookmarkStart w:id="121" w:name="refs"/>
    <w:bookmarkStart w:id="66" w:name="ref-ainslie2010"/>
    <w:p>
      <w:pPr>
        <w:pStyle w:val="Bibliography"/>
      </w:pPr>
      <w:r>
        <w:t xml:space="preserve">Ainslie B, Jackson PL (2010) Investigation into mountain pine beetle above-canopy dispersion using weather radar and an atmospheric dispersion model. Aerobiologia 27:51–65.</w:t>
      </w:r>
      <w:r>
        <w:t xml:space="preserve"> </w:t>
      </w:r>
      <w:hyperlink r:id="rId65">
        <w:r>
          <w:rPr>
            <w:rStyle w:val="Hyperlink"/>
          </w:rPr>
          <w:t xml:space="preserve">https://doi.org/10.1007/s10453-010-9176-9</w:t>
        </w:r>
      </w:hyperlink>
    </w:p>
    <w:bookmarkEnd w:id="66"/>
    <w:bookmarkStart w:id="68" w:name="ref-carlson2017"/>
    <w:p>
      <w:pPr>
        <w:pStyle w:val="Bibliography"/>
      </w:pPr>
      <w:r>
        <w:t xml:space="preserve">Carlson AR, Sibold JS, Assal TJ, Negrón JF (2017) Evidence of compounded disturbance effects on vegetation recovery following high-severity wildfire and spruce beetle outbreak. PLOS ONE 12:e0181778.</w:t>
      </w:r>
      <w:r>
        <w:t xml:space="preserve"> </w:t>
      </w:r>
      <w:hyperlink r:id="rId67">
        <w:r>
          <w:rPr>
            <w:rStyle w:val="Hyperlink"/>
          </w:rPr>
          <w:t xml:space="preserve">https://doi.org/10.1371/journal.pone.0181778</w:t>
        </w:r>
      </w:hyperlink>
    </w:p>
    <w:bookmarkEnd w:id="68"/>
    <w:bookmarkStart w:id="6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w:t>
      </w:r>
      <w:r>
        <w:t xml:space="preserve"> </w:t>
      </w:r>
      <w:r>
        <w:t xml:space="preserve">Natural Resources Canada, Canadian Forest Service, Pacific Forestry Centre</w:t>
      </w:r>
      <w:r>
        <w:t xml:space="preserve">, Victoria, British Columbia, pp 21–32</w:t>
      </w:r>
    </w:p>
    <w:bookmarkEnd w:id="69"/>
    <w:bookmarkStart w:id="7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70">
        <w:r>
          <w:rPr>
            <w:rStyle w:val="Hyperlink"/>
          </w:rPr>
          <w:t xml:space="preserve">https://doi.org/10.3390/f9110715</w:t>
        </w:r>
      </w:hyperlink>
    </w:p>
    <w:bookmarkEnd w:id="71"/>
    <w:bookmarkStart w:id="73" w:name="ref-chen2017"/>
    <w:p>
      <w:pPr>
        <w:pStyle w:val="Bibliography"/>
      </w:pPr>
      <w:r>
        <w:t xml:space="preserve">Chen H, Jackson PL (2017) Climatic conditions for emergence and flight of mountain pine beetle: Implications for long-distance dispersal. Canadian Journal of Forest Research 47:974–984.</w:t>
      </w:r>
      <w:r>
        <w:t xml:space="preserve"> </w:t>
      </w:r>
      <w:hyperlink r:id="rId72">
        <w:r>
          <w:rPr>
            <w:rStyle w:val="Hyperlink"/>
          </w:rPr>
          <w:t xml:space="preserve">https://doi.org/10.1139/cjfr-2016-0510</w:t>
        </w:r>
      </w:hyperlink>
    </w:p>
    <w:bookmarkEnd w:id="73"/>
    <w:bookmarkStart w:id="75" w:name="ref-cooke2025"/>
    <w:p>
      <w:pPr>
        <w:pStyle w:val="Bibliography"/>
      </w:pPr>
      <w:r>
        <w:t xml:space="preserve">Cooke BJ, MacQuarrie CJK, Carroll AL (2025) On the deduction and quantification of irruptive dynamics in mountain pine beetle population and proxy data. Journal of Applied Entomology 149:309–323.</w:t>
      </w:r>
      <w:r>
        <w:t xml:space="preserve"> </w:t>
      </w:r>
      <w:hyperlink r:id="rId74">
        <w:r>
          <w:rPr>
            <w:rStyle w:val="Hyperlink"/>
          </w:rPr>
          <w:t xml:space="preserve">https://doi.org/10.1111/jen.13262</w:t>
        </w:r>
      </w:hyperlink>
    </w:p>
    <w:bookmarkEnd w:id="75"/>
    <w:bookmarkStart w:id="77" w:name="ref-giroday2011"/>
    <w:p>
      <w:pPr>
        <w:pStyle w:val="Bibliography"/>
      </w:pPr>
      <w:r>
        <w:t xml:space="preserve">de la Giroday H-MC, Carroll AL, Lindgren BS, Aukema BH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 Landscape Ecology 26:1097–1110.</w:t>
      </w:r>
      <w:r>
        <w:t xml:space="preserve"> </w:t>
      </w:r>
      <w:hyperlink r:id="rId76">
        <w:r>
          <w:rPr>
            <w:rStyle w:val="Hyperlink"/>
          </w:rPr>
          <w:t xml:space="preserve">https://doi.org/10.1007/s10980-011-9628-9</w:t>
        </w:r>
      </w:hyperlink>
    </w:p>
    <w:bookmarkEnd w:id="77"/>
    <w:bookmarkStart w:id="79" w:name="ref-gray1972"/>
    <w:p>
      <w:pPr>
        <w:pStyle w:val="Bibliography"/>
      </w:pPr>
      <w:r>
        <w:t xml:space="preserve">Gray B, Billings RF, Gara RI, Johnsey RL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 Zeitschrift f</w:t>
      </w:r>
      <w:r>
        <w:t xml:space="preserve">ü</w:t>
      </w:r>
      <w:r>
        <w:t xml:space="preserve">r angewandte Entomologie 71:250–259.</w:t>
      </w:r>
      <w:r>
        <w:t xml:space="preserve"> </w:t>
      </w:r>
      <w:hyperlink r:id="rId78">
        <w:r>
          <w:rPr>
            <w:rStyle w:val="Hyperlink"/>
          </w:rPr>
          <w:t xml:space="preserve">https://doi.org/10.1111/j.1439-0418.1972.tb01745.x</w:t>
        </w:r>
      </w:hyperlink>
    </w:p>
    <w:bookmarkEnd w:id="79"/>
    <w:bookmarkStart w:id="81"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80">
        <w:r>
          <w:rPr>
            <w:rStyle w:val="Hyperlink"/>
          </w:rPr>
          <w:t xml:space="preserve">https://doi.org/10.1007/s00442-022-05129-4</w:t>
        </w:r>
      </w:hyperlink>
    </w:p>
    <w:bookmarkEnd w:id="81"/>
    <w:bookmarkStart w:id="83" w:name="ref-hynum1980"/>
    <w:p>
      <w:pPr>
        <w:pStyle w:val="Bibliography"/>
      </w:pPr>
      <w:r>
        <w:t xml:space="preserve">Hynum BG, Berryman AA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 The Canadian Entomologist 112:185–191.</w:t>
      </w:r>
      <w:r>
        <w:t xml:space="preserve"> </w:t>
      </w:r>
      <w:hyperlink r:id="rId82">
        <w:r>
          <w:rPr>
            <w:rStyle w:val="Hyperlink"/>
          </w:rPr>
          <w:t xml:space="preserve">https://doi.org/10.4039/Ent112185-2</w:t>
        </w:r>
      </w:hyperlink>
    </w:p>
    <w:bookmarkEnd w:id="83"/>
    <w:bookmarkStart w:id="85"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84">
        <w:r>
          <w:rPr>
            <w:rStyle w:val="Hyperlink"/>
          </w:rPr>
          <w:t xml:space="preserve">https://doi.org/10.1139/X08-066</w:t>
        </w:r>
      </w:hyperlink>
    </w:p>
    <w:bookmarkEnd w:id="85"/>
    <w:bookmarkStart w:id="87"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6">
        <w:r>
          <w:rPr>
            <w:rStyle w:val="Hyperlink"/>
          </w:rPr>
          <w:t xml:space="preserve">https://doi.org/10.1139/cjfr-2018-0304</w:t>
        </w:r>
      </w:hyperlink>
    </w:p>
    <w:bookmarkEnd w:id="87"/>
    <w:bookmarkStart w:id="89" w:name="ref-kautz2023"/>
    <w:p>
      <w:pPr>
        <w:pStyle w:val="Bibliography"/>
      </w:pPr>
      <w:r>
        <w:t xml:space="preserve">Kautz M, Peter FJ, Harms L, et al (2023) Patterns, drivers and detectability of infestation symptoms following attacks by the</w:t>
      </w:r>
      <w:r>
        <w:t xml:space="preserve"> </w:t>
      </w:r>
      <w:r>
        <w:t xml:space="preserve">European</w:t>
      </w:r>
      <w:r>
        <w:t xml:space="preserve"> </w:t>
      </w:r>
      <w:r>
        <w:t xml:space="preserve">spruce bark beetle. Journal of Pest Science 96:403–414.</w:t>
      </w:r>
      <w:r>
        <w:t xml:space="preserve"> </w:t>
      </w:r>
      <w:hyperlink r:id="rId88">
        <w:r>
          <w:rPr>
            <w:rStyle w:val="Hyperlink"/>
          </w:rPr>
          <w:t xml:space="preserve">https://doi.org/10.1007/s10340-022-01490-8</w:t>
        </w:r>
      </w:hyperlink>
    </w:p>
    <w:bookmarkEnd w:id="89"/>
    <w:bookmarkStart w:id="9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90">
        <w:r>
          <w:rPr>
            <w:rStyle w:val="Hyperlink"/>
          </w:rPr>
          <w:t xml:space="preserve">https://doi.org/10.1002/fee.2190</w:t>
        </w:r>
      </w:hyperlink>
    </w:p>
    <w:bookmarkEnd w:id="91"/>
    <w:bookmarkStart w:id="93" w:name="ref-lentile2006"/>
    <w:p>
      <w:pPr>
        <w:pStyle w:val="Bibliography"/>
      </w:pPr>
      <w:r>
        <w:t xml:space="preserve">Lentile LB, Holden ZA, Smith AMS, et al (2006) Remote sensing techniques to assess active fire characteristics and post-fire effects. International Journal of Wildland Fire 15:319–345.</w:t>
      </w:r>
      <w:r>
        <w:t xml:space="preserve"> </w:t>
      </w:r>
      <w:hyperlink r:id="rId92">
        <w:r>
          <w:rPr>
            <w:rStyle w:val="Hyperlink"/>
          </w:rPr>
          <w:t xml:space="preserve">https://doi.org/10.1071/WF05097</w:t>
        </w:r>
      </w:hyperlink>
    </w:p>
    <w:bookmarkEnd w:id="93"/>
    <w:bookmarkStart w:id="95" w:name="ref-liston2006"/>
    <w:p>
      <w:pPr>
        <w:pStyle w:val="Bibliography"/>
      </w:pPr>
      <w:r>
        <w:t xml:space="preserve">Liston GE, Elder K (2006) A meteorological distribution system for high-resolution terrestrial modeling (MicroMet). Journal of Hydrometeorology 7:217–234.</w:t>
      </w:r>
      <w:r>
        <w:t xml:space="preserve"> </w:t>
      </w:r>
      <w:hyperlink r:id="rId94">
        <w:r>
          <w:rPr>
            <w:rStyle w:val="Hyperlink"/>
          </w:rPr>
          <w:t xml:space="preserve">https://doi.org/10.1175/JHM486.1</w:t>
        </w:r>
      </w:hyperlink>
    </w:p>
    <w:bookmarkEnd w:id="95"/>
    <w:bookmarkStart w:id="97" w:name="ref-maher2021"/>
    <w:p>
      <w:pPr>
        <w:pStyle w:val="Bibliography"/>
      </w:pPr>
      <w:r>
        <w:t xml:space="preserve">Maher CT, Millar CI, Affleck DLR, et al (2021) Alpine treeline ecotones are potential refugia for a montane pine species threatened by bark beetle outbreaks. Ecological Applications 31:e02274.</w:t>
      </w:r>
      <w:r>
        <w:t xml:space="preserve"> </w:t>
      </w:r>
      <w:hyperlink r:id="rId96">
        <w:r>
          <w:rPr>
            <w:rStyle w:val="Hyperlink"/>
          </w:rPr>
          <w:t xml:space="preserve">https://doi.org/10.1002/eap.2274</w:t>
        </w:r>
      </w:hyperlink>
    </w:p>
    <w:bookmarkEnd w:id="97"/>
    <w:bookmarkStart w:id="99"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8">
        <w:r>
          <w:rPr>
            <w:rStyle w:val="Hyperlink"/>
          </w:rPr>
          <w:t xml:space="preserve">https://doi.org/10.1093/aesa/64.2.534</w:t>
        </w:r>
      </w:hyperlink>
    </w:p>
    <w:bookmarkEnd w:id="99"/>
    <w:bookmarkStart w:id="101" w:name="ref-mccune2002"/>
    <w:p>
      <w:pPr>
        <w:pStyle w:val="Bibliography"/>
      </w:pPr>
      <w:r>
        <w:t xml:space="preserve">McCune B, Keon D (2002) Equations for potential annual direct incident radiation and heat load. Journal of Vegetation Science 13:603–606.</w:t>
      </w:r>
      <w:r>
        <w:t xml:space="preserve"> </w:t>
      </w:r>
      <w:hyperlink r:id="rId100">
        <w:r>
          <w:rPr>
            <w:rStyle w:val="Hyperlink"/>
          </w:rPr>
          <w:t xml:space="preserve">https://doi.org/10.1111/j.1654-1103.2002.tb02087.x</w:t>
        </w:r>
      </w:hyperlink>
    </w:p>
    <w:bookmarkEnd w:id="101"/>
    <w:bookmarkStart w:id="103"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2">
        <w:r>
          <w:rPr>
            <w:rStyle w:val="Hyperlink"/>
          </w:rPr>
          <w:t xml:space="preserve">https://doi.org/10.1016/j.foreco.2026.123985</w:t>
        </w:r>
      </w:hyperlink>
    </w:p>
    <w:bookmarkEnd w:id="103"/>
    <w:bookmarkStart w:id="105"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04">
        <w:r>
          <w:rPr>
            <w:rStyle w:val="Hyperlink"/>
          </w:rPr>
          <w:t xml:space="preserve">https://open.canada.ca/data/en/dataset/957782bf-847c-4644-a757-e383c0057995</w:t>
        </w:r>
      </w:hyperlink>
    </w:p>
    <w:bookmarkEnd w:id="105"/>
    <w:bookmarkStart w:id="107" w:name="ref-netherer2021"/>
    <w:p>
      <w:pPr>
        <w:pStyle w:val="Bibliography"/>
      </w:pPr>
      <w:r>
        <w:t xml:space="preserve">Netherer S, Kandasamy D, Jirosová A, et al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 Journal of Pest Science 94:591–614.</w:t>
      </w:r>
      <w:r>
        <w:t xml:space="preserve"> </w:t>
      </w:r>
      <w:hyperlink r:id="rId106">
        <w:r>
          <w:rPr>
            <w:rStyle w:val="Hyperlink"/>
          </w:rPr>
          <w:t xml:space="preserve">https://doi.org/10.1007/s10340-021-01341-y</w:t>
        </w:r>
      </w:hyperlink>
    </w:p>
    <w:bookmarkEnd w:id="107"/>
    <w:bookmarkStart w:id="109" w:name="ref-pawson2021"/>
    <w:p>
      <w:pPr>
        <w:pStyle w:val="Bibliography"/>
      </w:pPr>
      <w:r>
        <w:t xml:space="preserve">Pawson SM, Kerr JL, Kimberley MO, et al (2021) Large-scale, multi-year, phenology modelling of forest insects in</w:t>
      </w:r>
      <w:r>
        <w:t xml:space="preserve"> </w:t>
      </w:r>
      <w:r>
        <w:t xml:space="preserve">Pinus radiata</w:t>
      </w:r>
      <w:r>
        <w:t xml:space="preserve"> </w:t>
      </w:r>
      <w:r>
        <w:t xml:space="preserve">plantations. Journal of Pest Science 94:1375–1392.</w:t>
      </w:r>
      <w:r>
        <w:t xml:space="preserve"> </w:t>
      </w:r>
      <w:hyperlink r:id="rId108">
        <w:r>
          <w:rPr>
            <w:rStyle w:val="Hyperlink"/>
          </w:rPr>
          <w:t xml:space="preserve">https://doi.org/10.1007/s10340-021-01328-9</w:t>
        </w:r>
      </w:hyperlink>
    </w:p>
    <w:bookmarkEnd w:id="109"/>
    <w:bookmarkStart w:id="110" w:name="ref-plattner2004"/>
    <w:p>
      <w:pPr>
        <w:pStyle w:val="Bibliography"/>
      </w:pPr>
      <w:r>
        <w:t xml:space="preserve">Plattner C, Braun LN,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 Zeitschrift f</w:t>
      </w:r>
      <w:r>
        <w:t xml:space="preserve">ü</w:t>
      </w:r>
      <w:r>
        <w:t xml:space="preserve">r Gletscherkunde und Glazialgeologie 39:43–57</w:t>
      </w:r>
    </w:p>
    <w:bookmarkEnd w:id="110"/>
    <w:bookmarkStart w:id="112"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1">
        <w:r>
          <w:rPr>
            <w:rStyle w:val="Hyperlink"/>
          </w:rPr>
          <w:t xml:space="preserve">https://doi.org/10.1016/j.ecolmodel.2013.10.034</w:t>
        </w:r>
      </w:hyperlink>
    </w:p>
    <w:bookmarkEnd w:id="112"/>
    <w:bookmarkStart w:id="113"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3"/>
    <w:bookmarkStart w:id="115" w:name="ref-safranyik1992"/>
    <w:p>
      <w:pPr>
        <w:pStyle w:val="Bibliography"/>
      </w:pPr>
      <w:r>
        <w:t xml:space="preserve">Safranyik L, Linton DA, Silversides R, McMullen LH (1992) Dispersal of released mountain pine beetles under the canopy of a mature lodgepole pine stand. Journal of Applied Entomology 113:441–450.</w:t>
      </w:r>
      <w:r>
        <w:t xml:space="preserve"> </w:t>
      </w:r>
      <w:hyperlink r:id="rId114">
        <w:r>
          <w:rPr>
            <w:rStyle w:val="Hyperlink"/>
          </w:rPr>
          <w:t xml:space="preserve">https://doi.org/10.1111/j.1439-0418.1992.tb00687.x</w:t>
        </w:r>
      </w:hyperlink>
    </w:p>
    <w:bookmarkEnd w:id="115"/>
    <w:bookmarkStart w:id="117" w:name="ref-safranyik1989"/>
    <w:p>
      <w:pPr>
        <w:pStyle w:val="Bibliography"/>
      </w:pPr>
      <w:r>
        <w:t xml:space="preserve">Safranyik L, Silversides R, McMullen LH, Linton DA (1989) An empirical approach to modeling the local dispersal of the mountain pine beetle (</w:t>
      </w:r>
      <w:r>
        <w:t xml:space="preserve">Dendroctonus ponderosae</w:t>
      </w:r>
      <w:r>
        <w:t xml:space="preserve"> </w:t>
      </w:r>
      <w:r>
        <w:t xml:space="preserve">Hopk</w:t>
      </w:r>
      <w:r>
        <w:t xml:space="preserve">.) (</w:t>
      </w:r>
      <w:r>
        <w:t xml:space="preserve">Col</w:t>
      </w:r>
      <w:r>
        <w:t xml:space="preserve">.,</w:t>
      </w:r>
      <w:r>
        <w:t xml:space="preserve"> </w:t>
      </w:r>
      <w:r>
        <w:t xml:space="preserve">Scolytidae</w:t>
      </w:r>
      <w:r>
        <w:t xml:space="preserve">) in relation to sources of attraction, wind direction and speed. Journal of Applied Entomology 108:498–511.</w:t>
      </w:r>
      <w:r>
        <w:t xml:space="preserve"> </w:t>
      </w:r>
      <w:hyperlink r:id="rId116">
        <w:r>
          <w:rPr>
            <w:rStyle w:val="Hyperlink"/>
          </w:rPr>
          <w:t xml:space="preserve">https://doi.org/10.1111/j.1439-0418.1989.tb00484.x</w:t>
        </w:r>
      </w:hyperlink>
    </w:p>
    <w:bookmarkEnd w:id="117"/>
    <w:bookmarkStart w:id="119"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8">
        <w:r>
          <w:rPr>
            <w:rStyle w:val="Hyperlink"/>
          </w:rPr>
          <w:t xml:space="preserve">https://doi.org/10.1079/PAVSNNR202116018</w:t>
        </w:r>
      </w:hyperlink>
    </w:p>
    <w:bookmarkEnd w:id="119"/>
    <w:bookmarkStart w:id="120"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 Natural Resources Canada, Canadian Forest Service, Pacific Forestry Centre, Victoria, British Columbia, pp 41–51</w:t>
      </w:r>
    </w:p>
    <w:bookmarkEnd w:id="120"/>
    <w:bookmarkEnd w:id="121"/>
    <w:bookmarkEnd w:id="122"/>
    <w:bookmarkStart w:id="128" w:name="statements-and-declarations"/>
    <w:p>
      <w:pPr>
        <w:pStyle w:val="Heading1"/>
      </w:pPr>
      <w:r>
        <w:t xml:space="preserve">Statements and declarations</w:t>
      </w:r>
    </w:p>
    <w:bookmarkStart w:id="123" w:name="funding"/>
    <w:p>
      <w:pPr>
        <w:pStyle w:val="Heading2"/>
      </w:pPr>
      <w:r>
        <w:t xml:space="preserve">Funding</w:t>
      </w:r>
    </w:p>
    <w:p>
      <w:pPr>
        <w:pStyle w:val="FirstParagraph"/>
      </w:pPr>
      <w:r>
        <w:t xml:space="preserve">The author declares that no funds, grants, or other support were received during the preparation of this manuscript.</w:t>
      </w:r>
    </w:p>
    <w:bookmarkEnd w:id="123"/>
    <w:bookmarkStart w:id="124" w:name="competing-interests"/>
    <w:p>
      <w:pPr>
        <w:pStyle w:val="Heading2"/>
      </w:pPr>
      <w:r>
        <w:t xml:space="preserve">Competing interests</w:t>
      </w:r>
    </w:p>
    <w:p>
      <w:pPr>
        <w:pStyle w:val="FirstParagraph"/>
      </w:pPr>
      <w:r>
        <w:t xml:space="preserve">The author has no relevant financial or non-financial interests to disclose.</w:t>
      </w:r>
    </w:p>
    <w:bookmarkEnd w:id="124"/>
    <w:bookmarkStart w:id="125" w:name="ethics-approval"/>
    <w:p>
      <w:pPr>
        <w:pStyle w:val="Heading2"/>
      </w:pPr>
      <w:r>
        <w:t xml:space="preserve">Ethics approval</w:t>
      </w:r>
    </w:p>
    <w:p>
      <w:pPr>
        <w:pStyle w:val="FirstParagraph"/>
      </w:pPr>
      <w:r>
        <w:t xml:space="preserve">This study used only publicly archived remote sensing, inventory and meteorological data. No animals, human participants or protected material were involved, so no ethics approval was required.</w:t>
      </w:r>
    </w:p>
    <w:bookmarkEnd w:id="125"/>
    <w:bookmarkStart w:id="127" w:name="data-availability"/>
    <w:p>
      <w:pPr>
        <w:pStyle w:val="Heading2"/>
      </w:pPr>
      <w:r>
        <w:t xml:space="preserve">Data availability</w:t>
      </w:r>
    </w:p>
    <w:p>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w:t>
      </w:r>
      <w:r>
        <w:t xml:space="preserve"> </w:t>
      </w:r>
      <w:r>
        <w:rPr>
          <w:rStyle w:val="VerbatimChar"/>
        </w:rPr>
        <w:t xml:space="preserve">VEG_COMP_LYR_R1_POLY</w:t>
      </w:r>
      <w:r>
        <w:t xml:space="preserve">, retrieved from the British Columbia Data Catalogue web feature service by</w:t>
      </w:r>
      <w:r>
        <w:t xml:space="preserve"> </w:t>
      </w:r>
      <w:r>
        <w:rPr>
          <w:rStyle w:val="VerbatimChar"/>
        </w:rPr>
        <w:t xml:space="preserve">02.inputs/beetle/34-fetch-vri.py</w:t>
      </w:r>
      <w:r>
        <w:t xml:space="preserve">. Terrain derives from the Natural Resources Canada High Resolution Digital Elevation Model</w:t>
      </w:r>
      <w:r>
        <w:t xml:space="preserve"> </w:t>
      </w:r>
      <w:r>
        <w:t xml:space="preserve">(Natural Resources Canada 2017)</w:t>
      </w:r>
      <w:r>
        <w:t xml:space="preserve">, with geomorphometry computed by SAGA GIS in</w:t>
      </w:r>
      <w:r>
        <w:t xml:space="preserve"> </w:t>
      </w:r>
      <w:r>
        <w:rPr>
          <w:rStyle w:val="VerbatimChar"/>
        </w:rPr>
        <w:t xml:space="preserve">37-geomorphometry.R</w:t>
      </w:r>
      <w:r>
        <w:t xml:space="preserve">. Wind is Environment and Climate Change Canada 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 figure in this article are available at</w:t>
      </w:r>
      <w:r>
        <w:t xml:space="preserve"> </w:t>
      </w:r>
      <w:hyperlink r:id="rId126">
        <w:r>
          <w:rPr>
            <w:rStyle w:val="Hyperlink"/>
          </w:rPr>
          <w:t xml:space="preserve">https://github.com/seamusrobertmurphy/beetle-topography-and-wind-study</w:t>
        </w:r>
      </w:hyperlink>
      <w:r>
        <w:t xml:space="preserve">.</w:t>
      </w:r>
    </w:p>
    <w:bookmarkEnd w:id="127"/>
    <w:bookmarkEnd w:id="128"/>
    <w:bookmarkStart w:id="129" w:name="figure-legends"/>
    <w:p>
      <w:pPr>
        <w:pStyle w:val="Heading1"/>
      </w:pPr>
      <w:r>
        <w:t xml:space="preserve">Figure legends</w:t>
      </w:r>
    </w:p>
    <w:p>
      <w:pPr>
        <w:pStyle w:val="FirstParagraph"/>
      </w:pPr>
      <w:r>
        <w:rPr>
          <w:b/>
          <w:bCs/>
        </w:rPr>
        <w:t xml:space="preserve">Figure 1.</w:t>
      </w:r>
      <w:r>
        <w:t xml:space="preserve"> </w:t>
      </w:r>
      <w:r>
        <w:t xml:space="preserve">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p>
      <w:pPr>
        <w:pStyle w:val="BodyText"/>
      </w:pPr>
      <w:r>
        <w:rPr>
          <w:b/>
          <w:bCs/>
        </w:rPr>
        <w:t xml:space="preserve">Figure 2.</w:t>
      </w:r>
      <w:r>
        <w:t xml:space="preserve"> </w:t>
      </w:r>
      <w:r>
        <w:t xml:space="preserve">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p>
      <w:pPr>
        <w:pStyle w:val="BodyText"/>
      </w:pPr>
      <w:r>
        <w:rPr>
          <w:b/>
          <w:bCs/>
        </w:rPr>
        <w:t xml:space="preserve">Figure 3.</w:t>
      </w:r>
      <w:r>
        <w:t xml:space="preserve"> </w:t>
      </w:r>
      <w:r>
        <w:t xml:space="preserve">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pPr>
        <w:pStyle w:val="BodyText"/>
      </w:pPr>
      <w:r>
        <w:rPr>
          <w:b/>
          <w:bCs/>
        </w:rPr>
        <w:t xml:space="preserve">Figure 4.</w:t>
      </w:r>
      <w:r>
        <w:t xml:space="preserve"> </w:t>
      </w:r>
      <w:r>
        <w:t xml:space="preserve">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15.7.9</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shape_1.4.6.1       gtable_0.3.6        xfun_0.57          </w:t>
      </w:r>
      <w:r>
        <w:br/>
      </w:r>
      <w:r>
        <w:rPr>
          <w:rStyle w:val="VerbatimChar"/>
        </w:rPr>
        <w:t xml:space="preserve"> [4] lattice_0.22-9      vctrs_0.7.2         tools_4.4.1        </w:t>
      </w:r>
      <w:r>
        <w:br/>
      </w:r>
      <w:r>
        <w:rPr>
          <w:rStyle w:val="VerbatimChar"/>
        </w:rPr>
        <w:t xml:space="preserve"> [7] generics_0.1.4      tibble_3.3.1        proxy_0.4-29       </w:t>
      </w:r>
      <w:r>
        <w:br/>
      </w:r>
      <w:r>
        <w:rPr>
          <w:rStyle w:val="VerbatimChar"/>
        </w:rPr>
        <w:t xml:space="preserve">[10] pkgconfig_2.0.3     Matrix_1.7-5        KernSmooth_2.23-26 </w:t>
      </w:r>
      <w:r>
        <w:br/>
      </w:r>
      <w:r>
        <w:rPr>
          <w:rStyle w:val="VerbatimChar"/>
        </w:rPr>
        <w:t xml:space="preserve">[13] data.table_1.18.2.1 RColorBrewer_1.1-3  S7_0.2.1           </w:t>
      </w:r>
      <w:r>
        <w:br/>
      </w:r>
      <w:r>
        <w:rPr>
          <w:rStyle w:val="VerbatimChar"/>
        </w:rPr>
        <w:t xml:space="preserve">[16] lifecycle_1.0.5     compiler_4.4.1      farver_2.1.2       </w:t>
      </w:r>
      <w:r>
        <w:br/>
      </w:r>
      <w:r>
        <w:rPr>
          <w:rStyle w:val="VerbatimChar"/>
        </w:rPr>
        <w:t xml:space="preserve">[19] codetools_0.2-20    htmltools_0.5.9     class_7.3-23       </w:t>
      </w:r>
      <w:r>
        <w:br/>
      </w:r>
      <w:r>
        <w:rPr>
          <w:rStyle w:val="VerbatimChar"/>
        </w:rPr>
        <w:t xml:space="preserve">[22] yaml_2.3.12         glmnet_4.1-10       Formula_1.2-5      </w:t>
      </w:r>
      <w:r>
        <w:br/>
      </w:r>
      <w:r>
        <w:rPr>
          <w:rStyle w:val="VerbatimChar"/>
        </w:rPr>
        <w:t xml:space="preserve">[25] pillar_1.11.1       classInt_0.4-11     wk_0.9.5           </w:t>
      </w:r>
      <w:r>
        <w:br/>
      </w:r>
      <w:r>
        <w:rPr>
          <w:rStyle w:val="VerbatimChar"/>
        </w:rPr>
        <w:t xml:space="preserve">[28] iterators_1.0.14    abind_1.4-8         foreach_1.5.2      </w:t>
      </w:r>
      <w:r>
        <w:br/>
      </w:r>
      <w:r>
        <w:rPr>
          <w:rStyle w:val="VerbatimChar"/>
        </w:rPr>
        <w:t xml:space="preserve">[31] tidyselect_1.2.1    digest_0.6.39       purrr_1.2.1        </w:t>
      </w:r>
      <w:r>
        <w:br/>
      </w:r>
      <w:r>
        <w:rPr>
          <w:rStyle w:val="VerbatimChar"/>
        </w:rPr>
        <w:t xml:space="preserve">[34] labeling_0.4.3      splines_4.4.1       rprojroot_2.1.1    </w:t>
      </w:r>
      <w:r>
        <w:br/>
      </w:r>
      <w:r>
        <w:rPr>
          <w:rStyle w:val="VerbatimChar"/>
        </w:rPr>
        <w:t xml:space="preserve">[37] fastmap_1.2.0       grid_4.4.1          here_1.0.2         </w:t>
      </w:r>
      <w:r>
        <w:br/>
      </w:r>
      <w:r>
        <w:rPr>
          <w:rStyle w:val="VerbatimChar"/>
        </w:rPr>
        <w:t xml:space="preserve">[40] cli_3.6.5           magrittr_2.0.4      survival_3.8-6     </w:t>
      </w:r>
      <w:r>
        <w:br/>
      </w:r>
      <w:r>
        <w:rPr>
          <w:rStyle w:val="VerbatimChar"/>
        </w:rPr>
        <w:t xml:space="preserve">[43] withr_3.0.2         scales_1.4.0        rmarkdown_2.30     </w:t>
      </w:r>
      <w:r>
        <w:br/>
      </w:r>
      <w:r>
        <w:rPr>
          <w:rStyle w:val="VerbatimChar"/>
        </w:rPr>
        <w:t xml:space="preserve">[46] otel_0.2.0          reticulate_1.45.0   png_0.1-9          </w:t>
      </w:r>
      <w:r>
        <w:br/>
      </w:r>
      <w:r>
        <w:rPr>
          <w:rStyle w:val="VerbatimChar"/>
        </w:rPr>
        <w:t xml:space="preserve">[49] evaluate_1.0.5      viridisLite_0.4.3   s2_1.1.9           </w:t>
      </w:r>
      <w:r>
        <w:br/>
      </w:r>
      <w:r>
        <w:rPr>
          <w:rStyle w:val="VerbatimChar"/>
        </w:rPr>
        <w:t xml:space="preserve">[52] rlang_1.1.7         Rcpp_1.1.1          glue_1.8.0         </w:t>
      </w:r>
      <w:r>
        <w:br/>
      </w:r>
      <w:r>
        <w:rPr>
          <w:rStyle w:val="VerbatimChar"/>
        </w:rPr>
        <w:t xml:space="preserve">[55] DBI_1.3.0           pROC_1.19.0.1       jsonlite_2.0.0     </w:t>
      </w:r>
      <w:r>
        <w:br/>
      </w:r>
      <w:r>
        <w:rPr>
          <w:rStyle w:val="VerbatimChar"/>
        </w:rPr>
        <w:t xml:space="preserve">[58] R6_2.6.1            units_1.0-1        </w:t>
      </w:r>
    </w:p>
    <w:bookmarkEnd w:id="129"/>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hyperlink" Id="rId96" Target="https://doi.org/10.1002/eap.2274" TargetMode="External" /><Relationship Type="http://schemas.openxmlformats.org/officeDocument/2006/relationships/hyperlink" Id="rId90" Target="https://doi.org/10.1002/fee.2190" TargetMode="External" /><Relationship Type="http://schemas.openxmlformats.org/officeDocument/2006/relationships/hyperlink" Id="rId80" Target="https://doi.org/10.1007/s00442-022-05129-4" TargetMode="External" /><Relationship Type="http://schemas.openxmlformats.org/officeDocument/2006/relationships/hyperlink" Id="rId108" Target="https://doi.org/10.1007/s10340-021-01328-9" TargetMode="External" /><Relationship Type="http://schemas.openxmlformats.org/officeDocument/2006/relationships/hyperlink" Id="rId106" Target="https://doi.org/10.1007/s10340-021-01341-y" TargetMode="External" /><Relationship Type="http://schemas.openxmlformats.org/officeDocument/2006/relationships/hyperlink" Id="rId88" Target="https://doi.org/10.1007/s10340-022-01490-8" TargetMode="External" /><Relationship Type="http://schemas.openxmlformats.org/officeDocument/2006/relationships/hyperlink" Id="rId65" Target="https://doi.org/10.1007/s10453-010-9176-9" TargetMode="External" /><Relationship Type="http://schemas.openxmlformats.org/officeDocument/2006/relationships/hyperlink" Id="rId76" Target="https://doi.org/10.1007/s10980-011-9628-9" TargetMode="External" /><Relationship Type="http://schemas.openxmlformats.org/officeDocument/2006/relationships/hyperlink" Id="rId111" Target="https://doi.org/10.1016/j.ecolmodel.2013.10.034" TargetMode="External" /><Relationship Type="http://schemas.openxmlformats.org/officeDocument/2006/relationships/hyperlink" Id="rId102" Target="https://doi.org/10.1016/j.foreco.2026.123985" TargetMode="External" /><Relationship Type="http://schemas.openxmlformats.org/officeDocument/2006/relationships/hyperlink" Id="rId92" Target="https://doi.org/10.1071/WF05097" TargetMode="External" /><Relationship Type="http://schemas.openxmlformats.org/officeDocument/2006/relationships/hyperlink" Id="rId118" Target="https://doi.org/10.1079/PAVSNNR202116018" TargetMode="External" /><Relationship Type="http://schemas.openxmlformats.org/officeDocument/2006/relationships/hyperlink" Id="rId98" Target="https://doi.org/10.1093/aesa/64.2.534" TargetMode="External" /><Relationship Type="http://schemas.openxmlformats.org/officeDocument/2006/relationships/hyperlink" Id="rId78" Target="https://doi.org/10.1111/j.1439-0418.1972.tb01745.x" TargetMode="External" /><Relationship Type="http://schemas.openxmlformats.org/officeDocument/2006/relationships/hyperlink" Id="rId116" Target="https://doi.org/10.1111/j.1439-0418.1989.tb00484.x" TargetMode="External" /><Relationship Type="http://schemas.openxmlformats.org/officeDocument/2006/relationships/hyperlink" Id="rId114" Target="https://doi.org/10.1111/j.1439-0418.1992.tb00687.x" TargetMode="External" /><Relationship Type="http://schemas.openxmlformats.org/officeDocument/2006/relationships/hyperlink" Id="rId100" Target="https://doi.org/10.1111/j.1654-1103.2002.tb02087.x" TargetMode="External" /><Relationship Type="http://schemas.openxmlformats.org/officeDocument/2006/relationships/hyperlink" Id="rId74" Target="https://doi.org/10.1111/jen.13262" TargetMode="External" /><Relationship Type="http://schemas.openxmlformats.org/officeDocument/2006/relationships/hyperlink" Id="rId84" Target="https://doi.org/10.1139/X08-066" TargetMode="External" /><Relationship Type="http://schemas.openxmlformats.org/officeDocument/2006/relationships/hyperlink" Id="rId72" Target="https://doi.org/10.1139/cjfr-2016-0510" TargetMode="External" /><Relationship Type="http://schemas.openxmlformats.org/officeDocument/2006/relationships/hyperlink" Id="rId86" Target="https://doi.org/10.1139/cjfr-2018-0304" TargetMode="External" /><Relationship Type="http://schemas.openxmlformats.org/officeDocument/2006/relationships/hyperlink" Id="rId94" Target="https://doi.org/10.1175/JHM486.1" TargetMode="External" /><Relationship Type="http://schemas.openxmlformats.org/officeDocument/2006/relationships/hyperlink" Id="rId67" Target="https://doi.org/10.1371/journal.pone.0181778" TargetMode="External" /><Relationship Type="http://schemas.openxmlformats.org/officeDocument/2006/relationships/hyperlink" Id="rId70" Target="https://doi.org/10.3390/f9110715" TargetMode="External" /><Relationship Type="http://schemas.openxmlformats.org/officeDocument/2006/relationships/hyperlink" Id="rId82" Target="https://doi.org/10.4039/Ent112185-2" TargetMode="External" /><Relationship Type="http://schemas.openxmlformats.org/officeDocument/2006/relationships/hyperlink" Id="rId126" Target="https://github.com/seamusrobertmurphy/beetle-topography-and-wind-study" TargetMode="External" /><Relationship Type="http://schemas.openxmlformats.org/officeDocument/2006/relationships/hyperlink" Id="rId104"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doi.org/10.1002/eap.2274" TargetMode="External" /><Relationship Type="http://schemas.openxmlformats.org/officeDocument/2006/relationships/hyperlink" Id="rId90" Target="https://doi.org/10.1002/fee.2190" TargetMode="External" /><Relationship Type="http://schemas.openxmlformats.org/officeDocument/2006/relationships/hyperlink" Id="rId80" Target="https://doi.org/10.1007/s00442-022-05129-4" TargetMode="External" /><Relationship Type="http://schemas.openxmlformats.org/officeDocument/2006/relationships/hyperlink" Id="rId108" Target="https://doi.org/10.1007/s10340-021-01328-9" TargetMode="External" /><Relationship Type="http://schemas.openxmlformats.org/officeDocument/2006/relationships/hyperlink" Id="rId106" Target="https://doi.org/10.1007/s10340-021-01341-y" TargetMode="External" /><Relationship Type="http://schemas.openxmlformats.org/officeDocument/2006/relationships/hyperlink" Id="rId88" Target="https://doi.org/10.1007/s10340-022-01490-8" TargetMode="External" /><Relationship Type="http://schemas.openxmlformats.org/officeDocument/2006/relationships/hyperlink" Id="rId65" Target="https://doi.org/10.1007/s10453-010-9176-9" TargetMode="External" /><Relationship Type="http://schemas.openxmlformats.org/officeDocument/2006/relationships/hyperlink" Id="rId76" Target="https://doi.org/10.1007/s10980-011-9628-9" TargetMode="External" /><Relationship Type="http://schemas.openxmlformats.org/officeDocument/2006/relationships/hyperlink" Id="rId111" Target="https://doi.org/10.1016/j.ecolmodel.2013.10.034" TargetMode="External" /><Relationship Type="http://schemas.openxmlformats.org/officeDocument/2006/relationships/hyperlink" Id="rId102" Target="https://doi.org/10.1016/j.foreco.2026.123985" TargetMode="External" /><Relationship Type="http://schemas.openxmlformats.org/officeDocument/2006/relationships/hyperlink" Id="rId92" Target="https://doi.org/10.1071/WF05097" TargetMode="External" /><Relationship Type="http://schemas.openxmlformats.org/officeDocument/2006/relationships/hyperlink" Id="rId118" Target="https://doi.org/10.1079/PAVSNNR202116018" TargetMode="External" /><Relationship Type="http://schemas.openxmlformats.org/officeDocument/2006/relationships/hyperlink" Id="rId98" Target="https://doi.org/10.1093/aesa/64.2.534" TargetMode="External" /><Relationship Type="http://schemas.openxmlformats.org/officeDocument/2006/relationships/hyperlink" Id="rId78" Target="https://doi.org/10.1111/j.1439-0418.1972.tb01745.x" TargetMode="External" /><Relationship Type="http://schemas.openxmlformats.org/officeDocument/2006/relationships/hyperlink" Id="rId116" Target="https://doi.org/10.1111/j.1439-0418.1989.tb00484.x" TargetMode="External" /><Relationship Type="http://schemas.openxmlformats.org/officeDocument/2006/relationships/hyperlink" Id="rId114" Target="https://doi.org/10.1111/j.1439-0418.1992.tb00687.x" TargetMode="External" /><Relationship Type="http://schemas.openxmlformats.org/officeDocument/2006/relationships/hyperlink" Id="rId100" Target="https://doi.org/10.1111/j.1654-1103.2002.tb02087.x" TargetMode="External" /><Relationship Type="http://schemas.openxmlformats.org/officeDocument/2006/relationships/hyperlink" Id="rId74" Target="https://doi.org/10.1111/jen.13262" TargetMode="External" /><Relationship Type="http://schemas.openxmlformats.org/officeDocument/2006/relationships/hyperlink" Id="rId84" Target="https://doi.org/10.1139/X08-066" TargetMode="External" /><Relationship Type="http://schemas.openxmlformats.org/officeDocument/2006/relationships/hyperlink" Id="rId72" Target="https://doi.org/10.1139/cjfr-2016-0510" TargetMode="External" /><Relationship Type="http://schemas.openxmlformats.org/officeDocument/2006/relationships/hyperlink" Id="rId86" Target="https://doi.org/10.1139/cjfr-2018-0304" TargetMode="External" /><Relationship Type="http://schemas.openxmlformats.org/officeDocument/2006/relationships/hyperlink" Id="rId94" Target="https://doi.org/10.1175/JHM486.1" TargetMode="External" /><Relationship Type="http://schemas.openxmlformats.org/officeDocument/2006/relationships/hyperlink" Id="rId67" Target="https://doi.org/10.1371/journal.pone.0181778" TargetMode="External" /><Relationship Type="http://schemas.openxmlformats.org/officeDocument/2006/relationships/hyperlink" Id="rId70" Target="https://doi.org/10.3390/f9110715" TargetMode="External" /><Relationship Type="http://schemas.openxmlformats.org/officeDocument/2006/relationships/hyperlink" Id="rId82" Target="https://doi.org/10.4039/Ent112185-2" TargetMode="External" /><Relationship Type="http://schemas.openxmlformats.org/officeDocument/2006/relationships/hyperlink" Id="rId126" Target="https://github.com/seamusrobertmurphy/beetle-topography-and-wind-study" TargetMode="External" /><Relationship Type="http://schemas.openxmlformats.org/officeDocument/2006/relationships/hyperlink" Id="rId104"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dcterms:created xsi:type="dcterms:W3CDTF">2026-09-16T18:17:03Z</dcterms:created>
  <dcterms:modified xsi:type="dcterms:W3CDTF">2026-09-16T18:17:03Z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../04.references/springer-basic-author-date.csl</vt:lpwstr>
  </property>
  <property fmtid="{D5CDD505-2E9C-101B-9397-08002B2CF9AE}" pid="10" name="date">
    <vt:lpwstr>2026-09-16</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