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51.png" ContentType="image/png"/>
  <Override PartName="/word/media/rId2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2026-08-28</w:t>
      </w:r>
    </w:p>
    <w:tbl>
      <w:tblPr>
        <w:tblStyle w:val="Table"/>
        <w:tblW w:type="pct" w:w="5000"/>
        <w:tblLayout w:type="fixed"/>
        <w:tblLook w:firstRow="0" w:lastRow="0" w:firstColumn="0" w:lastColumn="0" w:noHBand="0" w:noVBand="0" w:val="0000"/>
      </w:tblPr>
      <w:tblGrid>
        <w:gridCol w:w="7920"/>
      </w:tblGrid>
      <w:tr>
        <w:tc>
          <w:tcPr/>
          <w:bookmarkStart w:id="20" w:name="tbl-inventory"/>
          <w:p>
            <w:pPr>
              <w:jc w:val="center"/>
            </w:pPr>
            <w:pPr>
              <w:jc w:val="start"/>
              <w:spacing w:before="200"/>
              <w:pStyle w:val="ImageCaption"/>
            </w:pPr>
            <w:r>
              <w:t xml:space="preserve">Table 1: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Look w:firstRow="1" w:lastRow="0" w:firstColumn="0" w:lastColumn="0" w:noHBand="0" w:noVBand="0" w:val="0020"/>
              <w:tblW w:w="9354" w:type="dxa"/>
              <w:tblLayout w:type="fixed"/>
            </w:tblPr>
            <w:tblGrid>
              <w:gridCol w:w="1022"/>
              <w:gridCol w:w="1781"/>
              <w:gridCol w:w="2424"/>
              <w:gridCol w:w="1060"/>
              <w:gridCol w:w="1174"/>
              <w:gridCol w:w="1060"/>
              <w:gridCol w:w="833"/>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60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122700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71127 cell-epochs</w:t>
                  </w:r>
                </w:p>
              </w:tc>
            </w:tr>
          </w:tbl>
          <w:bookmarkEnd w:id="20"/>
          <w:p/>
        </w:tc>
      </w:tr>
    </w:tbl>
    <w:bookmarkStart w:id="21"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0.036),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one framework for them is disturbance refugia,</w:t>
      </w:r>
      <w:r>
        <w:t xml:space="preserve"> </w:t>
      </w:r>
      <w:r>
        <w:t xml:space="preserve">places buffered from disturbance over time</w:t>
      </w:r>
      <w:r>
        <w:t xml:space="preserve"> </w:t>
      </w:r>
      <w:r>
        <w:t xml:space="preserve">(Krawchuk et al. 2020)</w:t>
      </w:r>
      <w:r>
        <w:t xml:space="preserve">. Explaining refugia rather than</w:t>
      </w:r>
      <w:r>
        <w:t xml:space="preserve"> </w:t>
      </w:r>
      <w:r>
        <w:t xml:space="preserve">merely locating them requires mechanistic links to landscape drivers such as terrain, soil</w:t>
      </w:r>
      <w:r>
        <w:t xml:space="preserve"> </w:t>
      </w:r>
      <w:r>
        <w:t xml:space="preserve">and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fitted spatially:</w:t>
      </w:r>
      <w:r>
        <w:t xml:space="preserve"> </w:t>
      </w:r>
      <w:r>
        <w:t xml:space="preserve">of the studies our screen retained, only a companion study on this landscape enters a wind</w:t>
      </w:r>
      <w:r>
        <w:t xml:space="preserve"> </w:t>
      </w:r>
      <w:r>
        <w:t xml:space="preserve">term, and its response is conifer regeneration rather than attack</w:t>
      </w:r>
      <w:r>
        <w:t xml:space="preserve"> </w:t>
      </w:r>
      <w:r>
        <w:t xml:space="preserve">(Murphy et al. 2026)</w:t>
      </w:r>
      <w:r>
        <w:t xml:space="preserve">.</w:t>
      </w:r>
    </w:p>
    <w:p>
      <w:pPr>
        <w:pStyle w:val="BodyText"/>
      </w:pPr>
      <w:r>
        <w:t xml:space="preserve">The wind half is a claim about canopy, not open air.</w:t>
      </w:r>
      <w:r>
        <w:t xml:space="preserve"> </w:t>
      </w:r>
      <w:r>
        <w:t xml:space="preserve">Cartwright (2018)</w:t>
      </w:r>
      <w:r>
        <w:t xml:space="preserve">, the one retained study</w:t>
      </w:r>
      <w:r>
        <w:t xml:space="preserve"> </w:t>
      </w:r>
      <w:r>
        <w:t xml:space="preserve">designed to model insect-refugium controls, found them in stands of low basal area:</w:t>
      </w:r>
      <w:r>
        <w:t xml:space="preserve"> </w:t>
      </w:r>
      <w:r>
        <w:t xml:space="preserve">“thinner</w:t>
      </w:r>
      <w:r>
        <w:t xml:space="preserve"> </w:t>
      </w:r>
      <w:r>
        <w:t xml:space="preserve">stands also increase wind penetration, helping to disperse beetle pheromones and disrupt</w:t>
      </w:r>
      <w:r>
        <w:t xml:space="preserve"> </w:t>
      </w:r>
      <w:r>
        <w:t xml:space="preserve">chemical communications needed to coordinate attacks.”</w:t>
      </w:r>
      <w:r>
        <w:t xml:space="preserve"> </w:t>
      </w:r>
      <w:r>
        <w:t xml:space="preserve">Powell and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is thermally gated at 19 to 41 degrees C, most</w:t>
      </w:r>
      <w:r>
        <w:t xml:space="preserve"> </w:t>
      </w:r>
      <w:r>
        <w:t xml:space="preserve">of it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and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named</w:t>
      </w:r>
      <w:r>
        <w:t xml:space="preserve"> </w:t>
      </w:r>
      <w:r>
        <w:t xml:space="preserve">as one triad rather than as alternatives, stand density affecting</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and Carroll 2006)</w:t>
      </w:r>
      <w:r>
        <w:t xml:space="preserve">, an argument</w:t>
      </w:r>
      <w:r>
        <w:t xml:space="preserve"> </w:t>
      </w:r>
      <w:r>
        <w:t xml:space="preserve">Bartos and Amman (1989)</w:t>
      </w:r>
      <w:r>
        <w:t xml:space="preserve"> </w:t>
      </w:r>
      <w:r>
        <w:t xml:space="preserve">put in their title as</w:t>
      </w:r>
      <w:r>
        <w:t xml:space="preserve"> </w:t>
      </w:r>
      <w:r>
        <w:t xml:space="preserve">microclimate against tree vigour. Cool sites also push the beetle toward a two-year cycle</w:t>
      </w:r>
      <w:r>
        <w:t xml:space="preserve"> </w:t>
      </w:r>
      <w:r>
        <w:t xml:space="preserve">(Sambaraju and Goodsman 2021)</w:t>
      </w:r>
      <w:r>
        <w:t xml:space="preserve">, so shading and vigour predict the same sign by independent routes.</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et al.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et al.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et al.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and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et al.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and Elder 2006)</w:t>
      </w:r>
      <w:r>
        <w:t xml:space="preserve">, and test the response at Landsat’s own 16-day repeat rather than annually.</w:t>
      </w:r>
    </w:p>
    <w:p>
      <w:pPr>
        <w:pStyle w:val="BodyText"/>
      </w:pPr>
      <w:hyperlink w:anchor="tbl-hypotheses">
        <w:r>
          <w:rPr>
            <w:rStyle w:val="Hyperlink"/>
          </w:rPr>
          <w:t xml:space="preserve">Table 2</w:t>
        </w:r>
      </w:hyperlink>
      <w:r>
        <w:t xml:space="preserve"> </w:t>
      </w:r>
      <w:r>
        <w:t xml:space="preserve">gives the direction expected of each attribute and the reasoning behind it.</w:t>
      </w:r>
      <w:r>
        <w:t xml:space="preserve"> </w:t>
      </w:r>
      <w:r>
        <w:t xml:space="preserve">The objectives were to test whether stand density predicts moderate-to-high disturbance as the</w:t>
      </w:r>
      <w:r>
        <w:t xml:space="preserve"> </w:t>
      </w:r>
      <w:r>
        <w:t xml:space="preserve">pheromone mechanism requires, whether topographic shading predicts it against the microclimate</w:t>
      </w:r>
      <w:r>
        <w:t xml:space="preserve"> </w:t>
      </w:r>
      <w:r>
        <w:t xml:space="preserve">and adaptive-seasonality arguments, whether terrain shape predicts it independently of density</w:t>
      </w:r>
      <w:r>
        <w:t xml:space="preserve"> </w:t>
      </w:r>
      <w:r>
        <w:t xml:space="preserve">and radiation, whether the density effect is conditional on wind, and how much the answer</w:t>
      </w:r>
      <w:r>
        <w:t xml:space="preserve"> </w:t>
      </w:r>
      <w:r>
        <w:t xml:space="preserve">depends on temporal resolution.</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2: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2"/>
          <w:p/>
        </w:tc>
      </w:tr>
    </w:tbl>
    <w:bookmarkEnd w:id="23"/>
    <w:bookmarkStart w:id="44" w:name="materials"/>
    <w:p>
      <w:pPr>
        <w:pStyle w:val="Heading1"/>
      </w:pPr>
      <w:r>
        <w:t xml:space="preserve">2. Materials</w:t>
      </w:r>
    </w:p>
    <w:bookmarkStart w:id="28"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7" w:name="fig-study-area"/>
          <w:p>
            <w:pPr>
              <w:pStyle w:val="Compact"/>
              <w:jc w:val="center"/>
            </w:pPr>
            <w:r>
              <w:drawing>
                <wp:inline>
                  <wp:extent cx="5943600" cy="6656832"/>
                  <wp:effectExtent b="0" l="0" r="0" t="0"/>
                  <wp:docPr descr="" title="" id="25" name="Picture"/>
                  <a:graphic>
                    <a:graphicData uri="http://schemas.openxmlformats.org/drawingml/2006/picture">
                      <pic:pic>
                        <pic:nvPicPr>
                          <pic:cNvPr descr="beetle-topography-wind-study-vri-timeseries_files/figure-docx/fig-study-area-1.png" id="26" name="Picture"/>
                          <pic:cNvPicPr>
                            <a:picLocks noChangeArrowheads="1" noChangeAspect="1"/>
                          </pic:cNvPicPr>
                        </pic:nvPicPr>
                        <pic:blipFill>
                          <a:blip r:embed="rId24"/>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7"/>
        </w:tc>
      </w:tr>
    </w:tbl>
    <w:bookmarkEnd w:id="28"/>
    <w:bookmarkStart w:id="30"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29"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29"/>
          <w:p/>
        </w:tc>
      </w:tr>
    </w:tbl>
    <w:bookmarkEnd w:id="30"/>
    <w:bookmarkStart w:id="32"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1"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1"/>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2"/>
    <w:bookmarkStart w:id="33"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and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and Carroll 2006)</w:t>
      </w:r>
      <w:r>
        <w:t xml:space="preserve">. Aspect enters as its northward and</w:t>
      </w:r>
      <w:r>
        <w:t xml:space="preserve"> </w:t>
      </w:r>
      <w:r>
        <w:t xml:space="preserve">eastward components with the heat load index of</w:t>
      </w:r>
      <w:r>
        <w:t xml:space="preserve"> </w:t>
      </w:r>
      <w:r>
        <w:t xml:space="preserve">McCune and Keon (2002)</w:t>
      </w:r>
      <w:r>
        <w:t xml:space="preserve">.</w:t>
      </w:r>
    </w:p>
    <w:p>
      <w:pPr>
        <w:pStyle w:val="BodyText"/>
      </w:pPr>
      <w:r>
        <w:t xml:space="preserve">One distinction matters. The strongest aspect statements in</w:t>
      </w:r>
      <w:r>
        <w:t xml:space="preserve"> </w:t>
      </w:r>
      <w:r>
        <w:t xml:space="preserve">Safranyik and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3"/>
    <w:bookmarkStart w:id="38"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and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4"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4"/>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5"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5"/>
    </w:p>
    <w:p>
      <w:pPr>
        <w:pStyle w:val="FirstParagraph"/>
      </w:pPr>
      <w:r>
        <w:t xml:space="preserve">giving the terrain-modified speed</w:t>
      </w:r>
    </w:p>
    <w:p>
      <w:pPr>
        <w:pStyle w:val="BodyText"/>
      </w:pPr>
      <w:bookmarkStart w:id="36"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6"/>
    </w:p>
    <w:p>
      <w:pPr>
        <w:pStyle w:val="FirstParagraph"/>
      </w:pPr>
      <w:r>
        <w:t xml:space="preserve">and a diversion of the wind direction of</w:t>
      </w:r>
    </w:p>
    <w:p>
      <w:pPr>
        <w:pStyle w:val="BodyText"/>
      </w:pPr>
      <w:bookmarkStart w:id="37"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7"/>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38"/>
    <w:bookmarkStart w:id="43"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and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It is worth noting what the same figure</w:t>
      </w:r>
      <w:r>
        <w:t xml:space="preserve"> </w:t>
      </w:r>
      <w:r>
        <w:t xml:space="preserve">shows about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 and no</w:t>
      </w:r>
      <w:r>
        <w:t xml:space="preserve"> </w:t>
      </w:r>
      <w:r>
        <w:t xml:space="preserve">annual summary can express.</w:t>
      </w:r>
    </w:p>
    <w:p>
      <w:pPr>
        <w:pStyle w:val="BodyText"/>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resolution buys metrics, not observations. With an annual response every hourly</w:t>
      </w:r>
      <w:r>
        <w:t xml:space="preserve"> </w:t>
      </w:r>
      <w:r>
        <w:t xml:space="preserve">reading collapses into one of 8 values per metric, so a wind main effect is</w:t>
      </w:r>
      <w:r>
        <w:t xml:space="preserve"> </w:t>
      </w:r>
      <w:r>
        <w:t xml:space="preserve">identified only across years and its standard error should not be believed alone.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tbl>
      <w:tblPr>
        <w:tblStyle w:val="Table"/>
        <w:tblW w:type="pct" w:w="5000"/>
        <w:tblLayout w:type="fixed"/>
        <w:tblLook w:firstRow="0" w:lastRow="0" w:firstColumn="0" w:lastColumn="0" w:noHBand="0" w:noVBand="0" w:val="0000"/>
      </w:tblPr>
      <w:tblGrid>
        <w:gridCol w:w="7920"/>
      </w:tblGrid>
      <w:tr>
        <w:tc>
          <w:tcPr/>
          <w:bookmarkStart w:id="42" w:name="fig-flight-window"/>
          <w:p>
            <w:pPr>
              <w:pStyle w:val="Compact"/>
              <w:jc w:val="center"/>
            </w:pPr>
            <w:r>
              <w:drawing>
                <wp:inline>
                  <wp:extent cx="5943600" cy="4913376"/>
                  <wp:effectExtent b="0" l="0" r="0" t="0"/>
                  <wp:docPr descr="" title="" id="40" name="Picture"/>
                  <a:graphic>
                    <a:graphicData uri="http://schemas.openxmlformats.org/drawingml/2006/picture">
                      <pic:pic>
                        <pic:nvPicPr>
                          <pic:cNvPr descr="beetle-topography-wind-study-vri-timeseries_files/figure-docx/fig-flight-window-1.png" id="41" name="Picture"/>
                          <pic:cNvPicPr>
                            <a:picLocks noChangeArrowheads="1" noChangeAspect="1"/>
                          </pic:cNvPicPr>
                        </pic:nvPicPr>
                        <pic:blipFill>
                          <a:blip r:embed="rId39"/>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2"/>
        </w:tc>
      </w:tr>
    </w:tbl>
    <w:bookmarkEnd w:id="43"/>
    <w:bookmarkEnd w:id="44"/>
    <w:bookmarkStart w:id="48" w:name="methods"/>
    <w:p>
      <w:pPr>
        <w:pStyle w:val="Heading1"/>
      </w:pPr>
      <w:r>
        <w:t xml:space="preserve">3. Methods</w:t>
      </w:r>
    </w:p>
    <w:bookmarkStart w:id="45"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5"/>
    <w:bookmarkStart w:id="47"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6"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6"/>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7"/>
    <w:bookmarkEnd w:id="48"/>
    <w:bookmarkStart w:id="63"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9"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16"/>
              <w:gridCol w:w="909"/>
              <w:gridCol w:w="780"/>
              <w:gridCol w:w="909"/>
              <w:gridCol w:w="1040"/>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50"/>
          <w:p/>
        </w:tc>
      </w:tr>
    </w:tbl>
    <w:p>
      <w:pPr>
        <w:pStyle w:val="BodyText"/>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 (</w:t>
      </w:r>
      <w:hyperlink w:anchor="tbl-aic">
        <w:r>
          <w:rPr>
            <w:rStyle w:val="Hyperlink"/>
          </w:rPr>
          <w:t xml:space="preserve">Table 5</w:t>
        </w:r>
      </w:hyperlink>
      <w:r>
        <w:t xml:space="preserve">).</w:t>
      </w:r>
    </w:p>
    <w:p>
      <w:pPr>
        <w:pStyle w:val="BodyText"/>
      </w:pPr>
      <w:r>
        <w:t xml:space="preserve">Stand density is supported in one of its three measures. Standing volume carries</w:t>
      </w:r>
      <w:r>
        <w:t xml:space="preserve"> </w:t>
      </w:r>
      <w:r>
        <w:t xml:space="preserve">+0.381 log-odds per standard deviation, stem count</w:t>
      </w:r>
      <w:r>
        <w:t xml:space="preserve"> </w:t>
      </w:r>
      <w:r>
        <w:t xml:space="preserve">-0.099, and crown closure -0.183</w:t>
      </w:r>
      <w:r>
        <w:t xml:space="preserve"> </w:t>
      </w:r>
      <w:r>
        <w:t xml:space="preserve">(p &lt; 0.001). The last two are negative, so as main effects the three</w:t>
      </w:r>
      <w:r>
        <w:t xml:space="preserve"> </w:t>
      </w:r>
      <w:r>
        <w:t xml:space="preserve">density measures disagree in sign and only standing volume points the way the mechanism</w:t>
      </w:r>
      <w:r>
        <w:t xml:space="preserve"> </w:t>
      </w:r>
      <w:r>
        <w:t xml:space="preserve">predicts.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Radiation enters once. Flight-window direct radiation carries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+0.358 and elevation +0.329, while ruggedness is -0.036</w:t>
      </w:r>
      <w:r>
        <w:t xml:space="preserve"> </w:t>
      </w:r>
      <w:r>
        <w:t xml:space="preserve">and not distinguishable from zero (p = 0.124),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4" w:name="fig-interaction"/>
          <w:p>
            <w:pPr>
              <w:pStyle w:val="Compact"/>
              <w:jc w:val="center"/>
            </w:pPr>
            <w:r>
              <w:drawing>
                <wp:inline>
                  <wp:extent cx="5943600" cy="3962400"/>
                  <wp:effectExtent b="0" l="0" r="0" t="0"/>
                  <wp:docPr descr="" title="" id="52" name="Picture"/>
                  <a:graphic>
                    <a:graphicData uri="http://schemas.openxmlformats.org/drawingml/2006/picture">
                      <pic:pic>
                        <pic:nvPicPr>
                          <pic:cNvPr descr="beetle-topography-wind-study-vri-timeseries_files/figure-docx/fig-interaction-1.png" id="53" name="Picture"/>
                          <pic:cNvPicPr>
                            <a:picLocks noChangeArrowheads="1" noChangeAspect="1"/>
                          </pic:cNvPicPr>
                        </pic:nvPicPr>
                        <pic:blipFill>
                          <a:blip r:embed="rId51"/>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4"/>
        </w:tc>
      </w:tr>
    </w:tbl>
    <w:bookmarkStart w:id="56"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5" w:name="tbl-micromet-model"/>
          <w:p>
            <w:pPr>
              <w:jc w:val="center"/>
            </w:pPr>
            <w:pPr>
              <w:jc w:val="start"/>
              <w:spacing w:before="200"/>
              <w:pStyle w:val="ImageCaption"/>
            </w:pPr>
            <w:r>
              <w:t xml:space="preserve">Table 7: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55"/>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Which environmental terms survive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8: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8</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Start w:id="60" w:name="sec-vri"/>
    <w:p>
      <w:pPr>
        <w:pStyle w:val="Heading2"/>
      </w:pPr>
      <w:r>
        <w:t xml:space="preserve">4.4 Host structure in time</w:t>
      </w:r>
    </w:p>
    <w:p>
      <w:pPr>
        <w:pStyle w:val="FirstParagraph"/>
      </w:pPr>
      <w:r>
        <w:t xml:space="preserve">The stand structure every model above is fitted on is year-matched: each cell-year carries</w:t>
      </w:r>
      <w:r>
        <w:t xml:space="preserve"> </w:t>
      </w:r>
      <w:r>
        <w:t xml:space="preserve">the inventory snapshot the province published for that year, depleted for harvest and</w:t>
      </w:r>
      <w:r>
        <w:t xml:space="preserve"> </w:t>
      </w:r>
      <w:r>
        <w:t xml:space="preserve">projected for growth to it. The alternative, and what earlier drafts of this study used, is</w:t>
      </w:r>
      <w:r>
        <w:t xml:space="preserve"> </w:t>
      </w:r>
      <w:r>
        <w:t xml:space="preserve">the single composite the web feature service serves, projected to 2025. Under that composite</w:t>
      </w:r>
      <w:r>
        <w:t xml:space="preserve"> </w:t>
      </w:r>
      <w:r>
        <w:t xml:space="preserve">every year of a cell carries the same basal area, volume, stems and diameter, so the host</w:t>
      </w:r>
      <w:r>
        <w:t xml:space="preserve"> </w:t>
      </w:r>
      <w:r>
        <w:t xml:space="preserve">terms have no variation in time at all and their values have been grown forward through and</w:t>
      </w:r>
      <w:r>
        <w:t xml:space="preserve"> </w:t>
      </w:r>
      <w:r>
        <w:t xml:space="preserve">past the outbreak they are meant to predict. Across the 9 study years the</w:t>
      </w:r>
      <w:r>
        <w:t xml:space="preserve"> </w:t>
      </w:r>
      <w:r>
        <w:t xml:space="preserve">between-year standard deviation of mean standing volume rises from</w:t>
      </w:r>
      <w:r>
        <w:t xml:space="preserve"> </w:t>
      </w:r>
      <w:r>
        <w:t xml:space="preserve">7.95 to</w:t>
      </w:r>
      <w:r>
        <w:t xml:space="preserve"> </w:t>
      </w:r>
      <w:r>
        <w:t xml:space="preserve">13.68 m</w:t>
      </w:r>
      <w:r>
        <w:rPr>
          <w:vertAlign w:val="superscript"/>
        </w:rPr>
        <w:t xml:space="preserve">3</w:t>
      </w:r>
      <w:r>
        <w:t xml:space="preserve"> </w:t>
      </w:r>
      <w:r>
        <w:t xml:space="preserve">ha</w:t>
      </w:r>
      <w:r>
        <w:rPr>
          <w:vertAlign w:val="superscript"/>
        </w:rPr>
        <w:t xml:space="preserve">-1</w:t>
      </w:r>
      <w:r>
        <w:t xml:space="preserve"> </w:t>
      </w:r>
      <w:r>
        <w:t xml:space="preserve">when the snapshots are</w:t>
      </w:r>
      <w:r>
        <w:t xml:space="preserve"> </w:t>
      </w:r>
      <w:r>
        <w:t xml:space="preserve">matched to their years, so the change is not cosmetic.</w:t>
      </w:r>
    </w:p>
    <w:p>
      <w:pPr>
        <w:pStyle w:val="BodyText"/>
      </w:pPr>
      <w:r>
        <w:t xml:space="preserve">It costs the result about half its size. The interaction between stem density and wind falls</w:t>
      </w:r>
      <w:r>
        <w:t xml:space="preserve"> </w:t>
      </w:r>
      <w:r>
        <w:t xml:space="preserve">from -0.0941 (p</w:t>
      </w:r>
      <w:r>
        <w:t xml:space="preserve"> </w:t>
      </w:r>
      <w:r>
        <w:t xml:space="preserve">&lt; 0.001) to</w:t>
      </w:r>
      <w:r>
        <w:t xml:space="preserve"> </w:t>
      </w:r>
      <w:r>
        <w:t xml:space="preserve">-0.0491 (p &lt; 0.001),</w:t>
      </w:r>
      <w:r>
        <w:t xml:space="preserve"> </w:t>
      </w:r>
      <w:r>
        <w:t xml:space="preserve">and the interaction with standing volume from</w:t>
      </w:r>
      <w:r>
        <w:t xml:space="preserve"> </w:t>
      </w:r>
      <w:r>
        <w:t xml:space="preserve">-0.0410 (p</w:t>
      </w:r>
      <w:r>
        <w:t xml:space="preserve"> </w:t>
      </w:r>
      <w:r>
        <w:t xml:space="preserve">&lt; 0.001) to</w:t>
      </w:r>
      <w:r>
        <w:t xml:space="preserve"> </w:t>
      </w:r>
      <w:r>
        <w:t xml:space="preserve">-0.0169 (p</w:t>
      </w:r>
      <w:r>
        <w:t xml:space="preserve"> </w:t>
      </w:r>
      <w:r>
        <w:t xml:space="preserve">= 0.038). Both keep the sign the mechanism requires and</w:t>
      </w:r>
      <w:r>
        <w:t xml:space="preserve"> </w:t>
      </w:r>
      <w:r>
        <w:t xml:space="preserve">both remain distinguishable from zero, but roughly half of the effect the composite reported</w:t>
      </w:r>
      <w:r>
        <w:t xml:space="preserve"> </w:t>
      </w:r>
      <w:r>
        <w:t xml:space="preserve">was an artefact of holding host structure constant. The model that reports the smaller</w:t>
      </w:r>
      <w:r>
        <w:t xml:space="preserve"> </w:t>
      </w:r>
      <w:r>
        <w:t xml:space="preserve">effect is the better one: discrimination rises from</w:t>
      </w:r>
      <w:r>
        <w:t xml:space="preserve"> </w:t>
      </w:r>
      <w:r>
        <w:t xml:space="preserve">0.6685 to</w:t>
      </w:r>
      <w:r>
        <w:t xml:space="preserve"> </w:t>
      </w:r>
      <w:r>
        <w:t xml:space="preserve">0.6730.</w:t>
      </w:r>
    </w:p>
    <w:p>
      <w:pPr>
        <w:pStyle w:val="BodyText"/>
      </w:pPr>
      <w:r>
        <w:t xml:space="preserve">One year is substituted. The 2007 delivery carries basal area and live stems as columns and fills neither, 0 and 3 per cent of polygons against 70 to 97 per cent in every other year, so the preceding year is carried forward rather than averaged: the inventory is itself a projection, and carrying forward reproduces a stand structure the province published where averaging would invent one it did not.</w:t>
      </w:r>
    </w:p>
    <w:bookmarkEnd w:id="60"/>
    <w:bookmarkStart w:id="62" w:name="sec-window"/>
    <w:p>
      <w:pPr>
        <w:pStyle w:val="Heading2"/>
      </w:pPr>
      <w:r>
        <w:t xml:space="preserve">4.5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That is deliberate, and it follows from how the</w:t>
      </w:r>
      <w:r>
        <w:t xml:space="preserve"> </w:t>
      </w:r>
      <w:r>
        <w:t xml:space="preserve">insect disperses.</w:t>
      </w:r>
      <w:r>
        <w:t xml:space="preserve"> </w:t>
      </w:r>
      <w:r>
        <w:t xml:space="preserve">Jackson et al. (2008)</w:t>
      </w:r>
      <w:r>
        <w:t xml:space="preserve"> </w:t>
      </w:r>
      <w:r>
        <w:t xml:space="preserve">tracked mountain pine beetle on weather radar and confirmed</w:t>
      </w:r>
      <w:r>
        <w:t xml:space="preserve"> </w:t>
      </w:r>
      <w:r>
        <w:t xml:space="preserve">the 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w:t>
      </w:r>
      <w:r>
        <w:t xml:space="preserve"> </w:t>
      </w:r>
      <w:r>
        <w:t xml:space="preserve">hectare.</w:t>
      </w:r>
      <w:r>
        <w:t xml:space="preserve"> </w:t>
      </w:r>
      <w:r>
        <w:t xml:space="preserve">Ainslie and Jackson (2010)</w:t>
      </w:r>
      <w:r>
        <w:t xml:space="preserve"> </w:t>
      </w:r>
      <w:r>
        <w:t xml:space="preserve">then reproduced that above-canopy dispersion with an atmospheric</w:t>
      </w:r>
      <w:r>
        <w:t xml:space="preserve"> </w:t>
      </w:r>
      <w:r>
        <w:t xml:space="preserve">model. An insect carried in the boundary layer at those heights and distances is exposed to</w:t>
      </w:r>
      <w:r>
        <w:t xml:space="preserve"> </w:t>
      </w:r>
      <w:r>
        <w:t xml:space="preserve">the atmospheric regime of the period, not to the wind measured in a stand between noon and</w:t>
      </w:r>
      <w:r>
        <w:t xml:space="preserve"> </w:t>
      </w:r>
      <w:r>
        <w:t xml:space="preserve">five, and the variable is named for what it measures.</w:t>
      </w:r>
    </w:p>
    <w:p>
      <w:pPr>
        <w:pStyle w:val="BodyText"/>
      </w:pPr>
      <w:r>
        <w:t xml:space="preserve">The choice is reported rather than assumed.</w:t>
      </w:r>
      <w:r>
        <w:t xml:space="preserve"> </w:t>
      </w:r>
      <w:hyperlink w:anchor="tbl-window">
        <w:r>
          <w:rPr>
            <w:rStyle w:val="Hyperlink"/>
          </w:rPr>
          <w:t xml:space="preserve">Table 9</w:t>
        </w:r>
      </w:hyperlink>
      <w:r>
        <w:t xml:space="preserve"> </w:t>
      </w:r>
      <w:r>
        <w:t xml:space="preserve">refits the 16-day model under four</w:t>
      </w:r>
      <w:r>
        <w:t xml:space="preserve"> </w:t>
      </w:r>
      <w:r>
        <w:t xml:space="preserve">definitions of the window: every hour, the 12:00 to 17:00 hours the flight peak occupies,</w:t>
      </w:r>
      <w:r>
        <w:t xml:space="preserve"> </w:t>
      </w:r>
      <w:r>
        <w:t xml:space="preserve">the 11:00 to 18:00 hours that clear the thermal gate on this landscape more than half the</w:t>
      </w:r>
      <w:r>
        <w:t xml:space="preserve"> </w:t>
      </w:r>
      <w:r>
        <w:t xml:space="preserve">time, and only those hours whose observed temperature fell inside the 19 to 41 degrees C</w:t>
      </w:r>
      <w:r>
        <w:t xml:space="preserve"> </w:t>
      </w:r>
      <w:r>
        <w:t xml:space="preserve">gate itself. The stem-density interaction is negative and distinguishable from zero under</w:t>
      </w:r>
      <w:r>
        <w:t xml:space="preserve"> </w:t>
      </w:r>
      <w:r>
        <w:t xml:space="preserve">all four, so the mechanism does not depend on the choice. It is largest over the full</w:t>
      </w:r>
      <w:r>
        <w:t xml:space="preserve"> </w:t>
      </w:r>
      <w:r>
        <w:t xml:space="preserve">regime, and the standing-volume interaction is the term that depends on it.</w:t>
      </w:r>
    </w:p>
    <w:tbl>
      <w:tblPr>
        <w:tblStyle w:val="Table"/>
        <w:tblW w:type="pct" w:w="5000"/>
        <w:tblLayout w:type="fixed"/>
        <w:tblLook w:firstRow="0" w:lastRow="0" w:firstColumn="0" w:lastColumn="0" w:noHBand="0" w:noVBand="0" w:val="0000"/>
      </w:tblPr>
      <w:tblGrid>
        <w:gridCol w:w="7920"/>
      </w:tblGrid>
      <w:tr>
        <w:tc>
          <w:tcPr/>
          <w:bookmarkStart w:id="61" w:name="tbl-window"/>
          <w:p>
            <w:pPr>
              <w:jc w:val="center"/>
            </w:pPr>
            <w:pPr>
              <w:jc w:val="start"/>
              <w:spacing w:before="200"/>
              <w:pStyle w:val="ImageCaption"/>
            </w:pPr>
            <w:r>
              <w:t xml:space="preserve">Table 9: The 16-day model refitted under four definitions of the wind window. The epoch wind regime, every hour, is the definition used throughout this paper. Coefficients are log-odds per standard deviation. The thermal-gate row is fitted on fewer cell-epochs because two epochs carried too few qualifying hours, so its AIC is not comparable with the other three.</w:t>
            </w:r>
          </w:p>
          <w:tbl>
            <w:tblPr>
              <w:tblStyle w:val="Table"/>
              <w:tblLook w:firstRow="1" w:lastRow="0" w:firstColumn="0" w:lastColumn="0" w:noHBand="0" w:noVBand="0" w:val="0020"/>
              <w:tblW w:w="9354" w:type="dxa"/>
              <w:tblLayout w:type="fixed"/>
            </w:tblPr>
            <w:tblGrid>
              <w:gridCol w:w="2725"/>
              <w:gridCol w:w="1089"/>
              <w:gridCol w:w="1089"/>
              <w:gridCol w:w="1180"/>
              <w:gridCol w:w="727"/>
              <w:gridCol w:w="1271"/>
              <w:gridCol w:w="727"/>
              <w:gridCol w:w="546"/>
            </w:tblGrid>
            <w:tr>
              <w:trPr>
                <w:tblHeader w:val="on"/>
                <w:trHeight w:val="624" w:hRule="exact"/>
              </w:trPr>
              <w:tc>
                <w:tcPr/>
                <w:p>
                  <w:pPr>
                    <w:pStyle w:val="Compact"/>
                    <w:jc w:val="left"/>
                    <w:rPr>
                      <w:sz w:val="16"/>
                      <w:szCs w:val="16"/>
                    </w:rPr>
                  </w:pPr>
                  <w:r>
                    <w:rPr>
                      <w:sz w:val="16"/>
                      <w:szCs w:val="16"/>
                    </w:rPr>
                    <w:t xml:space="preserve">Definition</w:t>
                  </w:r>
                </w:p>
              </w:tc>
              <w:tc>
                <w:tcPr/>
                <w:p>
                  <w:pPr>
                    <w:pStyle w:val="Compact"/>
                    <w:jc w:val="left"/>
                    <w:rPr>
                      <w:sz w:val="16"/>
                      <w:szCs w:val="16"/>
                    </w:rPr>
                  </w:pPr>
                  <w:r>
                    <w:rPr>
                      <w:sz w:val="16"/>
                      <w:szCs w:val="16"/>
                    </w:rPr>
                    <w:t xml:space="preserve">Cell-epochs</w:t>
                  </w:r>
                </w:p>
              </w:tc>
              <w:tc>
                <w:tcPr/>
                <w:p>
                  <w:pPr>
                    <w:pStyle w:val="Compact"/>
                    <w:jc w:val="left"/>
                    <w:rPr>
                      <w:sz w:val="16"/>
                      <w:szCs w:val="16"/>
                    </w:rPr>
                  </w:pPr>
                  <w:r>
                    <w:rPr>
                      <w:sz w:val="16"/>
                      <w:szCs w:val="16"/>
                    </w:rPr>
                    <w:t xml:space="preserve">Wind (km/h)</w:t>
                  </w:r>
                </w:p>
              </w:tc>
              <w:tc>
                <w:tcPr/>
                <w:p>
                  <w:pPr>
                    <w:pStyle w:val="Compact"/>
                    <w:jc w:val="left"/>
                    <w:rPr>
                      <w:sz w:val="16"/>
                      <w:szCs w:val="16"/>
                    </w:rPr>
                  </w:pPr>
                  <w:r>
                    <w:rPr>
                      <w:sz w:val="16"/>
                      <w:szCs w:val="16"/>
                    </w:rPr>
                    <w:t xml:space="preserve">Stems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Volume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AUC</w:t>
                  </w:r>
                </w:p>
              </w:tc>
            </w:tr>
            <w:tr>
              <w:trPr>
                <w:trHeight w:val="340" w:hRule="exact"/>
              </w:trPr>
              <w:tc>
                <w:tcPr/>
                <w:p>
                  <w:pPr>
                    <w:pStyle w:val="Compact"/>
                    <w:jc w:val="left"/>
                    <w:rPr>
                      <w:sz w:val="16"/>
                      <w:szCs w:val="16"/>
                    </w:rPr>
                  </w:pPr>
                  <w:r>
                    <w:rPr>
                      <w:sz w:val="16"/>
                      <w:szCs w:val="16"/>
                    </w:rPr>
                    <w:t xml:space="preserve">Epoch wind regime (all hours)</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5.04</w:t>
                  </w:r>
                </w:p>
              </w:tc>
              <w:tc>
                <w:tcPr/>
                <w:p>
                  <w:pPr>
                    <w:pStyle w:val="Compact"/>
                    <w:jc w:val="left"/>
                    <w:rPr>
                      <w:sz w:val="16"/>
                      <w:szCs w:val="16"/>
                    </w:rPr>
                  </w:pPr>
                  <w:r>
                    <w:rPr>
                      <w:sz w:val="16"/>
                      <w:szCs w:val="16"/>
                    </w:rPr>
                    <w:t xml:space="preserve">-0.0941</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-0.0410</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0.668</w:t>
                  </w:r>
                </w:p>
              </w:tc>
            </w:tr>
            <w:tr>
              <w:trPr>
                <w:trHeight w:val="340" w:hRule="exact"/>
              </w:trPr>
              <w:tc>
                <w:tcPr/>
                <w:p>
                  <w:pPr>
                    <w:pStyle w:val="Compact"/>
                    <w:jc w:val="left"/>
                    <w:rPr>
                      <w:sz w:val="16"/>
                      <w:szCs w:val="16"/>
                    </w:rPr>
                  </w:pPr>
                  <w:r>
                    <w:rPr>
                      <w:sz w:val="16"/>
                      <w:szCs w:val="16"/>
                    </w:rPr>
                    <w:t xml:space="preserve">12:00-17:00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6.45</w:t>
                  </w:r>
                </w:p>
              </w:tc>
              <w:tc>
                <w:tcPr/>
                <w:p>
                  <w:pPr>
                    <w:pStyle w:val="Compact"/>
                    <w:jc w:val="left"/>
                    <w:rPr>
                      <w:sz w:val="16"/>
                      <w:szCs w:val="16"/>
                    </w:rPr>
                  </w:pPr>
                  <w:r>
                    <w:rPr>
                      <w:sz w:val="16"/>
                      <w:szCs w:val="16"/>
                    </w:rPr>
                    <w:t xml:space="preserve">-0.0565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-0.0082</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11:00-18:00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6.32</w:t>
                  </w:r>
                </w:p>
              </w:tc>
              <w:tc>
                <w:tcPr/>
                <w:p>
                  <w:pPr>
                    <w:pStyle w:val="Compact"/>
                    <w:jc w:val="left"/>
                    <w:rPr>
                      <w:sz w:val="16"/>
                      <w:szCs w:val="16"/>
                    </w:rPr>
                  </w:pPr>
                  <w:r>
                    <w:rPr>
                      <w:sz w:val="16"/>
                      <w:szCs w:val="16"/>
                    </w:rPr>
                    <w:t xml:space="preserve">-0.0623</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-0.0161</w:t>
                  </w:r>
                </w:p>
              </w:tc>
              <w:tc>
                <w:tcPr/>
                <w:p>
                  <w:pPr>
                    <w:pStyle w:val="Compact"/>
                    <w:jc w:val="left"/>
                    <w:rPr>
                      <w:sz w:val="16"/>
                      <w:szCs w:val="16"/>
                    </w:rPr>
                  </w:pPr>
                  <w:r>
                    <w:rPr>
                      <w:sz w:val="16"/>
                      <w:szCs w:val="16"/>
                    </w:rPr>
                    <w:t xml:space="preserve">0.054</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Inside the 19-41 C gate</w:t>
                  </w:r>
                </w:p>
              </w:tc>
              <w:tc>
                <w:tcPr/>
                <w:p>
                  <w:pPr>
                    <w:pStyle w:val="Compact"/>
                    <w:jc w:val="left"/>
                    <w:rPr>
                      <w:sz w:val="16"/>
                      <w:szCs w:val="16"/>
                    </w:rPr>
                  </w:pPr>
                  <w:r>
                    <w:rPr>
                      <w:sz w:val="16"/>
                      <w:szCs w:val="16"/>
                    </w:rPr>
                    <w:t xml:space="preserve">69,711</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-0.0596</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-0.0325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0.666</w:t>
                  </w:r>
                </w:p>
              </w:tc>
            </w:tr>
          </w:tbl>
          <w:bookmarkEnd w:id="61"/>
          <w:p/>
        </w:tc>
      </w:tr>
    </w:tbl>
    <w:bookmarkEnd w:id="62"/>
    <w:bookmarkEnd w:id="63"/>
    <w:bookmarkStart w:id="69" w:name="discussion"/>
    <w:p>
      <w:pPr>
        <w:pStyle w:val="Heading1"/>
      </w:pPr>
      <w:r>
        <w:t xml:space="preserve">5. Discussion</w:t>
      </w:r>
    </w:p>
    <w:bookmarkStart w:id="64"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4"/>
    <w:bookmarkStart w:id="65"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and it fails on a surrogate rather than on the surface</w:t>
      </w:r>
      <w:r>
        <w:t xml:space="preserve"> </w:t>
      </w:r>
      <w:r>
        <w:t xml:space="preserve">the mechanism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5"/>
    <w:bookmarkStart w:id="66"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6"/>
    <w:bookmarkStart w:id="67"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7"/>
    <w:bookmarkStart w:id="68"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8"/>
    <w:bookmarkEnd w:id="69"/>
    <w:bookmarkStart w:id="70"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and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is the more transferable one, and it has three parts. A terrain</w:t>
      </w:r>
      <w:r>
        <w:t xml:space="preserve"> </w:t>
      </w:r>
      <w:r>
        <w:t xml:space="preserve">index is partly an insolation measurement: entering flight-window radiation cut the density</w:t>
      </w:r>
      <w:r>
        <w:t xml:space="preserve"> </w:t>
      </w:r>
      <w:r>
        <w:t xml:space="preserve">by terrain-exposure interaction from +0.311 to +0.221, leaving the sign</w:t>
      </w:r>
      <w:r>
        <w:t xml:space="preserve"> </w:t>
      </w:r>
      <w:r>
        <w:t xml:space="preserve">unchanged.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70"/>
    <w:bookmarkStart w:id="71"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71"/>
    <w:bookmarkStart w:id="72"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2"/>
    <w:bookmarkStart w:id="73" w:name="conflict-of-interest"/>
    <w:p>
      <w:pPr>
        <w:pStyle w:val="Heading1"/>
      </w:pPr>
      <w:r>
        <w:t xml:space="preserve">9. Conflict of interest</w:t>
      </w:r>
    </w:p>
    <w:p>
      <w:pPr>
        <w:pStyle w:val="FirstParagraph"/>
      </w:pPr>
      <w:r>
        <w:t xml:space="preserve">The author declares no conflict of interest.</w:t>
      </w:r>
    </w:p>
    <w:bookmarkEnd w:id="73"/>
    <w:bookmarkStart w:id="74"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4"/>
    <w:bookmarkStart w:id="75"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5"/>
    <w:bookmarkStart w:id="77"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6">
        <w:r>
          <w:rPr>
            <w:rStyle w:val="Hyperlink"/>
          </w:rPr>
          <w:t xml:space="preserve">https://github.com/seamusrobertmurphy/beetle-topography-and-wind-study</w:t>
        </w:r>
      </w:hyperlink>
      <w:r>
        <w:t xml:space="preserve">.</w:t>
      </w:r>
    </w:p>
    <w:bookmarkEnd w:id="77"/>
    <w:bookmarkStart w:id="78"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8"/>
    <w:bookmarkStart w:id="119" w:name="references"/>
    <w:p>
      <w:pPr>
        <w:pStyle w:val="Heading1"/>
      </w:pPr>
      <w:r>
        <w:t xml:space="preserve">14. References</w:t>
      </w:r>
    </w:p>
    <w:bookmarkStart w:id="118" w:name="refs"/>
    <w:bookmarkStart w:id="80" w:name="ref-ainslie2010"/>
    <w:p>
      <w:pPr>
        <w:pStyle w:val="Bibliography"/>
      </w:pPr>
      <w:r>
        <w:t xml:space="preserve">Ainslie B, Jackson PL (2010) Investigation into mountain pine beetle above-canopy dispersion using weather radar and an atmospheric dispersion model. Aerobiologia 27:51–65.</w:t>
      </w:r>
      <w:r>
        <w:t xml:space="preserve"> </w:t>
      </w:r>
      <w:hyperlink r:id="rId79">
        <w:r>
          <w:rPr>
            <w:rStyle w:val="Hyperlink"/>
          </w:rPr>
          <w:t xml:space="preserve">https://doi.org/10.1007/s10453-010-9176-9</w:t>
        </w:r>
      </w:hyperlink>
    </w:p>
    <w:bookmarkEnd w:id="80"/>
    <w:bookmarkStart w:id="82"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81">
        <w:r>
          <w:rPr>
            <w:rStyle w:val="Hyperlink"/>
          </w:rPr>
          <w:t xml:space="preserve">https://doi.org/10.1175/JAMC-D-13-0147.1</w:t>
        </w:r>
      </w:hyperlink>
    </w:p>
    <w:bookmarkEnd w:id="82"/>
    <w:bookmarkStart w:id="84" w:name="ref-bartos1989"/>
    <w:p>
      <w:pPr>
        <w:pStyle w:val="Bibliography"/>
      </w:pPr>
      <w:r>
        <w:t xml:space="preserve">Bartos DL, Amman GD (1989)</w:t>
      </w:r>
      <w:r>
        <w:t xml:space="preserve"> </w:t>
      </w:r>
      <w:hyperlink r:id="rId83">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84"/>
    <w:bookmarkStart w:id="85"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85"/>
    <w:bookmarkStart w:id="87"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86">
        <w:r>
          <w:rPr>
            <w:rStyle w:val="Hyperlink"/>
          </w:rPr>
          <w:t xml:space="preserve">https://doi.org/10.3390/f9110715</w:t>
        </w:r>
      </w:hyperlink>
    </w:p>
    <w:bookmarkEnd w:id="87"/>
    <w:bookmarkStart w:id="89" w:name="ref-cooke2025"/>
    <w:p>
      <w:pPr>
        <w:pStyle w:val="Bibliography"/>
      </w:pPr>
      <w:r>
        <w:t xml:space="preserve">Cooke BJ, MacQuarrie CJK, Carroll AL (2025) On the deduction and quantification of irruptive dynamics in mountain pine beetle population and proxy data. Journal of Applied Entomology 149:309–323.</w:t>
      </w:r>
      <w:r>
        <w:t xml:space="preserve"> </w:t>
      </w:r>
      <w:hyperlink r:id="rId88">
        <w:r>
          <w:rPr>
            <w:rStyle w:val="Hyperlink"/>
          </w:rPr>
          <w:t xml:space="preserve">https://doi.org/10.1111/jen.13262</w:t>
        </w:r>
      </w:hyperlink>
    </w:p>
    <w:bookmarkEnd w:id="89"/>
    <w:bookmarkStart w:id="91"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90">
        <w:r>
          <w:rPr>
            <w:rStyle w:val="Hyperlink"/>
          </w:rPr>
          <w:t xml:space="preserve">https://doi.org/10.1175/BAMS-D-21-0075.1</w:t>
        </w:r>
      </w:hyperlink>
    </w:p>
    <w:bookmarkEnd w:id="91"/>
    <w:bookmarkStart w:id="93" w:name="ref-gray1972"/>
    <w:p>
      <w:pPr>
        <w:pStyle w:val="Bibliography"/>
      </w:pPr>
      <w:r>
        <w:t xml:space="preserve">Gray B, Billings RF, Gara RI, Johnsey RL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 Zeitschrift f</w:t>
      </w:r>
      <w:r>
        <w:t xml:space="preserve">ü</w:t>
      </w:r>
      <w:r>
        <w:t xml:space="preserve">r angewandte Entomologie 71:250–259.</w:t>
      </w:r>
      <w:r>
        <w:t xml:space="preserve"> </w:t>
      </w:r>
      <w:hyperlink r:id="rId92">
        <w:r>
          <w:rPr>
            <w:rStyle w:val="Hyperlink"/>
          </w:rPr>
          <w:t xml:space="preserve">https://doi.org/10.1111/j.1439-0418.1972.tb01745.x</w:t>
        </w:r>
      </w:hyperlink>
    </w:p>
    <w:bookmarkEnd w:id="93"/>
    <w:bookmarkStart w:id="95" w:name="ref-howe2022"/>
    <w:p>
      <w:pPr>
        <w:pStyle w:val="Bibliography"/>
      </w:pPr>
      <w:r>
        <w:t xml:space="preserve">Howe M, Raffa KF, Aukema BH, et al (2022) Numbers matter: How irruptive bark beetles initiate transition to self-sustaining behavior during landscape-altering outbreaks. Oecologia 198:681–698.</w:t>
      </w:r>
      <w:r>
        <w:t xml:space="preserve"> </w:t>
      </w:r>
      <w:hyperlink r:id="rId94">
        <w:r>
          <w:rPr>
            <w:rStyle w:val="Hyperlink"/>
          </w:rPr>
          <w:t xml:space="preserve">https://doi.org/10.1007/s00442-022-05129-4</w:t>
        </w:r>
      </w:hyperlink>
    </w:p>
    <w:bookmarkEnd w:id="95"/>
    <w:bookmarkStart w:id="97" w:name="ref-jackson2008"/>
    <w:p>
      <w:pPr>
        <w:pStyle w:val="Bibliography"/>
      </w:pPr>
      <w:r>
        <w:t xml:space="preserve">Jackson PL, Straussfogel D, Lindgren BS, et al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 Canadian Journal of Forest Research 38:2313–2327.</w:t>
      </w:r>
      <w:r>
        <w:t xml:space="preserve"> </w:t>
      </w:r>
      <w:hyperlink r:id="rId96">
        <w:r>
          <w:rPr>
            <w:rStyle w:val="Hyperlink"/>
          </w:rPr>
          <w:t xml:space="preserve">https://doi.org/10.1139/X08-066</w:t>
        </w:r>
      </w:hyperlink>
    </w:p>
    <w:bookmarkEnd w:id="97"/>
    <w:bookmarkStart w:id="99"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8">
        <w:r>
          <w:rPr>
            <w:rStyle w:val="Hyperlink"/>
          </w:rPr>
          <w:t xml:space="preserve">https://doi.org/10.1139/cjfr-2018-0304</w:t>
        </w:r>
      </w:hyperlink>
    </w:p>
    <w:bookmarkEnd w:id="99"/>
    <w:bookmarkStart w:id="101"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100">
        <w:r>
          <w:rPr>
            <w:rStyle w:val="Hyperlink"/>
          </w:rPr>
          <w:t xml:space="preserve">https://doi.org/10.1002/fee.2190</w:t>
        </w:r>
      </w:hyperlink>
    </w:p>
    <w:bookmarkEnd w:id="101"/>
    <w:bookmarkStart w:id="103" w:name="ref-liston2006"/>
    <w:p>
      <w:pPr>
        <w:pStyle w:val="Bibliography"/>
      </w:pPr>
      <w:r>
        <w:t xml:space="preserve">Liston GE, Elder K (2006) A meteorological distribution system for high-resolution terrestrial modeling (MicroMet). Journal of Hydrometeorology 7:217–234.</w:t>
      </w:r>
      <w:r>
        <w:t xml:space="preserve"> </w:t>
      </w:r>
      <w:hyperlink r:id="rId102">
        <w:r>
          <w:rPr>
            <w:rStyle w:val="Hyperlink"/>
          </w:rPr>
          <w:t xml:space="preserve">https://doi.org/10.1175/JHM486.1</w:t>
        </w:r>
      </w:hyperlink>
    </w:p>
    <w:bookmarkEnd w:id="103"/>
    <w:bookmarkStart w:id="105"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04">
        <w:r>
          <w:rPr>
            <w:rStyle w:val="Hyperlink"/>
          </w:rPr>
          <w:t xml:space="preserve">https://doi.org/10.1093/aesa/64.2.534</w:t>
        </w:r>
      </w:hyperlink>
    </w:p>
    <w:bookmarkEnd w:id="105"/>
    <w:bookmarkStart w:id="107" w:name="ref-mccune2002"/>
    <w:p>
      <w:pPr>
        <w:pStyle w:val="Bibliography"/>
      </w:pPr>
      <w:r>
        <w:t xml:space="preserve">McCune B, Keon D (2002) Equations for potential annual direct incident radiation and heat load. Journal of Vegetation Science 13:603–606.</w:t>
      </w:r>
      <w:r>
        <w:t xml:space="preserve"> </w:t>
      </w:r>
      <w:hyperlink r:id="rId106">
        <w:r>
          <w:rPr>
            <w:rStyle w:val="Hyperlink"/>
          </w:rPr>
          <w:t xml:space="preserve">https://doi.org/10.1111/j.1654-1103.2002.tb02087.x</w:t>
        </w:r>
      </w:hyperlink>
    </w:p>
    <w:bookmarkEnd w:id="107"/>
    <w:bookmarkStart w:id="109"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8">
        <w:r>
          <w:rPr>
            <w:rStyle w:val="Hyperlink"/>
          </w:rPr>
          <w:t xml:space="preserve">https://doi.org/10.1016/j.foreco.2026.123985</w:t>
        </w:r>
      </w:hyperlink>
    </w:p>
    <w:bookmarkEnd w:id="109"/>
    <w:bookmarkStart w:id="11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10">
        <w:r>
          <w:rPr>
            <w:rStyle w:val="Hyperlink"/>
          </w:rPr>
          <w:t xml:space="preserve">https://open.canada.ca/data/en/dataset/957782bf-847c-4644-a757-e383c0057995</w:t>
        </w:r>
      </w:hyperlink>
    </w:p>
    <w:bookmarkEnd w:id="111"/>
    <w:bookmarkStart w:id="113"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12">
        <w:r>
          <w:rPr>
            <w:rStyle w:val="Hyperlink"/>
          </w:rPr>
          <w:t xml:space="preserve">https://doi.org/10.1016/j.ecolmodel.2013.10.034</w:t>
        </w:r>
      </w:hyperlink>
    </w:p>
    <w:bookmarkEnd w:id="113"/>
    <w:bookmarkStart w:id="114"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4"/>
    <w:bookmarkStart w:id="116"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15">
        <w:r>
          <w:rPr>
            <w:rStyle w:val="Hyperlink"/>
          </w:rPr>
          <w:t xml:space="preserve">https://doi.org/10.1079/PAVSNNR202116018</w:t>
        </w:r>
      </w:hyperlink>
    </w:p>
    <w:bookmarkEnd w:id="116"/>
    <w:bookmarkStart w:id="117"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17"/>
    <w:bookmarkEnd w:id="118"/>
    <w:bookmarkEnd w:id="119"/>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24" Target="media/rId24.png" /><Relationship Type="http://schemas.openxmlformats.org/officeDocument/2006/relationships/hyperlink" Id="rId100" Target="https://doi.org/10.1002/fee.2190" TargetMode="External" /><Relationship Type="http://schemas.openxmlformats.org/officeDocument/2006/relationships/hyperlink" Id="rId94" Target="https://doi.org/10.1007/s00442-022-05129-4" TargetMode="External" /><Relationship Type="http://schemas.openxmlformats.org/officeDocument/2006/relationships/hyperlink" Id="rId79" Target="https://doi.org/10.1007/s10453-010-9176-9"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92" Target="https://doi.org/10.1111/j.1439-0418.1972.tb01745.x" TargetMode="External" /><Relationship Type="http://schemas.openxmlformats.org/officeDocument/2006/relationships/hyperlink" Id="rId106" Target="https://doi.org/10.1111/j.1654-1103.2002.tb02087.x" TargetMode="External" /><Relationship Type="http://schemas.openxmlformats.org/officeDocument/2006/relationships/hyperlink" Id="rId88" Target="https://doi.org/10.1111/jen.13262" TargetMode="External" /><Relationship Type="http://schemas.openxmlformats.org/officeDocument/2006/relationships/hyperlink" Id="rId96" Target="https://doi.org/10.1139/X08-066" TargetMode="External" /><Relationship Type="http://schemas.openxmlformats.org/officeDocument/2006/relationships/hyperlink" Id="rId98" Target="https://doi.org/10.1139/cjfr-2018-0304" TargetMode="External" /><Relationship Type="http://schemas.openxmlformats.org/officeDocument/2006/relationships/hyperlink" Id="rId90" Target="https://doi.org/10.1175/BAMS-D-21-0075.1" TargetMode="External" /><Relationship Type="http://schemas.openxmlformats.org/officeDocument/2006/relationships/hyperlink" Id="rId81"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83" Target="https://doi.org/10.2737/int-rp-400" TargetMode="External" /><Relationship Type="http://schemas.openxmlformats.org/officeDocument/2006/relationships/hyperlink" Id="rId86" Target="https://doi.org/10.3390/f9110715" TargetMode="External" /><Relationship Type="http://schemas.openxmlformats.org/officeDocument/2006/relationships/hyperlink" Id="rId76" Target="https://github.com/seamusrobertmurphy/beetle-topography-and-wind-study" TargetMode="External" /><Relationship Type="http://schemas.openxmlformats.org/officeDocument/2006/relationships/hyperlink" Id="rId11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0" Target="https://doi.org/10.1002/fee.2190" TargetMode="External" /><Relationship Type="http://schemas.openxmlformats.org/officeDocument/2006/relationships/hyperlink" Id="rId94" Target="https://doi.org/10.1007/s00442-022-05129-4" TargetMode="External" /><Relationship Type="http://schemas.openxmlformats.org/officeDocument/2006/relationships/hyperlink" Id="rId79" Target="https://doi.org/10.1007/s10453-010-9176-9"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92" Target="https://doi.org/10.1111/j.1439-0418.1972.tb01745.x" TargetMode="External" /><Relationship Type="http://schemas.openxmlformats.org/officeDocument/2006/relationships/hyperlink" Id="rId106" Target="https://doi.org/10.1111/j.1654-1103.2002.tb02087.x" TargetMode="External" /><Relationship Type="http://schemas.openxmlformats.org/officeDocument/2006/relationships/hyperlink" Id="rId88" Target="https://doi.org/10.1111/jen.13262" TargetMode="External" /><Relationship Type="http://schemas.openxmlformats.org/officeDocument/2006/relationships/hyperlink" Id="rId96" Target="https://doi.org/10.1139/X08-066" TargetMode="External" /><Relationship Type="http://schemas.openxmlformats.org/officeDocument/2006/relationships/hyperlink" Id="rId98" Target="https://doi.org/10.1139/cjfr-2018-0304" TargetMode="External" /><Relationship Type="http://schemas.openxmlformats.org/officeDocument/2006/relationships/hyperlink" Id="rId90" Target="https://doi.org/10.1175/BAMS-D-21-0075.1" TargetMode="External" /><Relationship Type="http://schemas.openxmlformats.org/officeDocument/2006/relationships/hyperlink" Id="rId81"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83" Target="https://doi.org/10.2737/int-rp-400" TargetMode="External" /><Relationship Type="http://schemas.openxmlformats.org/officeDocument/2006/relationships/hyperlink" Id="rId86" Target="https://doi.org/10.3390/f9110715" TargetMode="External" /><Relationship Type="http://schemas.openxmlformats.org/officeDocument/2006/relationships/hyperlink" Id="rId76" Target="https://github.com/seamusrobertmurphy/beetle-topography-and-wind-study" TargetMode="External" /><Relationship Type="http://schemas.openxmlformats.org/officeDocument/2006/relationships/hyperlink" Id="rId11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2026-08-28T22:47:45Z</dcterms:created>
  <dcterms:modified xsi:type="dcterms:W3CDTF">2026-08-28T22:47:45Z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