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50.png" ContentType="image/png"/>
  <Override PartName="/word/media/rId27.png" ContentType="image/png"/>
  <Override PartName="/word/media/rId23.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0"/>
    <w:bookmarkStart w:id="22"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1"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1"/>
          <w:p/>
        </w:tc>
      </w:tr>
    </w:tbl>
    <w:bookmarkEnd w:id="22"/>
    <w:bookmarkStart w:id="43" w:name="materials"/>
    <w:p>
      <w:pPr>
        <w:pStyle w:val="Heading1"/>
      </w:pPr>
      <w:r>
        <w:t xml:space="preserve">2. Materials</w:t>
      </w:r>
    </w:p>
    <w:bookmarkStart w:id="31"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6" w:name="fig-study-area"/>
          <w:p>
            <w:pPr>
              <w:pStyle w:val="Compact"/>
              <w:jc w:val="center"/>
            </w:pPr>
            <w:r>
              <w:drawing>
                <wp:inline>
                  <wp:extent cx="5943600" cy="3037840"/>
                  <wp:effectExtent b="0" l="0" r="0" t="0"/>
                  <wp:docPr descr="" title="" id="24" name="Picture"/>
                  <a:graphic>
                    <a:graphicData uri="http://schemas.openxmlformats.org/drawingml/2006/picture">
                      <pic:pic>
                        <pic:nvPicPr>
                          <pic:cNvPr descr="beetle-topography-wind-study-short_files/figure-docx/fig-study-area-1.png" id="25" name="Picture"/>
                          <pic:cNvPicPr>
                            <a:picLocks noChangeArrowheads="1" noChangeAspect="1"/>
                          </pic:cNvPicPr>
                        </pic:nvPicPr>
                        <pic:blipFill>
                          <a:blip r:embed="rId23"/>
                          <a:stretch>
                            <a:fillRect/>
                          </a:stretch>
                        </pic:blipFill>
                        <pic:spPr bwMode="auto">
                          <a:xfrm>
                            <a:off x="0" y="0"/>
                            <a:ext cx="5943600" cy="3037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The base map is Esri World Shaded Relief, desaturated to grey, so the ground the analysis excludes is still visible: the hole inside the perimeter is the summit ridge above the 1744 m ceiling and the ragged outer edge is the valley floor below the 830 m floor. Contours are at 200 m. Every panel carries its own north arrow and the same numerical scale, 1:250,000, which holds at a printed panel width of 66 mm. Coordinates are EPSG:3153, NAD83(CSRS) / BC Albers.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layers"/>
          <w:p>
            <w:pPr>
              <w:pStyle w:val="Compact"/>
              <w:jc w:val="center"/>
            </w:pPr>
            <w:r>
              <w:drawing>
                <wp:inline>
                  <wp:extent cx="5943600" cy="4094480"/>
                  <wp:effectExtent b="0" l="0" r="0" t="0"/>
                  <wp:docPr descr="" title="" id="28" name="Picture"/>
                  <a:graphic>
                    <a:graphicData uri="http://schemas.openxmlformats.org/drawingml/2006/picture">
                      <pic:pic>
                        <pic:nvPicPr>
                          <pic:cNvPr descr="beetle-topography-wind-study-short_files/figure-docx/fig-layers-1.png" id="29" name="Picture"/>
                          <pic:cNvPicPr>
                            <a:picLocks noChangeArrowheads="1" noChangeAspect="1"/>
                          </pic:cNvPicPr>
                        </pic:nvPicPr>
                        <pic:blipFill>
                          <a:blip r:embed="rId27"/>
                          <a:stretch>
                            <a:fillRect/>
                          </a:stretch>
                        </pic:blipFill>
                        <pic:spPr bwMode="auto">
                          <a:xfrm>
                            <a:off x="0" y="0"/>
                            <a:ext cx="5943600" cy="4094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predictor surfaces, over the same base map and extent as Figure 1, with the 2015 burn outlined in red. (a) flight-window direct radiation, the thermal gate on flight; (b) growing-season direct radiation, the shading pathway; (c) the MicroMet wind weighting factor at the prevailing bearing; (d) terrain ruggedness; (e) stand basal area; (f) quadratic mean diameter, whose 25 cm source-sink threshold falls near the midpoint of the scale. Contours are at 200 m over Esri World Shaded Relief, desaturated to grey. Coordinates are EPSG:3153, and every panel carries its own north arrow and the same numerical scale, 1:250,000.</w:t>
            </w:r>
          </w:p>
          <w:bookmarkEnd w:id="30"/>
        </w:tc>
      </w:tr>
    </w:tbl>
    <w:bookmarkEnd w:id="31"/>
    <w:bookmarkStart w:id="33"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2" w:name="tbl-prevalence"/>
          <w:p>
            <w:pPr>
              <w:jc w:val="center"/>
            </w:pPr>
            <w:pPr>
              <w:jc w:val="start"/>
              <w:spacing w:before="200"/>
              <w:pStyle w:val="ImageCaption"/>
            </w:pPr>
            <w:r>
              <w:t xml:space="preserve">Table 2: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2"/>
          <w:p/>
        </w:tc>
      </w:tr>
    </w:tbl>
    <w:bookmarkEnd w:id="33"/>
    <w:bookmarkStart w:id="35"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4" w:name="tbl-vri"/>
          <w:p>
            <w:pPr>
              <w:jc w:val="center"/>
            </w:pPr>
            <w:pPr>
              <w:jc w:val="start"/>
              <w:spacing w:before="200"/>
              <w:pStyle w:val="ImageCaption"/>
            </w:pPr>
            <w:r>
              <w:t xml:space="preserve">Table 3: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4"/>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5"/>
    <w:bookmarkStart w:id="36"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6"/>
    <w:bookmarkStart w:id="41"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7"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7"/>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8"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8"/>
    </w:p>
    <w:p>
      <w:pPr>
        <w:pStyle w:val="FirstParagraph"/>
      </w:pPr>
      <w:r>
        <w:t xml:space="preserve">giving the terrain-modified speed</w:t>
      </w:r>
    </w:p>
    <w:p>
      <w:pPr>
        <w:pStyle w:val="BodyText"/>
      </w:pPr>
      <w:bookmarkStart w:id="39"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9"/>
    </w:p>
    <w:p>
      <w:pPr>
        <w:pStyle w:val="FirstParagraph"/>
      </w:pPr>
      <w:r>
        <w:t xml:space="preserve">and a diversion of the wind direction of</w:t>
      </w:r>
    </w:p>
    <w:p>
      <w:pPr>
        <w:pStyle w:val="BodyText"/>
      </w:pPr>
      <w:bookmarkStart w:id="40"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40"/>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41"/>
    <w:bookmarkStart w:id="42" w:name="flight-window-wind"/>
    <w:p>
      <w:pPr>
        <w:pStyle w:val="Heading2"/>
      </w:pPr>
      <w:r>
        <w:t xml:space="preserve">2.6 Flight-window wind</w:t>
      </w:r>
    </w:p>
    <w:p>
      <w:pPr>
        <w:pStyle w:val="FirstParagraph"/>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bookmarkEnd w:id="42"/>
    <w:bookmarkEnd w:id="43"/>
    <w:bookmarkStart w:id="47" w:name="methods"/>
    <w:p>
      <w:pPr>
        <w:pStyle w:val="Heading1"/>
      </w:pPr>
      <w:r>
        <w:t xml:space="preserve">3. Methods</w:t>
      </w:r>
    </w:p>
    <w:bookmarkStart w:id="44"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4"/>
    <w:bookmarkStart w:id="46"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5"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5"/>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6"/>
    <w:bookmarkEnd w:id="47"/>
    <w:bookmarkStart w:id="59"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8" w:name="tbl-aic"/>
          <w:p>
            <w:pPr>
              <w:jc w:val="center"/>
            </w:pPr>
            <w:pPr>
              <w:jc w:val="start"/>
              <w:spacing w:before="200"/>
              <w:pStyle w:val="ImageCaption"/>
            </w:pPr>
            <w:r>
              <w:t xml:space="preserve">Table 4: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tbl-m3"/>
          <w:p>
            <w:pPr>
              <w:jc w:val="center"/>
            </w:pPr>
            <w:pPr>
              <w:jc w:val="start"/>
              <w:spacing w:before="200"/>
              <w:pStyle w:val="ImageCaption"/>
            </w:pPr>
            <w:r>
              <w:t xml:space="preserve">Table 5: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49"/>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4</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3" w:name="fig-interaction"/>
          <w:p>
            <w:pPr>
              <w:pStyle w:val="Compact"/>
              <w:jc w:val="center"/>
            </w:pPr>
            <w:r>
              <w:drawing>
                <wp:inline>
                  <wp:extent cx="5943600" cy="3962400"/>
                  <wp:effectExtent b="0" l="0" r="0" t="0"/>
                  <wp:docPr descr="" title="" id="51" name="Picture"/>
                  <a:graphic>
                    <a:graphicData uri="http://schemas.openxmlformats.org/drawingml/2006/picture">
                      <pic:pic>
                        <pic:nvPicPr>
                          <pic:cNvPr descr="beetle-topography-wind-study-short_files/figure-docx/fig-interaction-1.png" id="52" name="Picture"/>
                          <pic:cNvPicPr>
                            <a:picLocks noChangeArrowheads="1" noChangeAspect="1"/>
                          </pic:cNvPicPr>
                        </pic:nvPicPr>
                        <pic:blipFill>
                          <a:blip r:embed="rId5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3"/>
        </w:tc>
      </w:tr>
    </w:tbl>
    <w:bookmarkStart w:id="55"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4" w:name="tbl-micromet-model"/>
          <w:p>
            <w:pPr>
              <w:jc w:val="center"/>
            </w:pPr>
            <w:pPr>
              <w:jc w:val="start"/>
              <w:spacing w:before="200"/>
              <w:pStyle w:val="ImageCaption"/>
            </w:pPr>
            <w:r>
              <w:t xml:space="preserve">Table 6: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4"/>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5"/>
    <w:bookmarkStart w:id="56"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6"/>
    <w:bookmarkStart w:id="58"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7"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7"/>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8"/>
    <w:bookmarkEnd w:id="59"/>
    <w:bookmarkStart w:id="65" w:name="discussion"/>
    <w:p>
      <w:pPr>
        <w:pStyle w:val="Heading1"/>
      </w:pPr>
      <w:r>
        <w:t xml:space="preserve">5. Discussion</w:t>
      </w:r>
    </w:p>
    <w:bookmarkStart w:id="60"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0"/>
    <w:bookmarkStart w:id="61"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1"/>
    <w:bookmarkStart w:id="62"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2"/>
    <w:bookmarkStart w:id="63"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3"/>
    <w:bookmarkStart w:id="64"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4"/>
    <w:bookmarkEnd w:id="65"/>
    <w:bookmarkStart w:id="66"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6"/>
    <w:bookmarkStart w:id="67"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7"/>
    <w:bookmarkStart w:id="68"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8"/>
    <w:bookmarkStart w:id="69" w:name="conflict-of-interest"/>
    <w:p>
      <w:pPr>
        <w:pStyle w:val="Heading1"/>
      </w:pPr>
      <w:r>
        <w:t xml:space="preserve">9. Conflict of interest</w:t>
      </w:r>
    </w:p>
    <w:p>
      <w:pPr>
        <w:pStyle w:val="FirstParagraph"/>
      </w:pPr>
      <w:r>
        <w:t xml:space="preserve">The author declares no conflict of interest.</w:t>
      </w:r>
    </w:p>
    <w:bookmarkEnd w:id="69"/>
    <w:bookmarkStart w:id="70"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0"/>
    <w:bookmarkStart w:id="71"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1"/>
    <w:bookmarkStart w:id="73"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2">
        <w:r>
          <w:rPr>
            <w:rStyle w:val="Hyperlink"/>
          </w:rPr>
          <w:t xml:space="preserve">https://github.com/seamusrobertmurphy/beetle-topography-and-wind-study</w:t>
        </w:r>
      </w:hyperlink>
      <w:r>
        <w:t xml:space="preserve">.</w:t>
      </w:r>
    </w:p>
    <w:bookmarkEnd w:id="73"/>
    <w:bookmarkStart w:id="74"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4"/>
    <w:bookmarkStart w:id="105" w:name="references"/>
    <w:p>
      <w:pPr>
        <w:pStyle w:val="Heading1"/>
      </w:pPr>
      <w:r>
        <w:t xml:space="preserve">14. References</w:t>
      </w:r>
    </w:p>
    <w:bookmarkStart w:id="104" w:name="refs"/>
    <w:bookmarkStart w:id="76"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5">
        <w:r>
          <w:rPr>
            <w:rStyle w:val="Hyperlink"/>
          </w:rPr>
          <w:t xml:space="preserve">https://doi.org/10.1175/JAMC-D-13-0147.1</w:t>
        </w:r>
      </w:hyperlink>
    </w:p>
    <w:bookmarkEnd w:id="76"/>
    <w:bookmarkStart w:id="78" w:name="ref-bartos1989"/>
    <w:p>
      <w:pPr>
        <w:pStyle w:val="Bibliography"/>
      </w:pPr>
      <w:r>
        <w:t xml:space="preserve">Bartos DL, Amman GD (1989)</w:t>
      </w:r>
      <w:r>
        <w:t xml:space="preserve"> </w:t>
      </w:r>
      <w:hyperlink r:id="rId77">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8"/>
    <w:bookmarkStart w:id="79"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79"/>
    <w:bookmarkStart w:id="81"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0">
        <w:r>
          <w:rPr>
            <w:rStyle w:val="Hyperlink"/>
          </w:rPr>
          <w:t xml:space="preserve">https://doi.org/10.3390/f9110715</w:t>
        </w:r>
      </w:hyperlink>
    </w:p>
    <w:bookmarkEnd w:id="81"/>
    <w:bookmarkStart w:id="83"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2">
        <w:r>
          <w:rPr>
            <w:rStyle w:val="Hyperlink"/>
          </w:rPr>
          <w:t xml:space="preserve">https://doi.org/10.1175/BAMS-D-21-0075.1</w:t>
        </w:r>
      </w:hyperlink>
    </w:p>
    <w:bookmarkEnd w:id="83"/>
    <w:bookmarkStart w:id="85"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84">
        <w:r>
          <w:rPr>
            <w:rStyle w:val="Hyperlink"/>
          </w:rPr>
          <w:t xml:space="preserve">https://doi.org/10.1139/cjfr-2018-0304</w:t>
        </w:r>
      </w:hyperlink>
    </w:p>
    <w:bookmarkEnd w:id="85"/>
    <w:bookmarkStart w:id="87"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86">
        <w:r>
          <w:rPr>
            <w:rStyle w:val="Hyperlink"/>
          </w:rPr>
          <w:t xml:space="preserve">https://doi.org/10.1002/fee.2190</w:t>
        </w:r>
      </w:hyperlink>
    </w:p>
    <w:bookmarkEnd w:id="87"/>
    <w:bookmarkStart w:id="89" w:name="ref-liston2006"/>
    <w:p>
      <w:pPr>
        <w:pStyle w:val="Bibliography"/>
      </w:pPr>
      <w:r>
        <w:t xml:space="preserve">Liston GE, Elder K (2006) A meteorological distribution system for high-resolution terrestrial modeling (MicroMet). Journal of Hydrometeorology 7:217–234.</w:t>
      </w:r>
      <w:r>
        <w:t xml:space="preserve"> </w:t>
      </w:r>
      <w:hyperlink r:id="rId88">
        <w:r>
          <w:rPr>
            <w:rStyle w:val="Hyperlink"/>
          </w:rPr>
          <w:t xml:space="preserve">https://doi.org/10.1175/JHM486.1</w:t>
        </w:r>
      </w:hyperlink>
    </w:p>
    <w:bookmarkEnd w:id="89"/>
    <w:bookmarkStart w:id="91"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90">
        <w:r>
          <w:rPr>
            <w:rStyle w:val="Hyperlink"/>
          </w:rPr>
          <w:t xml:space="preserve">https://doi.org/10.1093/aesa/64.2.534</w:t>
        </w:r>
      </w:hyperlink>
    </w:p>
    <w:bookmarkEnd w:id="91"/>
    <w:bookmarkStart w:id="93" w:name="ref-mccune2002"/>
    <w:p>
      <w:pPr>
        <w:pStyle w:val="Bibliography"/>
      </w:pPr>
      <w:r>
        <w:t xml:space="preserve">McCune B, Keon D (2002) Equations for potential annual direct incident radiation and heat load. Journal of Vegetation Science 13:603–606.</w:t>
      </w:r>
      <w:r>
        <w:t xml:space="preserve"> </w:t>
      </w:r>
      <w:hyperlink r:id="rId92">
        <w:r>
          <w:rPr>
            <w:rStyle w:val="Hyperlink"/>
          </w:rPr>
          <w:t xml:space="preserve">https://doi.org/10.1111/j.1654-1103.2002.tb02087.x</w:t>
        </w:r>
      </w:hyperlink>
    </w:p>
    <w:bookmarkEnd w:id="93"/>
    <w:bookmarkStart w:id="95"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94">
        <w:r>
          <w:rPr>
            <w:rStyle w:val="Hyperlink"/>
          </w:rPr>
          <w:t xml:space="preserve">https://doi.org/10.1016/j.foreco.2026.123985</w:t>
        </w:r>
      </w:hyperlink>
    </w:p>
    <w:bookmarkEnd w:id="95"/>
    <w:bookmarkStart w:id="97"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96">
        <w:r>
          <w:rPr>
            <w:rStyle w:val="Hyperlink"/>
          </w:rPr>
          <w:t xml:space="preserve">https://open.canada.ca/data/en/dataset/957782bf-847c-4644-a757-e383c0057995</w:t>
        </w:r>
      </w:hyperlink>
    </w:p>
    <w:bookmarkEnd w:id="97"/>
    <w:bookmarkStart w:id="99"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98">
        <w:r>
          <w:rPr>
            <w:rStyle w:val="Hyperlink"/>
          </w:rPr>
          <w:t xml:space="preserve">https://doi.org/10.1016/j.ecolmodel.2013.10.034</w:t>
        </w:r>
      </w:hyperlink>
    </w:p>
    <w:bookmarkEnd w:id="99"/>
    <w:bookmarkStart w:id="100"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00"/>
    <w:bookmarkStart w:id="102"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01">
        <w:r>
          <w:rPr>
            <w:rStyle w:val="Hyperlink"/>
          </w:rPr>
          <w:t xml:space="preserve">https://doi.org/10.1079/PAVSNNR202116018</w:t>
        </w:r>
      </w:hyperlink>
    </w:p>
    <w:bookmarkEnd w:id="102"/>
    <w:bookmarkStart w:id="103"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03"/>
    <w:bookmarkEnd w:id="104"/>
    <w:bookmarkEnd w:id="105"/>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86" Target="https://doi.org/10.1002/fee.2190" TargetMode="External" /><Relationship Type="http://schemas.openxmlformats.org/officeDocument/2006/relationships/hyperlink" Id="rId98" Target="https://doi.org/10.1016/j.ecolmodel.2013.10.034" TargetMode="External" /><Relationship Type="http://schemas.openxmlformats.org/officeDocument/2006/relationships/hyperlink" Id="rId94" Target="https://doi.org/10.1016/j.foreco.2026.123985" TargetMode="External" /><Relationship Type="http://schemas.openxmlformats.org/officeDocument/2006/relationships/hyperlink" Id="rId101" Target="https://doi.org/10.1079/PAVSNNR202116018" TargetMode="External" /><Relationship Type="http://schemas.openxmlformats.org/officeDocument/2006/relationships/hyperlink" Id="rId90" Target="https://doi.org/10.1093/aesa/64.2.534" TargetMode="External" /><Relationship Type="http://schemas.openxmlformats.org/officeDocument/2006/relationships/hyperlink" Id="rId92" Target="https://doi.org/10.1111/j.1654-1103.2002.tb02087.x" TargetMode="External" /><Relationship Type="http://schemas.openxmlformats.org/officeDocument/2006/relationships/hyperlink" Id="rId84" Target="https://doi.org/10.1139/cjfr-2018-0304" TargetMode="External" /><Relationship Type="http://schemas.openxmlformats.org/officeDocument/2006/relationships/hyperlink" Id="rId82" Target="https://doi.org/10.1175/BAMS-D-21-0075.1" TargetMode="External" /><Relationship Type="http://schemas.openxmlformats.org/officeDocument/2006/relationships/hyperlink" Id="rId75" Target="https://doi.org/10.1175/JAMC-D-13-0147.1" TargetMode="External" /><Relationship Type="http://schemas.openxmlformats.org/officeDocument/2006/relationships/hyperlink" Id="rId88" Target="https://doi.org/10.1175/JHM486.1" TargetMode="External" /><Relationship Type="http://schemas.openxmlformats.org/officeDocument/2006/relationships/hyperlink" Id="rId77" Target="https://doi.org/10.2737/int-rp-400" TargetMode="External" /><Relationship Type="http://schemas.openxmlformats.org/officeDocument/2006/relationships/hyperlink" Id="rId80" Target="https://doi.org/10.3390/f9110715" TargetMode="External" /><Relationship Type="http://schemas.openxmlformats.org/officeDocument/2006/relationships/hyperlink" Id="rId72" Target="https://github.com/seamusrobertmurphy/beetle-topography-and-wind-study" TargetMode="External" /><Relationship Type="http://schemas.openxmlformats.org/officeDocument/2006/relationships/hyperlink" Id="rId96"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2026-08-28T03:45:39Z</dcterms:created>
  <dcterms:modified xsi:type="dcterms:W3CDTF">2026-08-28T03:45:39Z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