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 letter</w:t>
      </w:r>
    </w:p>
    <w:p>
      <w:pPr>
        <w:pStyle w:val="FirstParagraph"/>
      </w:pPr>
      <w:r>
        <w:t xml:space="preserve">Seamus Murphy</w:t>
      </w:r>
      <w:r>
        <w:br/>
      </w:r>
      <w:r>
        <w:t xml:space="preserve">ORCID 0000-0002-1792-0351</w:t>
      </w:r>
      <w:r>
        <w:br/>
      </w:r>
      <w:r>
        <w:t xml:space="preserve">Forest Carbon Verification, TÜV SÜD</w:t>
      </w:r>
      <w:r>
        <w:br/>
      </w:r>
      <w:r>
        <w:t xml:space="preserve">Comox, British Columbia, Canada</w:t>
      </w:r>
      <w:r>
        <w:br/>
      </w:r>
      <w:r>
        <w:t xml:space="preserve">seamusrobertmurphy@gmail.com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submitting</w:t>
      </w:r>
      <w:r>
        <w:t xml:space="preserve"> </w:t>
      </w:r>
      <w:r>
        <w:t xml:space="preserve">“Testing the wind disruption hypothesis for beetle refugia”</w:t>
      </w:r>
      <w:r>
        <w:t xml:space="preserve"> </w:t>
      </w:r>
      <w:r>
        <w:t xml:space="preserve">for</w:t>
      </w:r>
      <w:r>
        <w:t xml:space="preserve"> </w:t>
      </w:r>
      <w:r>
        <w:t xml:space="preserve">consideration as an Original Article in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</w:t>
      </w:r>
    </w:p>
    <w:p>
      <w:pPr>
        <w:pStyle w:val="BodyText"/>
      </w:pPr>
      <w:r>
        <w:t xml:space="preserve">Krawchuk et al. (2020) proposed that refugia from mountain pine beetle (</w:t>
      </w:r>
      <w:r>
        <w:rPr>
          <w:i/>
          <w:iCs/>
        </w:rPr>
        <w:t xml:space="preserve">Dendroctonus</w:t>
      </w:r>
      <w:r>
        <w:rPr>
          <w:i/>
          <w:iCs/>
        </w:rPr>
        <w:t xml:space="preserve"> </w:t>
      </w:r>
      <w:r>
        <w:rPr>
          <w:i/>
          <w:iCs/>
        </w:rPr>
        <w:t xml:space="preserve">ponderosae</w:t>
      </w:r>
      <w:r>
        <w:t xml:space="preserve"> </w:t>
      </w:r>
      <w:r>
        <w:t xml:space="preserve">Hopkins) could arise through three mechanisms: topographic shading that</w:t>
      </w:r>
      <w:r>
        <w:t xml:space="preserve"> </w:t>
      </w:r>
      <w:r>
        <w:t xml:space="preserve">relieves water stress, low host density that admits wind and so disrupts the aggregation</w:t>
      </w:r>
      <w:r>
        <w:t xml:space="preserve"> </w:t>
      </w:r>
      <w:r>
        <w:t xml:space="preserve">pheromone plume on which mass attack depends, and a scarcity of large-diameter hosts.</w:t>
      </w:r>
      <w:r>
        <w:t xml:space="preserve"> </w:t>
      </w:r>
      <w:r>
        <w:t xml:space="preserve">That proposal is now widely cited and, so far as a search of the author’s full corpus can</w:t>
      </w:r>
      <w:r>
        <w:t xml:space="preserve"> </w:t>
      </w:r>
      <w:r>
        <w:t xml:space="preserve">establish, it has never been fitted. This paper fits all three on one landscape.</w:t>
      </w:r>
    </w:p>
    <w:p>
      <w:pPr>
        <w:pStyle w:val="BodyText"/>
      </w:pPr>
      <w:r>
        <w:t xml:space="preserve">The central result is that the wind mechanism holds, but only when the response is</w:t>
      </w:r>
      <w:r>
        <w:t xml:space="preserve"> </w:t>
      </w:r>
      <w:r>
        <w:t xml:space="preserve">measured at a resolution the insect can be said to experience. Across 59 sixteen-day</w:t>
      </w:r>
      <w:r>
        <w:t xml:space="preserve"> </w:t>
      </w:r>
      <w:r>
        <w:t xml:space="preserve">Landsat epochs, stand density interacts negatively with a terrain-resolved wind field:</w:t>
      </w:r>
      <w:r>
        <w:t xml:space="preserve"> </w:t>
      </w:r>
      <w:r>
        <w:t xml:space="preserve">a dense canopy is worth less to the beetle where and when the wind blows harder, which is</w:t>
      </w:r>
      <w:r>
        <w:t xml:space="preserve"> </w:t>
      </w:r>
      <w:r>
        <w:t xml:space="preserve">what plume disruption requires. The interaction survives a within-season spread term, so</w:t>
      </w:r>
      <w:r>
        <w:t xml:space="preserve"> </w:t>
      </w:r>
      <w:r>
        <w:t xml:space="preserve">it is not the outbreak’s own contagion wearing a wind coefficient.</w:t>
      </w:r>
    </w:p>
    <w:p>
      <w:pPr>
        <w:pStyle w:val="BodyText"/>
      </w:pPr>
      <w:r>
        <w:t xml:space="preserve">The finding I expect to be most useful to your readers is the negative one attached to</w:t>
      </w:r>
      <w:r>
        <w:t xml:space="preserve"> </w:t>
      </w:r>
      <w:r>
        <w:t xml:space="preserve">it. Collapse the same wind field, the same covariates and the same classification</w:t>
      </w:r>
      <w:r>
        <w:t xml:space="preserve"> </w:t>
      </w:r>
      <w:r>
        <w:t xml:space="preserve">threshold to one map per year, and the interaction reverses sign. Nothing about the</w:t>
      </w:r>
      <w:r>
        <w:t xml:space="preserve"> </w:t>
      </w:r>
      <w:r>
        <w:t xml:space="preserve">landscape or the wind product changes. What changes is that an annual response can only</w:t>
      </w:r>
      <w:r>
        <w:t xml:space="preserve"> </w:t>
      </w:r>
      <w:r>
        <w:t xml:space="preserve">ask whether windy summers carry less attack than calm ones, and a summer contains both</w:t>
      </w:r>
      <w:r>
        <w:t xml:space="preserve"> </w:t>
      </w:r>
      <w:r>
        <w:t xml:space="preserve">windy and calm weeks. The mechanism concerns a plume that persists for minutes acting over</w:t>
      </w:r>
      <w:r>
        <w:t xml:space="preserve"> </w:t>
      </w:r>
      <w:r>
        <w:t xml:space="preserve">a flight period of weeks; a test aggregated to the year is not a weaker version of the</w:t>
      </w:r>
      <w:r>
        <w:t xml:space="preserve"> </w:t>
      </w:r>
      <w:r>
        <w:t xml:space="preserve">right test but a different question, and it answers in the opposite direction. Since no</w:t>
      </w:r>
      <w:r>
        <w:t xml:space="preserve"> </w:t>
      </w:r>
      <w:r>
        <w:t xml:space="preserve">prior study has fitted a wind term at all, nothing in the literature establishes the</w:t>
      </w:r>
      <w:r>
        <w:t xml:space="preserve"> </w:t>
      </w:r>
      <w:r>
        <w:t xml:space="preserve">resolution at which one should be fitted. This paper’s answer is that it must be no</w:t>
      </w:r>
      <w:r>
        <w:t xml:space="preserve"> </w:t>
      </w:r>
      <w:r>
        <w:t xml:space="preserve">coarser than the flight period.</w:t>
      </w:r>
    </w:p>
    <w:p>
      <w:pPr>
        <w:pStyle w:val="BodyText"/>
      </w:pPr>
      <w:r>
        <w:t xml:space="preserve">Two further specification results support the same caution. Entering flight-window</w:t>
      </w:r>
      <w:r>
        <w:t xml:space="preserve"> </w:t>
      </w:r>
      <w:r>
        <w:t xml:space="preserve">radiation cuts the apparent density-by-terrain-exposure interaction by about a third, so a</w:t>
      </w:r>
      <w:r>
        <w:t xml:space="preserve"> </w:t>
      </w:r>
      <w:r>
        <w:t xml:space="preserve">terrain wind index is partly an insolation measurement. Entering previous-year attack</w:t>
      </w:r>
      <w:r>
        <w:t xml:space="preserve"> </w:t>
      </w:r>
      <w:r>
        <w:t xml:space="preserve">destabilises the landform terms, so a landform variable in a spreading outbreak partly</w:t>
      </w:r>
      <w:r>
        <w:t xml:space="preserve"> </w:t>
      </w:r>
      <w:r>
        <w:t xml:space="preserve">records where the outbreak has already been.</w:t>
      </w:r>
    </w:p>
    <w:p>
      <w:pPr>
        <w:pStyle w:val="BodyText"/>
      </w:pPr>
      <w:r>
        <w:t xml:space="preserve">The manuscript is an executable Quarto document. Every number, table and figure in it is</w:t>
      </w:r>
      <w:r>
        <w:t xml:space="preserve"> </w:t>
      </w:r>
      <w:r>
        <w:t xml:space="preserve">computed at render time from the archived data, and no value is typed into the prose. The</w:t>
      </w:r>
      <w:r>
        <w:t xml:space="preserve"> </w:t>
      </w:r>
      <w:r>
        <w:t xml:space="preserve">complete pipeline is public.</w:t>
      </w:r>
    </w:p>
    <w:p>
      <w:pPr>
        <w:pStyle w:val="BodyText"/>
      </w:pPr>
      <w:r>
        <w:t xml:space="preserve">This work is original, has not been published elsewhere and is not under consideration by</w:t>
      </w:r>
      <w:r>
        <w:t xml:space="preserve"> </w:t>
      </w:r>
      <w:r>
        <w:t xml:space="preserve">another journal. I am the sole author. I declare no conflict of interest, and the work</w:t>
      </w:r>
      <w:r>
        <w:t xml:space="preserve"> </w:t>
      </w:r>
      <w:r>
        <w:t xml:space="preserve">received no external funding.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Seamus Murphy</w:t>
      </w:r>
    </w:p>
    <w:sectPr w:rsidR="00D931AC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D12A56B-797D-444E-9FC6-5B37C5DAC035}"/>
    <w:embedBold r:id="rId2" w:fontKey="{FD3CEDD6-86AB-1C46-8A15-8877C1686B07}"/>
    <w:embedItalic r:id="rId3" w:fontKey="{67E535DB-26F2-B642-AAD5-FDC80F2CF7B9}"/>
    <w:embedBoldItalic r:id="rId4" w:fontKey="{2115481C-3572-184B-8727-E08AEF27DA6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85026BB-CCCA-E54F-A560-AED7C1963D5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744E244-733C-6740-A164-0ABCEF59A7CF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7" w:fontKey="{617BC16C-2D7B-C143-AA8A-DEB95EAE857B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2C682040-A827-BB49-872E-27E75C7C93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62BD56F2-54D9-3244-A137-C7FEFFA6F835}"/>
    <w:embedBold r:id="rId10" w:fontKey="{7385F66A-610E-C84C-8011-3C49D62CC650}"/>
    <w:embedItalic r:id="rId11" w:fontKey="{7BBDF880-F20C-5549-927B-354C4781E948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26BD65CD-77BB-5D4C-AAB7-328BAC130273}"/>
    <w:embedBold r:id="rId15" w:fontKey="{B10BB92D-F0E2-8D46-9DED-867D0938013E}"/>
    <w:embedItalic r:id="rId16" w:fontKey="{36876C46-2E15-9F4D-A0F2-9FE2EAF64544}"/>
    <w:embedBoldItalic r:id="rId17" w:fontKey="{5F596E27-69FE-974C-B3F1-108E1B29AF8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9E9871A1-0968-9547-B04A-5264525A2142}"/>
    <w:embedBold r:id="rId19" w:fontKey="{D6F14352-A8CE-2B4D-A104-F0CC6D16761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0" w:fontKey="{7BEA954E-5CCE-6F49-AACD-9B7B508ECA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729AC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298"/>
    <w:rsid w:val="00201ADC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30EE7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06AA"/>
    <w:rsid w:val="009C2A23"/>
    <w:rsid w:val="009C7401"/>
    <w:rsid w:val="00A022FE"/>
    <w:rsid w:val="00A06140"/>
    <w:rsid w:val="00A32FF7"/>
    <w:rsid w:val="00A4105A"/>
    <w:rsid w:val="00A52831"/>
    <w:rsid w:val="00A544C0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92A44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2470"/>
    <w:rsid w:val="00D63120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729AC"/>
    <w:pPr>
      <w:spacing w:line="360" w:lineRule="auto"/>
    </w:pPr>
    <w:rPr>
      <w:rFonts w:ascii="Arial" w:hAnsi="Ari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cs="Play" w:eastAsia="Play"/>
      <w:b/>
      <w:sz w:val="28"/>
      <w:szCs w:val="56"/>
    </w:rPr>
  </w:style>
  <w:style w:styleId="BodyText" w:type="paragraph">
    <w:name w:val="Body Text"/>
    <w:basedOn w:val="Normal"/>
    <w:qFormat/>
    <w:rsid w:val="00B92A44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B92A44"/>
    <w:pPr>
      <w:spacing w:after="36" w:before="36" w:line="240" w:lineRule="auto"/>
    </w:pPr>
    <w:rPr>
      <w:sz w:val="20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rsid w:val="000729AC"/>
    <w:pPr>
      <w:spacing w:after="0" w:before="0"/>
      <w:jc w:val="left"/>
    </w:pPr>
    <w:rPr>
      <w:rFonts w:cs="Arial"/>
      <w:bCs/>
      <w:sz w:val="21"/>
      <w:szCs w:val="21"/>
    </w:rPr>
  </w:style>
  <w:style w:styleId="Date" w:type="paragraph">
    <w:name w:val="Date"/>
    <w:next w:val="BodyText"/>
    <w:qFormat/>
    <w:rsid w:val="000729AC"/>
    <w:pPr>
      <w:keepNext/>
      <w:keepLines/>
      <w:jc w:val="left"/>
    </w:pPr>
    <w:rPr>
      <w:rFonts w:ascii="Arial" w:hAnsi="Arial"/>
      <w:sz w:val="20"/>
    </w:r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/>
      <w:jc w:val="left"/>
    </w:pPr>
    <w:rPr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rsid w:val="00201298"/>
    <w:pPr>
      <w:spacing w:line="240" w:lineRule="auto"/>
      <w:ind w:hanging="720" w:left="720"/>
      <w:jc w:val="left"/>
    </w:pPr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Pr>
      <w:sz w:val="16"/>
      <w:szCs w:val="16"/>
      <w:lang w:val="en-C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rPr>
      <w:trHeight w:hRule="atLeast" w:val="3402"/>
    </w:trPr>
    <w:tblStylePr w:type="firstRow">
      <w:tblPr>
        <w:jc w:val="left"/>
      </w:tblPr>
      <w:trPr>
        <w:trHeight w:hRule="atLeast" w:val="680"/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92A44"/>
    <w:pPr>
      <w:spacing w:after="120" w:line="240" w:lineRule="auto"/>
      <w:jc w:val="left"/>
    </w:pPr>
    <w:rPr>
      <w:i/>
      <w:sz w:val="20"/>
    </w:rPr>
  </w:style>
  <w:style w:customStyle="1" w:styleId="TableCaption" w:type="paragraph">
    <w:name w:val="Table Caption"/>
    <w:basedOn w:val="Caption"/>
    <w:rsid w:val="00B92A44"/>
    <w:pPr>
      <w:jc w:val="left"/>
      <w:keepNext/>
    </w:pPr>
    <w:rPr>
      <w:sz w:val="20"/>
      <w:szCs w:val="20"/>
    </w:rPr>
  </w:style>
  <w:style w:customStyle="1" w:styleId="ImageCaption" w:type="paragraph">
    <w:name w:val="Image Caption"/>
    <w:basedOn w:val="Caption"/>
    <w:rsid w:val="00B92A44"/>
    <w:pPr>
      <w:jc w:val="left"/>
      <w:spacing w:after="0" w:before="60"/>
    </w:pPr>
    <w:rPr>
      <w:sz w:val="20"/>
      <w:szCs w:val="20"/>
    </w:rPr>
  </w:style>
  <w:style w:customStyle="1" w:styleId="Figure" w:type="paragraph">
    <w:name w:val="Figure"/>
    <w:basedOn w:val="Normal"/>
    <w:rsid w:val="00242606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B92A44"/>
    <w:rPr>
      <w:rFonts w:ascii="Arial" w:hAnsi="Arial"/>
      <w:i/>
      <w:sz w:val="20"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14"/>
      <w:szCs w:val="14"/>
    </w:rPr>
  </w:style>
  <w:style w:customStyle="1" w:styleId="SectionNumber" w:type="character">
    <w:name w:val="Section Number"/>
    <w:basedOn w:val="CaptionChar"/>
    <w:rPr>
      <w:rFonts w:ascii="Arial" w:hAnsi="Arial"/>
      <w:i/>
      <w:sz w:val="18"/>
    </w:rPr>
  </w:style>
  <w:style w:styleId="FootnoteReference" w:type="character">
    <w:name w:val="footnote reference"/>
    <w:basedOn w:val="CaptionChar"/>
    <w:rsid w:val="00242606"/>
    <w:rPr>
      <w:rFonts w:ascii="Arial" w:hAnsi="Arial"/>
      <w:i/>
      <w:sz w:val="18"/>
      <w:vertAlign w:val="superscript"/>
    </w:rPr>
  </w:style>
  <w:style w:styleId="Hyperlink" w:type="character">
    <w:name w:val="Hyperlink"/>
    <w:basedOn w:val="CaptionChar"/>
    <w:uiPriority w:val="99"/>
    <w:rPr>
      <w:rFonts w:ascii="Arial" w:hAnsi="Arial"/>
      <w:i/>
      <w:color w:themeColor="accent1" w:val="156082"/>
      <w:sz w:val="1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  <w:spacing w:after="0" w:before="0" w:line="240" w:lineRule="auto"/>
      <w:contextualSpacing/>
      <w:jc w:val="left"/>
    </w:pPr>
    <w:rPr>
      <w:sz w:val="14"/>
      <w:szCs w:val="14"/>
    </w:rPr>
  </w:style>
  <w:style w:customStyle="1" w:styleId="KeywordTok" w:type="character">
    <w:name w:val="Keyword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000000"/>
      <w:sz w:val="14"/>
      <w:szCs w:val="14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EF2929"/>
      <w:sz w:val="14"/>
      <w:szCs w:val="14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i/>
      <w:color w:val="A40000"/>
      <w:sz w:val="14"/>
      <w:szCs w:val="14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i/>
      <w:sz w:val="14"/>
      <w:szCs w:val="14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13130</Words>
  <Characters>74841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/>
  <cp:keywords/>
  <dcterms:created xsi:type="dcterms:W3CDTF">2026-08-28T03:47:50Z</dcterms:created>
  <dcterms:modified xsi:type="dcterms:W3CDTF">2026-08-28T03:47:50Z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